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309</w:t>
      </w:r>
    </w:p>
    <w:p>
      <w:pPr>
        <w:keepNext/>
        <w:keepLines/>
        <w:widowControl w:val="0"/>
        <w:jc w:val="center"/>
        <w:rPr>
          <w:b/>
          <w:bCs/>
        </w:rPr>
      </w:pPr>
      <w:r>
        <w:rPr>
          <w:b/>
          <w:bCs/>
        </w:rPr>
        <w:t>Поставка моющего средства для нужд ФГБУН «ФИЦ Питания и Биотехнологии»</w:t>
      </w:r>
    </w:p>
    <w:p>
      <w:pPr>
        <w:keepNext/>
        <w:keepLines/>
        <w:widowControl w:val="0"/>
        <w:jc w:val="center"/>
        <w:rPr>
          <w:b/>
          <w:bCs/>
        </w:rPr>
      </w:pPr>
      <w:r>
        <w:rPr>
          <w:b/>
          <w:bCs/>
        </w:rPr>
        <w:t>ИКЗ 261770500425477050100100081050000244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моющие средства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60 (шестидесяти) календарных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309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984"/>
        <w:gridCol w:w="1483"/>
        <w:gridCol w:w="4137"/>
        <w:gridCol w:w="829"/>
        <w:gridCol w:w="957"/>
        <w:gridCol w:w="1317"/>
        <w:gridCol w:w="1645"/>
        <w:gridCol w:w="1645"/>
      </w:tblGrid>
      <w:tr>
        <w:trPr>
          <w:trHeight w:val="1156"/>
        </w:trPr>
        <w:tc>
          <w:tcPr>
            <w:tcW w:w="204"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4"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74" w:type="pct"/>
            <w:vAlign w:val="center"/>
          </w:tcPr>
          <w:p>
            <w:pPr>
              <w:keepNext/>
              <w:keepLines/>
              <w:widowControl w:val="0"/>
              <w:jc w:val="center"/>
              <w:rPr>
                <w:b/>
                <w:bCs/>
                <w:sz w:val="20"/>
                <w:szCs w:val="20"/>
              </w:rPr>
            </w:pPr>
            <w:r>
              <w:rPr>
                <w:b/>
                <w:bCs/>
                <w:sz w:val="20"/>
                <w:szCs w:val="20"/>
              </w:rPr>
              <w:t>ОКПД</w:t>
            </w:r>
            <w:proofErr w:type="gramStart"/>
            <w:r>
              <w:rPr>
                <w:b/>
                <w:bCs/>
                <w:sz w:val="20"/>
                <w:szCs w:val="20"/>
              </w:rPr>
              <w:t>2</w:t>
            </w:r>
            <w:proofErr w:type="gramEnd"/>
          </w:p>
        </w:tc>
        <w:tc>
          <w:tcPr>
            <w:tcW w:w="1323"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5" w:type="pct"/>
            <w:vAlign w:val="center"/>
          </w:tcPr>
          <w:p>
            <w:pPr>
              <w:keepNext/>
              <w:keepLines/>
              <w:widowControl w:val="0"/>
              <w:jc w:val="center"/>
              <w:rPr>
                <w:b/>
                <w:sz w:val="20"/>
                <w:szCs w:val="20"/>
              </w:rPr>
            </w:pPr>
            <w:r>
              <w:rPr>
                <w:b/>
                <w:sz w:val="20"/>
                <w:szCs w:val="20"/>
              </w:rPr>
              <w:t>Ед. изм</w:t>
            </w:r>
          </w:p>
        </w:tc>
        <w:tc>
          <w:tcPr>
            <w:tcW w:w="306" w:type="pct"/>
            <w:vAlign w:val="center"/>
          </w:tcPr>
          <w:p>
            <w:pPr>
              <w:keepNext/>
              <w:keepLines/>
              <w:widowControl w:val="0"/>
              <w:jc w:val="center"/>
              <w:rPr>
                <w:b/>
                <w:sz w:val="20"/>
                <w:szCs w:val="20"/>
              </w:rPr>
            </w:pPr>
            <w:r>
              <w:rPr>
                <w:b/>
                <w:sz w:val="20"/>
                <w:szCs w:val="20"/>
              </w:rPr>
              <w:t>Кол-во</w:t>
            </w:r>
          </w:p>
        </w:tc>
        <w:tc>
          <w:tcPr>
            <w:tcW w:w="421"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6"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6"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4" w:type="pct"/>
            <w:vAlign w:val="center"/>
          </w:tcPr>
          <w:p>
            <w:pPr>
              <w:keepNext/>
              <w:keepLines/>
              <w:widowControl w:val="0"/>
              <w:jc w:val="center"/>
              <w:rPr>
                <w:sz w:val="20"/>
                <w:szCs w:val="20"/>
              </w:rPr>
            </w:pPr>
            <w:r>
              <w:rPr>
                <w:sz w:val="20"/>
                <w:szCs w:val="20"/>
              </w:rPr>
              <w:t>1</w:t>
            </w:r>
          </w:p>
        </w:tc>
        <w:tc>
          <w:tcPr>
            <w:tcW w:w="954" w:type="pct"/>
            <w:vAlign w:val="center"/>
          </w:tcPr>
          <w:p>
            <w:pPr>
              <w:keepNext/>
              <w:keepLines/>
              <w:widowControl w:val="0"/>
              <w:jc w:val="center"/>
              <w:rPr>
                <w:bCs/>
                <w:sz w:val="20"/>
                <w:szCs w:val="20"/>
              </w:rPr>
            </w:pPr>
            <w:proofErr w:type="spellStart"/>
            <w:r>
              <w:rPr>
                <w:bCs/>
                <w:sz w:val="20"/>
                <w:szCs w:val="20"/>
              </w:rPr>
              <w:t>Неодишер</w:t>
            </w:r>
            <w:proofErr w:type="spellEnd"/>
            <w:r>
              <w:rPr>
                <w:bCs/>
                <w:sz w:val="20"/>
                <w:szCs w:val="20"/>
              </w:rPr>
              <w:t xml:space="preserve"> </w:t>
            </w:r>
            <w:proofErr w:type="spellStart"/>
            <w:r>
              <w:rPr>
                <w:bCs/>
                <w:sz w:val="20"/>
                <w:szCs w:val="20"/>
              </w:rPr>
              <w:t>Лабоклин</w:t>
            </w:r>
            <w:proofErr w:type="spellEnd"/>
            <w:r>
              <w:rPr>
                <w:bCs/>
                <w:sz w:val="20"/>
                <w:szCs w:val="20"/>
              </w:rPr>
              <w:t xml:space="preserve"> ФЛА </w:t>
            </w:r>
            <w:proofErr w:type="gramStart"/>
            <w:r>
              <w:rPr>
                <w:bCs/>
                <w:sz w:val="20"/>
                <w:szCs w:val="20"/>
              </w:rPr>
              <w:t xml:space="preserve">( </w:t>
            </w:r>
            <w:proofErr w:type="spellStart"/>
            <w:proofErr w:type="gramEnd"/>
            <w:r>
              <w:rPr>
                <w:bCs/>
                <w:sz w:val="20"/>
                <w:szCs w:val="20"/>
              </w:rPr>
              <w:t>Neodisher</w:t>
            </w:r>
            <w:proofErr w:type="spellEnd"/>
            <w:r>
              <w:rPr>
                <w:bCs/>
                <w:sz w:val="20"/>
                <w:szCs w:val="20"/>
              </w:rPr>
              <w:t xml:space="preserve"> </w:t>
            </w:r>
            <w:proofErr w:type="spellStart"/>
            <w:r>
              <w:rPr>
                <w:bCs/>
                <w:sz w:val="20"/>
                <w:szCs w:val="20"/>
              </w:rPr>
              <w:t>LaboClean</w:t>
            </w:r>
            <w:proofErr w:type="spellEnd"/>
            <w:r>
              <w:rPr>
                <w:bCs/>
                <w:sz w:val="20"/>
                <w:szCs w:val="20"/>
              </w:rPr>
              <w:t xml:space="preserve"> FLA) моющее средство 5л, </w:t>
            </w:r>
            <w:proofErr w:type="spellStart"/>
            <w:r>
              <w:rPr>
                <w:bCs/>
                <w:sz w:val="20"/>
                <w:szCs w:val="20"/>
              </w:rPr>
              <w:t>Dr.Weigert</w:t>
            </w:r>
            <w:proofErr w:type="spellEnd"/>
            <w:r>
              <w:rPr>
                <w:bCs/>
                <w:sz w:val="20"/>
                <w:szCs w:val="20"/>
              </w:rPr>
              <w:t>, Германия</w:t>
            </w:r>
          </w:p>
        </w:tc>
        <w:tc>
          <w:tcPr>
            <w:tcW w:w="474" w:type="pct"/>
            <w:vAlign w:val="center"/>
          </w:tcPr>
          <w:p>
            <w:pPr>
              <w:keepNext/>
              <w:keepLines/>
              <w:widowControl w:val="0"/>
              <w:jc w:val="center"/>
              <w:rPr>
                <w:sz w:val="20"/>
                <w:szCs w:val="20"/>
              </w:rPr>
            </w:pPr>
            <w:r>
              <w:rPr>
                <w:sz w:val="20"/>
                <w:szCs w:val="20"/>
              </w:rPr>
              <w:t>20.41.32.119</w:t>
            </w:r>
          </w:p>
        </w:tc>
        <w:tc>
          <w:tcPr>
            <w:tcW w:w="1323" w:type="pct"/>
            <w:vAlign w:val="center"/>
          </w:tcPr>
          <w:p>
            <w:pPr>
              <w:keepNext/>
              <w:keepLines/>
              <w:widowControl w:val="0"/>
              <w:rPr>
                <w:sz w:val="20"/>
                <w:szCs w:val="20"/>
              </w:rPr>
            </w:pPr>
            <w:r>
              <w:rPr>
                <w:sz w:val="20"/>
                <w:szCs w:val="20"/>
              </w:rPr>
              <w:t xml:space="preserve">СОСТАВ — 5-15% </w:t>
            </w:r>
            <w:proofErr w:type="spellStart"/>
            <w:r>
              <w:rPr>
                <w:sz w:val="20"/>
                <w:szCs w:val="20"/>
              </w:rPr>
              <w:t>поликарбоксиланты</w:t>
            </w:r>
            <w:proofErr w:type="spellEnd"/>
            <w:r>
              <w:rPr>
                <w:sz w:val="20"/>
                <w:szCs w:val="20"/>
              </w:rPr>
              <w:t>, НТА.</w:t>
            </w:r>
          </w:p>
          <w:p>
            <w:pPr>
              <w:keepNext/>
              <w:keepLines/>
              <w:widowControl w:val="0"/>
              <w:rPr>
                <w:sz w:val="20"/>
                <w:szCs w:val="20"/>
              </w:rPr>
            </w:pPr>
            <w:proofErr w:type="spellStart"/>
            <w:r>
              <w:rPr>
                <w:sz w:val="20"/>
                <w:szCs w:val="20"/>
              </w:rPr>
              <w:t>Высокощелочное</w:t>
            </w:r>
            <w:proofErr w:type="spellEnd"/>
            <w:r>
              <w:rPr>
                <w:sz w:val="20"/>
                <w:szCs w:val="20"/>
              </w:rPr>
              <w:t xml:space="preserve"> моющее средство для автоматической мойки лабораторного стекла, </w:t>
            </w:r>
            <w:proofErr w:type="spellStart"/>
            <w:r>
              <w:rPr>
                <w:sz w:val="20"/>
                <w:szCs w:val="20"/>
              </w:rPr>
              <w:t>беспенное</w:t>
            </w:r>
            <w:proofErr w:type="spellEnd"/>
            <w:r>
              <w:rPr>
                <w:sz w:val="20"/>
                <w:szCs w:val="20"/>
              </w:rPr>
              <w:t>, без фосфатов, без окислителей.</w:t>
            </w:r>
          </w:p>
          <w:p>
            <w:pPr>
              <w:keepNext/>
              <w:keepLines/>
              <w:widowControl w:val="0"/>
              <w:rPr>
                <w:sz w:val="20"/>
                <w:szCs w:val="20"/>
              </w:rPr>
            </w:pPr>
            <w:r>
              <w:rPr>
                <w:sz w:val="20"/>
                <w:szCs w:val="20"/>
              </w:rPr>
              <w:t>Канистра 5 литров.</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15</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48473624">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84D6-C447-4B42-A059-48C8A3EE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4485</Words>
  <Characters>25569</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11</cp:revision>
  <cp:lastPrinted>2022-11-03T12:33:00Z</cp:lastPrinted>
  <dcterms:created xsi:type="dcterms:W3CDTF">2026-05-22T08:05:00Z</dcterms:created>
  <dcterms:modified xsi:type="dcterms:W3CDTF">2026-06-01T12:36:00Z</dcterms:modified>
</cp:coreProperties>
</file>