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3"/>
        <w:tblW w:w="1604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6044"/>
      </w:tblGrid>
      <w:tr>
        <w:trPr/>
        <w:tc>
          <w:tcPr>
            <w:tcW w:w="16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ОБОСНОВАНИЕ НАЧАЛЬНОЙ (МАКСИМАЛЬНОЙ) ЦЕНЫ КОНТРАКТА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firstLine="737" w:left="0" w:right="113"/>
              <w:jc w:val="both"/>
              <w:rPr>
                <w:rFonts w:ascii="Nimbus Roman" w:hAnsi="Nimbus Roman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" w:ascii="Nimbus Roman" w:hAnsi="Nimbus Roman"/>
                <w:kern w:val="0"/>
                <w:sz w:val="24"/>
                <w:szCs w:val="24"/>
                <w:lang w:val="ru-RU" w:eastAsia="ru-RU" w:bidi="ar-SA"/>
              </w:rPr>
              <w:t>Н</w:t>
            </w:r>
            <w:r>
              <w:rPr>
                <w:rFonts w:eastAsia="" w:cs="" w:ascii="Nimbus Roman" w:hAnsi="Nimbus Roman"/>
                <w:kern w:val="0"/>
                <w:sz w:val="22"/>
                <w:szCs w:val="22"/>
                <w:lang w:val="ru-RU" w:eastAsia="ru-RU" w:bidi="ar-SA"/>
              </w:rPr>
              <w:t>ачальная (максимальная) цена контракта (далее - НМЦК) определена Государственным заказчиком методом сопоставимых рыночных цен (анализа рынка) на основании п. 1 ч. 1 статьи 22 Федерального закона от 05.04.2013г. № 44-ФЗ.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firstLine="737" w:left="0" w:right="113"/>
              <w:jc w:val="both"/>
              <w:rPr>
                <w:rFonts w:ascii="Nimbus Roman" w:hAnsi="Nimbus Roman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 w:ascii="Nimbus Roman" w:hAnsi="Nimbus Roman"/>
                <w:kern w:val="0"/>
                <w:sz w:val="22"/>
                <w:szCs w:val="22"/>
                <w:lang w:val="ru-RU" w:eastAsia="ru-RU" w:bidi="ar-SA"/>
              </w:rPr>
              <w:t>Особенности определения НМЦК применены Государственным заказчиком в соответствии с пп. «в» п.7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-  постановление Правительства РФ № 1875).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firstLine="737" w:left="0" w:right="113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widowControl/>
        <w:bidi w:val="0"/>
        <w:spacing w:lineRule="auto" w:line="240" w:before="0" w:after="0"/>
        <w:ind w:firstLine="794" w:left="0" w:right="0"/>
        <w:jc w:val="left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</w:r>
    </w:p>
    <w:p>
      <w:pPr>
        <w:pStyle w:val="Normal"/>
        <w:widowControl/>
        <w:bidi w:val="0"/>
        <w:spacing w:lineRule="auto" w:line="240" w:before="0" w:after="0"/>
        <w:ind w:firstLine="794" w:left="0" w:right="0"/>
        <w:jc w:val="both"/>
        <w:rPr/>
      </w:pPr>
      <w:r>
        <w:rPr>
          <w:rFonts w:ascii="Times New Roman" w:hAnsi="Times New Roman"/>
          <w:sz w:val="24"/>
          <w:szCs w:val="24"/>
        </w:rPr>
        <w:t>1. Государственным заказчиком в ГИСП осуществлен поиск производителей товара, включенного в объект закупки. В ГИСП отсутствует  информация о субъекте, осуществляющем производство включенного в объект закупки товара.</w:t>
      </w:r>
    </w:p>
    <w:p>
      <w:pPr>
        <w:pStyle w:val="Normal"/>
        <w:widowControl/>
        <w:bidi w:val="0"/>
        <w:spacing w:lineRule="auto" w:line="240" w:before="0" w:after="0"/>
        <w:ind w:firstLine="794" w:left="0" w:right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2. Государственным заказчиком на официальном сайте ЕИС в реестре контрактов, заключенных заказчиками, осуществлен поиск поставщиков, которые осуществляют поставку товаров, происходящих из государств - членов ЕЭС, идентичных товарам, планируемым к закупкам (при их отсутствии - однородных товаров) </w:t>
      </w:r>
    </w:p>
    <w:p>
      <w:pPr>
        <w:pStyle w:val="Normal"/>
        <w:widowControl/>
        <w:bidi w:val="0"/>
        <w:spacing w:lineRule="auto" w:line="240" w:before="0" w:after="0"/>
        <w:ind w:firstLine="794" w:left="0" w:right="0"/>
        <w:jc w:val="left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  <w:lang w:val="ru-RU" w:eastAsia="ru-RU"/>
        </w:rPr>
        <w:t>На официальном сайте ЕИС в реестре контрактов, заключенных заказчиками, информация о заключенных и исполненных контрактах на поставку идентичных и однородных товаров не содержится.</w:t>
      </w:r>
    </w:p>
    <w:p>
      <w:pPr>
        <w:pStyle w:val="Normal"/>
        <w:widowControl/>
        <w:bidi w:val="0"/>
        <w:spacing w:lineRule="auto" w:line="240" w:before="0" w:after="0"/>
        <w:ind w:firstLine="794" w:left="0" w:right="0"/>
        <w:jc w:val="left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  <w:lang w:val="ru-RU" w:eastAsia="ru-RU"/>
        </w:rPr>
        <w:t>3. В связи с изложенным, определение НМЦК осуществляется «иным методом». Для определения НМЦК использует иной метод, аналогичный методу сопоставимых рыночных цен (анализа рынка), но с учетом ценовой информации о товарах, происходящих из иных иностранных государств, помимо государств - членов ЕАЭС.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2551"/>
        <w:gridCol w:w="2490"/>
        <w:gridCol w:w="1425"/>
        <w:gridCol w:w="1184"/>
        <w:gridCol w:w="1532"/>
        <w:gridCol w:w="1409"/>
        <w:gridCol w:w="1502"/>
        <w:gridCol w:w="1500"/>
        <w:gridCol w:w="2020"/>
      </w:tblGrid>
      <w:tr>
        <w:trPr>
          <w:trHeight w:val="240" w:hRule="atLeast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ОКПД2 / КТРУ</w:t>
            </w:r>
          </w:p>
        </w:tc>
        <w:tc>
          <w:tcPr>
            <w:tcW w:w="2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  <w:lang w:val="ru-RU"/>
              </w:rPr>
              <w:t>Наименование товара</w:t>
            </w:r>
          </w:p>
          <w:p>
            <w:pPr>
              <w:pStyle w:val="Normal"/>
              <w:spacing w:before="0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  <w:lang w:val="ru-RU"/>
              </w:rPr>
              <w:t>(работ, услуг)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  <w:lang w:val="ru-RU"/>
              </w:rPr>
              <w:t>Ед</w:t>
            </w: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Liberation Serif" w:hAnsi="Liberation Serif"/>
                <w:color w:val="000000"/>
                <w:sz w:val="22"/>
                <w:szCs w:val="22"/>
                <w:lang w:val="ru-RU"/>
              </w:rPr>
              <w:t>изм</w:t>
            </w: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Коли</w:t>
            </w:r>
            <w:r>
              <w:rPr>
                <w:rFonts w:ascii="Liberation Serif" w:hAnsi="Liberation Serif"/>
                <w:color w:val="000000"/>
                <w:sz w:val="22"/>
                <w:szCs w:val="22"/>
                <w:lang w:val="ru-RU"/>
              </w:rPr>
              <w:t>-</w:t>
            </w: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чество</w:t>
            </w:r>
          </w:p>
        </w:tc>
        <w:tc>
          <w:tcPr>
            <w:tcW w:w="4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  <w:lang w:val="ru-RU"/>
              </w:rPr>
              <w:t>цена</w:t>
            </w: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2"/>
                <w:szCs w:val="22"/>
                <w:lang w:val="ru-RU"/>
              </w:rPr>
              <w:t>за</w:t>
            </w: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1 </w:t>
            </w:r>
            <w:r>
              <w:rPr>
                <w:rFonts w:ascii="Liberation Serif" w:hAnsi="Liberation Serif"/>
                <w:color w:val="000000"/>
                <w:sz w:val="22"/>
                <w:szCs w:val="22"/>
                <w:lang w:val="ru-RU"/>
              </w:rPr>
              <w:t>единицу</w:t>
            </w: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2"/>
                <w:szCs w:val="22"/>
                <w:lang w:val="ru-RU"/>
              </w:rPr>
              <w:t>руб</w:t>
            </w: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  <w:lang w:val="ru-RU"/>
              </w:rPr>
              <w:t>Средняя</w:t>
            </w: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2"/>
                <w:szCs w:val="22"/>
                <w:lang w:val="ru-RU"/>
              </w:rPr>
              <w:t>цена единицы</w:t>
            </w: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, руб.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  <w:lang w:val="ru-RU"/>
              </w:rPr>
              <w:t>Средняя арифметическая цена предложений</w:t>
            </w:r>
          </w:p>
          <w:p>
            <w:pPr>
              <w:pStyle w:val="Normal"/>
              <w:spacing w:before="0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  <w:lang w:val="ru-RU"/>
              </w:rPr>
              <w:t>руб.</w:t>
            </w:r>
          </w:p>
        </w:tc>
      </w:tr>
      <w:tr>
        <w:trPr>
          <w:trHeight w:val="240" w:hRule="atLeast"/>
        </w:trPr>
        <w:tc>
          <w:tcPr>
            <w:tcW w:w="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W w:w="25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W w:w="24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W w:w="1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W w:w="4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  <w:lang w:val="ru-RU"/>
              </w:rPr>
              <w:t>Мониторинг цен</w:t>
            </w:r>
          </w:p>
        </w:tc>
        <w:tc>
          <w:tcPr>
            <w:tcW w:w="15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</w:r>
          </w:p>
        </w:tc>
        <w:tc>
          <w:tcPr>
            <w:tcW w:w="2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</w:r>
          </w:p>
        </w:tc>
      </w:tr>
      <w:tr>
        <w:trPr>
          <w:trHeight w:val="673" w:hRule="atLeast"/>
        </w:trPr>
        <w:tc>
          <w:tcPr>
            <w:tcW w:w="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5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4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color w:val="2E2E2E"/>
                <w:sz w:val="22"/>
                <w:szCs w:val="22"/>
                <w:lang w:val="ru-RU"/>
              </w:rPr>
              <w:t>Источник цены № 1</w:t>
            </w: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  <w:lang w:val="ru-RU"/>
              </w:rPr>
              <w:t>Источник цены № 2</w:t>
            </w:r>
          </w:p>
        </w:tc>
        <w:tc>
          <w:tcPr>
            <w:tcW w:w="1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  <w:lang w:val="ru-RU"/>
              </w:rPr>
              <w:t>Источник цены № 3</w:t>
            </w:r>
          </w:p>
        </w:tc>
        <w:tc>
          <w:tcPr>
            <w:tcW w:w="15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2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  <w:highlight w:val="yellow"/>
              </w:rPr>
            </w:r>
          </w:p>
        </w:tc>
      </w:tr>
      <w:tr>
        <w:trPr>
          <w:trHeight w:val="199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280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80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26.20.21.110 -Базовые системы хранения данных (обеспечивающие сохранность данных при отключении питания)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val="ru-RU"/>
              </w:rPr>
              <w:t>SSD накопитель Samsung 870 EVO 500 ГБ 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  <w:lang w:val="ru-RU"/>
              </w:rPr>
              <w:t>штука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  <w:lang w:val="ru-RU"/>
              </w:rPr>
              <w:t>8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22 070,00</w:t>
            </w: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21 770,00</w:t>
            </w:r>
          </w:p>
        </w:tc>
        <w:tc>
          <w:tcPr>
            <w:tcW w:w="1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21 547,00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21 795,67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13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174 365,36</w:t>
            </w:r>
          </w:p>
        </w:tc>
      </w:tr>
      <w:tr>
        <w:trPr>
          <w:trHeight w:val="199" w:hRule="atLeast"/>
        </w:trPr>
        <w:tc>
          <w:tcPr>
            <w:tcW w:w="140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57" w:after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</w:r>
          </w:p>
        </w:tc>
        <w:tc>
          <w:tcPr>
            <w:tcW w:w="20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13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174 365,36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40" w:before="0" w:after="0"/>
        <w:ind w:firstLine="57" w:left="0" w:right="0"/>
        <w:jc w:val="both"/>
        <w:rPr/>
      </w:pPr>
      <w:r>
        <w:rPr/>
      </w:r>
    </w:p>
    <w:p>
      <w:pPr>
        <w:pStyle w:val="Normal"/>
        <w:widowControl/>
        <w:bidi w:val="0"/>
        <w:spacing w:lineRule="auto" w:line="240" w:before="0" w:after="0"/>
        <w:ind w:firstLine="794" w:left="0" w:right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Начальная (максимальная) цена контракта: 174 365 (</w:t>
      </w:r>
      <w:r>
        <w:rPr>
          <w:rFonts w:ascii="Liberation Serif" w:hAnsi="Liberation Serif"/>
        </w:rPr>
        <w:t>сто семьдесят четыре тысяч триста шестьдесят пять</w:t>
      </w:r>
      <w:r>
        <w:rPr>
          <w:rFonts w:ascii="Liberation Serif" w:hAnsi="Liberation Serif"/>
        </w:rPr>
        <w:t xml:space="preserve">) рублей </w:t>
      </w:r>
      <w:r>
        <w:rPr>
          <w:rFonts w:ascii="Liberation Serif" w:hAnsi="Liberation Serif"/>
        </w:rPr>
        <w:t>36</w:t>
      </w:r>
      <w:r>
        <w:rPr>
          <w:rFonts w:ascii="Liberation Serif" w:hAnsi="Liberation Serif"/>
        </w:rPr>
        <w:t xml:space="preserve"> копеек. 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>03</w:t>
      </w: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>.08.202</w:t>
      </w: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>6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Calibri" w:cs="Times New Roman"/>
          <w:sz w:val="16"/>
          <w:szCs w:val="16"/>
          <w:lang w:eastAsia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 xml:space="preserve">Ф.И.О. ответственного: Харитончик О.Д. 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Calibri" w:cs="Times New Roman"/>
          <w:sz w:val="16"/>
          <w:szCs w:val="16"/>
          <w:lang w:eastAsia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>499-795-21-16</w:t>
      </w:r>
    </w:p>
    <w:sectPr>
      <w:type w:val="nextPage"/>
      <w:pgSz w:orient="landscape" w:w="16838" w:h="11906"/>
      <w:pgMar w:left="238" w:right="536" w:gutter="0" w:header="0" w:top="238" w:footer="0" w:bottom="24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swiss"/>
    <w:pitch w:val="variable"/>
  </w:font>
  <w:font w:name="Open Sans">
    <w:charset w:val="01"/>
    <w:family w:val="swiss"/>
    <w:pitch w:val="variable"/>
  </w:font>
  <w:font w:name="Nimbus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9a7b88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bd7c2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3252c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5e2b"/>
    <w:rPr>
      <w:color w:themeColor="followedHyperlink" w:val="800080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9a7b88"/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Droid Sans"/>
    </w:rPr>
  </w:style>
  <w:style w:type="paragraph" w:styleId="ListParagraph">
    <w:name w:val="List Paragraph"/>
    <w:basedOn w:val="Normal"/>
    <w:uiPriority w:val="34"/>
    <w:qFormat/>
    <w:rsid w:val="00ea22a8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bd7c2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7502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Default" w:customStyle="1">
    <w:name w:val="Default"/>
    <w:qFormat/>
    <w:rsid w:val="0019531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/>
      <w:color w:val="000000"/>
      <w:kern w:val="0"/>
      <w:sz w:val="24"/>
      <w:szCs w:val="24"/>
      <w:lang w:val="ru-RU" w:eastAsia="ru-RU" w:bidi="ar-SA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Application>LibreOffice/24.8.4.1$Linux_X86_64 LibreOffice_project/480$Build-1</Application>
  <AppVersion>15.0000</AppVersion>
  <Pages>1</Pages>
  <Words>313</Words>
  <Characters>2065</Characters>
  <CharactersWithSpaces>2349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2024-12-25T03:09:00Z</dcterms:created>
  <dc:creator>Карпов Юрий Владимирович</dc:creator>
  <dc:description/>
  <dc:language>ru-RU</dc:language>
  <cp:lastModifiedBy/>
  <cp:lastPrinted>2024-10-25T06:07:00Z</cp:lastPrinted>
  <dcterms:modified xsi:type="dcterms:W3CDTF">2026-08-03T10:50:24Z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