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 государственного контракта № _____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 оказании медицинских услуг по проведению военно-врачебной экспертизы должностным лицам Татарстанской таможни, а также должностных лиц, работающих с источником ионизирующего излучения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ИКЗ: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261165302131116570100100270000000244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КБК: 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15301063941590049 244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Казань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«_____»____________ 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г.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Татарстанская таможня, от имени Российской Федерации в целях обеспечения государственных нужд, именуемая в дальнейшем «Заказчик», в лице заместителя начальника таможни Ботайкина Сергея Викторовича,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доверенности от</w:t>
      </w:r>
      <w:r>
        <w:rPr>
          <w:rFonts w:ascii="Times New Roman" w:hAnsi="Times New Roman" w:cs="Times New Roman"/>
          <w:sz w:val="24"/>
          <w:szCs w:val="24"/>
        </w:rPr>
        <w:t xml:space="preserve"> 14 ноября 2025 г.  № 07-01-30/15829 и Общего положения о таможне, утвержденного приказом ФТС России     № 798 от 20 сентября 2021 г., с одной стороны, </w:t>
      </w:r>
      <w:r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__________________________________, в лице ____________________________________, именуемый в дальнейшем Исполнитель, с другой стороны, именуемые в дальнейшем Стороны, на основании пункта 4 части 1 статьи 93 Федерального закона от 05.04.201</w:t>
      </w:r>
      <w:r>
        <w:rPr>
          <w:rFonts w:ascii="Times New Roman" w:hAnsi="Times New Roman" w:cs="Times New Roman"/>
          <w:sz w:val="24"/>
          <w:szCs w:val="24"/>
        </w:rPr>
        <w:t xml:space="preserve">3 № 44-ФЗ                                  «О контрактной системе в сфере закупок товаров, работ, услуг для обеспечения государственных и муниципальных нужд» (далее – Федеральный закон) заключили государственный контракт (далее – контракт) о нижеследующем: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ПРЕДМЕТ КОНТРАКТА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 Исполнитель обязуется оказывать медицинские услуги в виде военно-врачебной экспертизы в отношении лиц, направленных </w:t>
      </w:r>
      <w:r>
        <w:rPr>
          <w:rFonts w:ascii="Times New Roman" w:hAnsi="Times New Roman" w:cs="Times New Roman"/>
          <w:sz w:val="24"/>
          <w:szCs w:val="24"/>
        </w:rPr>
        <w:t xml:space="preserve"> Заказчиком,  а  Заказчик  обязуется оплатить их в порядке и размере, установленным настоящим  контрактом. Военно-врачебная экспертиза в рамках контракта понимается Сторонами как решение вопроса о годности к службе в таможенных органах и годности к поступл</w:t>
      </w:r>
      <w:r>
        <w:rPr>
          <w:rFonts w:ascii="Times New Roman" w:hAnsi="Times New Roman" w:cs="Times New Roman"/>
          <w:sz w:val="24"/>
          <w:szCs w:val="24"/>
        </w:rPr>
        <w:t xml:space="preserve">ению на службу в таможенные органы по контракту и не включает иные медицинские услуги. Услуги необходимые для проведения военно-врачебной экспертизы: лабораторные и инструментальные исследования, обследование в стационаре, консультации иных специалистов.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При оказании  услуг  стороны руководствуются Положением  о  военно-врачебной экспертизе, утвержденным  постановлением Правительс</w:t>
      </w:r>
      <w:r>
        <w:rPr>
          <w:rFonts w:ascii="Times New Roman" w:hAnsi="Times New Roman" w:cs="Times New Roman"/>
          <w:sz w:val="24"/>
          <w:szCs w:val="24"/>
        </w:rPr>
        <w:t xml:space="preserve">тва  Российской Федерации  от 4 июля </w:t>
      </w:r>
      <w:r>
        <w:rPr>
          <w:rFonts w:ascii="Times New Roman" w:hAnsi="Times New Roman" w:cs="Times New Roman"/>
          <w:sz w:val="24"/>
          <w:szCs w:val="24"/>
        </w:rPr>
        <w:t xml:space="preserve">2013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 565 «Об утверждении Положения о военно-врачебной экспертизе», Инструкцией о порядке проведения военно-врачебной экспертизы в таможенных органах Российской Федерации, утвержденной  приказом  ГТК России от </w:t>
      </w:r>
      <w:r>
        <w:rPr>
          <w:rFonts w:ascii="Times New Roman" w:hAnsi="Times New Roman" w:cs="Times New Roman"/>
          <w:sz w:val="24"/>
          <w:szCs w:val="24"/>
        </w:rPr>
        <w:t xml:space="preserve">4 июня </w:t>
      </w:r>
      <w:r>
        <w:rPr>
          <w:rFonts w:ascii="Times New Roman" w:hAnsi="Times New Roman" w:cs="Times New Roman"/>
          <w:sz w:val="24"/>
          <w:szCs w:val="24"/>
        </w:rPr>
        <w:t xml:space="preserve">2003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 620 и </w:t>
      </w:r>
      <w:r>
        <w:rPr>
          <w:rFonts w:ascii="Times New Roman" w:hAnsi="Times New Roman" w:cs="Times New Roman"/>
          <w:sz w:val="24"/>
          <w:szCs w:val="24"/>
        </w:rPr>
        <w:t xml:space="preserve">Требованиями к состоянию здоровья граждан, поступающих на службу в таможенные органы по контракту, сотрудников таможенных органов и граждан, прошедших службу в таможенных органах Российской Федерации, утвержденными приказом ФТС России от 30.12.2013 № 2460.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Исполнитель оказывает медицинские услуги в виде военно-врачебной экспертизы должностным лицам таможни, а также гражд</w:t>
      </w:r>
      <w:r>
        <w:rPr>
          <w:rFonts w:ascii="Times New Roman" w:hAnsi="Times New Roman" w:cs="Times New Roman"/>
          <w:sz w:val="24"/>
          <w:szCs w:val="24"/>
        </w:rPr>
        <w:t xml:space="preserve">анам, поступающим на службу в таможенные  органы  по контракту (далее – кандидаты на службу), согласно направлению, выдаваемого Заказчиком, подписанного начальником отдела государственной службы и кадров Татарстанской  таможни  или  лицом,  его замещающим.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Услуги оказываются на лечебной базе Исполнителя в г. Казань в соответствии с режимом работы Исполнителя и прейскурантом цен.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Срок оказания услуг по настоящему контракту с </w:t>
      </w:r>
      <w:r>
        <w:rPr>
          <w:rFonts w:ascii="Times New Roman" w:hAnsi="Times New Roman" w:cs="Times New Roman"/>
          <w:sz w:val="24"/>
          <w:szCs w:val="24"/>
        </w:rPr>
        <w:t xml:space="preserve">6 июля 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6 г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 Услуги считаются оказанными после подписания Сторонами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кта об оказании услуг.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ЦЕНА КОНТРАКТА И ПОРЯДОК РАСЧЕТОВ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2.1.  Цена   контракта   составляет 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, НДС   не   облагается, согласно статьи 149 Налогового кодекса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>
        <w:rPr>
          <w:rFonts w:ascii="Times New Roman" w:hAnsi="Times New Roman" w:cs="Times New Roman"/>
          <w:bCs/>
          <w:sz w:val="24"/>
          <w:szCs w:val="24"/>
        </w:rPr>
        <w:t xml:space="preserve">Услуги оплачиваются в пределах лимитов бюджетных обязательств, доведенных на 202</w:t>
      </w:r>
      <w:r>
        <w:rPr>
          <w:rFonts w:ascii="Times New Roman" w:hAnsi="Times New Roman" w:cs="Times New Roman"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год. Источником финансирования является Федеральный бюджет.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2.3. </w:t>
      </w:r>
      <w:r>
        <w:rPr>
          <w:rFonts w:ascii="Times New Roman" w:hAnsi="Times New Roman" w:cs="Times New Roman"/>
          <w:bCs/>
          <w:sz w:val="24"/>
          <w:szCs w:val="24"/>
        </w:rPr>
        <w:t xml:space="preserve">Цена контракта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формируется с учётом всех расходов Исполнителя, необходимых для оказания услуг, в том числе всех обязательных платежей, предусмотренных законодательством Российской Федерации, включаемых в цену услуг. Все расчеты производятся в рублях Российской Федерации.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</w:rPr>
        <w:t xml:space="preserve">. Цены на услуги устанавливаются Исполнителем и оформляются в виде прейскуранта цен на услуги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(Приложение №1)</w:t>
      </w:r>
      <w:r>
        <w:rPr>
          <w:rFonts w:ascii="Times New Roman" w:hAnsi="Times New Roman" w:cs="Times New Roman"/>
          <w:bCs/>
          <w:sz w:val="24"/>
          <w:szCs w:val="24"/>
        </w:rPr>
        <w:t xml:space="preserve">.              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2.5</w:t>
      </w:r>
      <w:r>
        <w:rPr>
          <w:rFonts w:ascii="Times New Roman" w:hAnsi="Times New Roman" w:cs="Times New Roman"/>
          <w:bCs/>
          <w:sz w:val="24"/>
          <w:szCs w:val="24"/>
        </w:rPr>
        <w:t xml:space="preserve">.   Услуги, предоставленные Исполнителем, оплачиваются Заказчиком по счету, реестру и акту об оказании услуг, предоставленных на бумажном носите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ле, содержащих информацию, позволяющую идентифицировать личность должностного лица или кандидата на службу, код работы или услуги установленный в медицинском учреждении по прейскуранту цен на медицинские услуги, действующих на момент заключения контракта.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2.6</w:t>
      </w:r>
      <w:r>
        <w:rPr>
          <w:rFonts w:ascii="Times New Roman" w:hAnsi="Times New Roman" w:cs="Times New Roman"/>
          <w:bCs/>
          <w:sz w:val="24"/>
          <w:szCs w:val="24"/>
        </w:rPr>
        <w:t xml:space="preserve">. Исполнитель в течение 3 (трех) рабочих дней после окончания оказания услуги направляет счет и другие док</w:t>
      </w:r>
      <w:r>
        <w:rPr>
          <w:rFonts w:ascii="Times New Roman" w:hAnsi="Times New Roman" w:cs="Times New Roman"/>
          <w:bCs/>
          <w:sz w:val="24"/>
          <w:szCs w:val="24"/>
        </w:rPr>
        <w:t xml:space="preserve">ументы, указанные в пункте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контракта Заказчику с указанием банковских реквизитов и почтового адреса.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</w:t>
      </w:r>
      <w:r>
        <w:rPr>
          <w:rFonts w:ascii="Times New Roman" w:hAnsi="Times New Roman" w:cs="Times New Roman"/>
          <w:bCs/>
          <w:sz w:val="24"/>
          <w:szCs w:val="24"/>
        </w:rPr>
        <w:t xml:space="preserve">7</w:t>
      </w:r>
      <w:r>
        <w:rPr>
          <w:rFonts w:ascii="Times New Roman" w:hAnsi="Times New Roman" w:cs="Times New Roman"/>
          <w:bCs/>
          <w:sz w:val="24"/>
          <w:szCs w:val="24"/>
        </w:rPr>
        <w:t xml:space="preserve">. Заказчик проводит предварительную экспертизу качества услуг, на основе представленных Исполнителем счета, реестра и акта об оказании услуг. При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отсутствии прете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нзий Заказчик оплачивает и подписывает </w:t>
      </w:r>
      <w:r>
        <w:rPr>
          <w:rFonts w:ascii="Times New Roman" w:hAnsi="Times New Roman" w:cs="Times New Roman"/>
          <w:bCs/>
          <w:sz w:val="24"/>
          <w:szCs w:val="24"/>
        </w:rPr>
        <w:t xml:space="preserve">акт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либо дает мотивированный отказ от их оплаты в течение 5 (пяти) рабочих дней.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</w:t>
      </w:r>
      <w:r>
        <w:rPr>
          <w:rFonts w:ascii="Times New Roman" w:hAnsi="Times New Roman" w:cs="Times New Roman"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Cs/>
          <w:sz w:val="24"/>
          <w:szCs w:val="24"/>
        </w:rPr>
        <w:t xml:space="preserve">. Цена контракта является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твердой и определяется на весь срок исполнения контракта,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</w:t>
      </w:r>
      <w:r>
        <w:rPr>
          <w:rFonts w:ascii="Times New Roman" w:hAnsi="Times New Roman" w:cs="Times New Roman"/>
          <w:bCs/>
          <w:sz w:val="24"/>
          <w:szCs w:val="24"/>
        </w:rPr>
        <w:t xml:space="preserve">9</w:t>
      </w:r>
      <w:r>
        <w:rPr>
          <w:rFonts w:ascii="Times New Roman" w:hAnsi="Times New Roman" w:cs="Times New Roman"/>
          <w:bCs/>
          <w:sz w:val="24"/>
          <w:szCs w:val="24"/>
        </w:rPr>
        <w:t xml:space="preserve">. Оплата услуг по контракту производится путем перечисления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денежных средств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 расчетный счет Исполнителя за фактически оказанные услуги, на основании счета и акта об оказании услуг в течение 7 (семи) рабочих дней со дня подписания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акта об оказании услуг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Заказчиком.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</w:t>
      </w:r>
      <w:r>
        <w:rPr>
          <w:rFonts w:ascii="Times New Roman" w:hAnsi="Times New Roman" w:cs="Times New Roman"/>
          <w:bCs/>
          <w:sz w:val="24"/>
          <w:szCs w:val="24"/>
        </w:rPr>
        <w:t xml:space="preserve">10</w:t>
      </w:r>
      <w:r>
        <w:rPr>
          <w:rFonts w:ascii="Times New Roman" w:hAnsi="Times New Roman" w:cs="Times New Roman"/>
          <w:bCs/>
          <w:sz w:val="24"/>
          <w:szCs w:val="24"/>
        </w:rPr>
        <w:t xml:space="preserve">. Сумма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контракта, подлежащая уплате Заказчиком Исполнителю может быть уменьшена на размер налогов, сборов и иных обязательных платежей в бюджеты бюджетной системы Р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ПРАВА И ОБЯЗАННОСТИ СТОРОН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 Исполнитель обязан: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Оказать услуги надлежащего качества.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Обеспечить соответствие предоставляемых услуг требованиям, предъявляемым к методам диагностики, разрешенным на территории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3.1.3. Исполнитель, после проведения военно-врачебной экспертизы, выдает освидетельствованному заключение военно-врачебной комиссии, оформленное справкой, заверенную печатью комиссии.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 Заказчик обязан: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 Представить документы, необходимые   для   освидетельствования.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Своевременно оплатить Исполнителю услуги, оказанные представителям Заказчика.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Для проверки предоставленных Исполнителем результатов, предусмотренных контрактом, в части их соответствия условиям контракта. Заказчик обязан провести экспертизу. Экспертиз</w:t>
      </w:r>
      <w:r>
        <w:rPr>
          <w:rFonts w:ascii="Times New Roman" w:hAnsi="Times New Roman" w:cs="Times New Roman"/>
          <w:sz w:val="24"/>
          <w:szCs w:val="24"/>
        </w:rPr>
        <w:t xml:space="preserve">а результатов,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ПОРЯДОК СДАЧИ И ПРИЕМКИ ОКАЗАННЫХ УСЛУГ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4.1. Сдача результатов оказанных услуг Исполнителем и их приемка Заказчиком производится в соответствии с гражданским законодательством Российской Федерации и оформляется актом об оказании услуг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актом приемки товаров, работ, услуг (ф.</w:t>
      </w:r>
      <w:r>
        <w:rPr>
          <w:rFonts w:ascii="Times New Roman" w:hAnsi="Times New Roman" w:eastAsia="Calibri" w:cs="Times New Roman"/>
          <w:i/>
          <w:iCs/>
          <w:sz w:val="24"/>
          <w:szCs w:val="24"/>
          <w:lang w:eastAsia="ru-RU"/>
        </w:rPr>
        <w:t xml:space="preserve"> 0510452),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подписываемыми Сторонами. Услуги считаются оказанными со дня подписания Сторонами акта об оказании услуг, акта приемки товаров, работ, услуг (ф. 0510452).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4.2. В течение 5 (пяти) рабочих дней с момента представления Заказчику Исполнителем счета, акта об оказании услуг, акта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приемки товаров, работ, услуг (ф.</w:t>
      </w:r>
      <w:r>
        <w:rPr>
          <w:rFonts w:ascii="Times New Roman" w:hAnsi="Times New Roman" w:eastAsia="Calibri" w:cs="Times New Roman"/>
          <w:i/>
          <w:iCs/>
          <w:sz w:val="24"/>
          <w:szCs w:val="24"/>
          <w:lang w:eastAsia="ru-RU"/>
        </w:rPr>
        <w:t xml:space="preserve"> 0510452)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Заказчик принимает услуги, оказанные Исполнителем на предмет соответствия оказанных услуг и представленной документации требованиям и условиям настоящего Контракта и оформляет результаты такой проверки.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4.3.При наличии замечаний к результатам оказанных услуг Заказчик направляет в адрес Исполнителя в течение 1 рабочего дня мотивированный отказ от приемки оказанных услуг и составляет акт с указанием причин и недостатков оказанных услуг. </w:t>
      </w:r>
      <w:r>
        <w:rPr>
          <w:rFonts w:ascii="Times New Roman" w:hAnsi="Times New Roman" w:eastAsia="Calibri" w:cs="Times New Roman"/>
          <w:i/>
          <w:i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pacing w:val="-4"/>
          <w:sz w:val="24"/>
          <w:szCs w:val="24"/>
          <w:lang w:eastAsia="ru-RU"/>
        </w:rPr>
        <w:t xml:space="preserve">Исполнитель устраняет указанные недостатки в течение 5 (пяти) рабочих дней с даты получения мотивированного отказа, при этом срок, предусмотренный пунктом 1.2 настоящего Контракта, не продлевается. А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кт об оказании услуг, акт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приемки товаров, работ, услуг (ф.</w:t>
      </w:r>
      <w:r>
        <w:rPr>
          <w:rFonts w:ascii="Times New Roman" w:hAnsi="Times New Roman" w:eastAsia="Calibri" w:cs="Times New Roman"/>
          <w:i/>
          <w:iCs/>
          <w:sz w:val="24"/>
          <w:szCs w:val="24"/>
          <w:lang w:eastAsia="ru-RU"/>
        </w:rPr>
        <w:t xml:space="preserve"> 0510452)</w:t>
      </w:r>
      <w:r>
        <w:rPr>
          <w:rFonts w:ascii="Times New Roman" w:hAnsi="Times New Roman" w:eastAsia="Calibri" w:cs="Times New Roman"/>
          <w:spacing w:val="-4"/>
          <w:sz w:val="24"/>
          <w:szCs w:val="24"/>
          <w:lang w:eastAsia="ru-RU"/>
        </w:rPr>
        <w:t xml:space="preserve">в этом случае подписывается после устранения всех недостатков.</w:t>
      </w:r>
      <w:r>
        <w:rPr>
          <w:rFonts w:ascii="Times New Roman" w:hAnsi="Times New Roman" w:eastAsia="Calibri" w:cs="Times New Roman"/>
          <w:spacing w:val="-4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4.4.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Для п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  <w:t xml:space="preserve">роверки результатов оказанных услуг в части их соответствия условиям Контракта Заказчик проводит экспертизу. Экспертиза результатов оказанных услуг проводится Заказчиком своими силами или к ее проведению могут привлекаться эксперты, экспертные организации.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За неисполнение или ненадлежащее исполнение св</w:t>
      </w:r>
      <w:r>
        <w:rPr>
          <w:rFonts w:ascii="Times New Roman" w:hAnsi="Times New Roman" w:cs="Times New Roman"/>
          <w:sz w:val="24"/>
          <w:szCs w:val="24"/>
        </w:rPr>
        <w:t xml:space="preserve">оих обязательств,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контрактом, Заказчик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В случае п</w:t>
      </w:r>
      <w:r>
        <w:rPr>
          <w:rFonts w:ascii="Times New Roman" w:hAnsi="Times New Roman" w:cs="Times New Roman"/>
          <w:sz w:val="24"/>
          <w:szCs w:val="24"/>
        </w:rPr>
        <w:t xml:space="preserve">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Пеня начисляется за каждый день просрочки исполнения Заказчиком обязательства, предусмотренного контрак</w:t>
      </w:r>
      <w:r>
        <w:rPr>
          <w:rFonts w:ascii="Times New Roman" w:hAnsi="Times New Roman" w:cs="Times New Roman"/>
          <w:sz w:val="24"/>
          <w:szCs w:val="24"/>
        </w:rPr>
        <w:t xml:space="preserve">том, начиная со дня, следующего после дня истечения, установленного контрактом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5.4. За каждый факт неисполнения Заказчико</w:t>
      </w:r>
      <w:r>
        <w:rPr>
          <w:rFonts w:ascii="Times New Roman" w:hAnsi="Times New Roman" w:cs="Times New Roman"/>
          <w:sz w:val="24"/>
          <w:szCs w:val="24"/>
        </w:rPr>
        <w:t xml:space="preserve">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контрактом, за исключением просрочки исполнени</w:t>
      </w:r>
      <w:r>
        <w:rPr>
          <w:rFonts w:ascii="Times New Roman" w:hAnsi="Times New Roman" w:cs="Times New Roman"/>
          <w:sz w:val="24"/>
          <w:szCs w:val="24"/>
        </w:rPr>
        <w:t xml:space="preserve">я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контрактом, размер штрафа устанавливается в размере 1 000 рублей.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В случае просрочки исполнени</w:t>
      </w:r>
      <w:r>
        <w:rPr>
          <w:rFonts w:ascii="Times New Roman" w:hAnsi="Times New Roman" w:cs="Times New Roman"/>
          <w:sz w:val="24"/>
          <w:szCs w:val="24"/>
        </w:rPr>
        <w:t xml:space="preserve">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Пеня начисляется за каждый день просрочки исполнения Исполнителем обязательства, предусмотренного контрактом, в </w:t>
      </w:r>
      <w:r>
        <w:rPr>
          <w:rFonts w:ascii="Times New Roman" w:hAnsi="Times New Roman" w:cs="Times New Roman"/>
          <w:sz w:val="24"/>
          <w:szCs w:val="24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онтрактом, размер штрафа устанавливается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</w:t>
      </w:r>
      <w:r>
        <w:rPr>
          <w:rFonts w:ascii="Times New Roman" w:hAnsi="Times New Roman" w:cs="Times New Roman"/>
          <w:sz w:val="24"/>
          <w:szCs w:val="24"/>
        </w:rPr>
        <w:t xml:space="preserve"> исполнения Исполнителем обязательств, предусмотренных контрактом (за исключением просрочки исполнения обязательств заказчиком, Исполнителем (подрядчиком, исполнителем), и размера пени, начисляемой за каждый день просрочки исполнения Исполнителем (подрядчи</w:t>
      </w:r>
      <w:r>
        <w:rPr>
          <w:rFonts w:ascii="Times New Roman" w:hAnsi="Times New Roman" w:cs="Times New Roman"/>
          <w:sz w:val="24"/>
          <w:szCs w:val="24"/>
        </w:rPr>
        <w:t xml:space="preserve">ком, исполнителем) обязательства, предусмотренного контрактом, утвержденными постановлением Правительства Российской Федерации от 30.08.2017 № 1042, размер штрафа устанавливается в размере 10 % цены контракта, что составляет _____________________________.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Общая сумма начисленных штрафов за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Ответственность Сторон в иных случаях определяется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Под ненадлежащим исполнением Исполнителем обязательств понимается оказание услуг, не соответствующих требованиям к качеству, объему оказываемых услуг, установленных контрактом.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Стороны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5.13. Ответственность за достоверность и соответствие законодательству Российской Федерации сведений, указанных в представленных документах, несет Исполнитель.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5.14. Уплата Исполнителем неустойки или применение иной формы ответственности не освобождает его от исполнения обязательств по контракту.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ПОРЯДОК РАЗРЕШЕНИЯ СПОРОВ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  Все споры и разногласия, которые могут возникнуть между Сторонами по настоящему контракту или в связи с ним, разрешаются путем переговоров между ними, в том числе путем направления претензий.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Претензия в письменной форме направляется Стороне, допустившей нарушение усл</w:t>
      </w:r>
      <w:r>
        <w:rPr>
          <w:rFonts w:ascii="Times New Roman" w:hAnsi="Times New Roman" w:cs="Times New Roman"/>
          <w:sz w:val="24"/>
          <w:szCs w:val="24"/>
        </w:rPr>
        <w:t xml:space="preserve">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  Срок рассмотрения писем, уведомлений или претензий не может превышать 5 (пять) дней со дня их получения.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При не урегулировании Сторонами в досудебном порядке спор передается на разрешение в Арбитражный суд Республики Татарстан согласно порядку, установленному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ДЕЙСТВИЕ ОБСТОЯТЕЛЬСТВ НЕПРЕОДОЛИМОЙ СИЛЫ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 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</w:t>
      </w:r>
      <w:r>
        <w:rPr>
          <w:rFonts w:ascii="Times New Roman" w:hAnsi="Times New Roman" w:cs="Times New Roman"/>
          <w:sz w:val="24"/>
          <w:szCs w:val="24"/>
        </w:rPr>
        <w:t xml:space="preserve">езвычайных и непредотвратимых при данных условиях обстоятельств, в том числе объявленной или фактической войны, гражданских волнений, эпидемии, блокады, эмбарго, пожаров и других природных стихийных бедствий, а также изданием актов государственных органов.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 Сторона, которая не исполняет обязательств по контракту вследствие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ПОРЯДОК ИЗМЕНЕНИЯ И РАСТОРЖЕНИЯ КОНТРАКТА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Любые изменения к настоящему контракту имеют силу только при условии   оформления в письменном   виде и подписания Сторонами, за исключением пункта 9.2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 Досрочное расторжение настоящего контракта допускается по соглашению Сторон, по решению суда по основани</w:t>
      </w:r>
      <w:r>
        <w:rPr>
          <w:rFonts w:ascii="Times New Roman" w:hAnsi="Times New Roman" w:cs="Times New Roman"/>
          <w:sz w:val="24"/>
          <w:szCs w:val="24"/>
        </w:rPr>
        <w:t xml:space="preserve">ям, предусмотренным гражданским законодательством Российской Федерации, либо в случае одностороннего отказа Стороны от исполнения настоящего контракта в соответствии с гражданским законодательством в порядке, предусмотренном статьей 95 Федерального закона.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Сторона, решившая расторгнуть настоящий контракт, должна направить письменное уведомление о своем намерении другой Стороне не позднее, чем за 10 (десять) дней до предполагаемого дня его расторжения.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Решение об одностороннем отказе от исполнения контракта направляется другой Стороне в порядке и в сроки, предусмотренных Федеральным законом от 05.04.2013 № 44-ФЗ «О контрактной системе в сфере заку</w:t>
      </w:r>
      <w:r>
        <w:rPr>
          <w:rFonts w:ascii="Times New Roman" w:hAnsi="Times New Roman" w:cs="Times New Roman"/>
          <w:sz w:val="24"/>
          <w:szCs w:val="24"/>
        </w:rPr>
        <w:t xml:space="preserve">пок, работ и услуг для обеспечения государственных и муниципальных нужд». Данное решение вступает в силу и контракт считается расторгнутым через 10 (десять) дней с даты надлежащего уведомления другой стороны об одностороннем отказе от исполнения контракта.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При расторжении контракта в связи с односторонним отказом </w:t>
      </w:r>
      <w:r>
        <w:rPr>
          <w:rFonts w:ascii="Times New Roman" w:hAnsi="Times New Roman" w:cs="Times New Roman"/>
          <w:sz w:val="24"/>
          <w:szCs w:val="24"/>
        </w:rPr>
        <w:t xml:space="preserve">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являющихся основанием для принятия решения об одностороннем отказе от исполнения контракта.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Заказчик обязан принять решение об одностороннем отказе от исполнения контракта в случаях, предусмотренных частью 15 статьи 95 Федерального закона.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Антикоррупционная оговорка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9.1. При исполнении обязательств по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онтракту Стороны, их аффилированные лица, работники, а также лица, действующие от имени и по поручению Сторон, не выплачивают, не предлагают выпла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.2. При исполнении обязательств по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 исполнением условий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онтракта.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.3. Стороны подтверждают, что любые третьи лица, привлеченные для исполнения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онтракта, не осуществ</w:t>
      </w:r>
      <w:r>
        <w:rPr>
          <w:rFonts w:ascii="Times New Roman" w:hAnsi="Times New Roman" w:eastAsia="Calibri" w:cs="Times New Roman"/>
          <w:sz w:val="24"/>
          <w:szCs w:val="24"/>
        </w:rPr>
        <w:t xml:space="preserve">ляют свои действия с целью оказать незаконное влияние на государственных должностных лиц либо с целью коммерческого подкупа и будут допущены к выполнению договорных обязательств после проведения достаточных проверочных мероприятий привлекающей их Стороной.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.4. Стороны обязуются надлежащим образом вести и хранить всю бухгалтерскую отчетность, и другие документы, подтверждающие расходы, осуществленные по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онтракту. </w:t>
      </w:r>
      <w:r>
        <w:rPr>
          <w:rFonts w:ascii="Times New Roman" w:hAnsi="Times New Roman" w:eastAsia="Calibri" w:cs="Times New Roman"/>
          <w:sz w:val="24"/>
          <w:szCs w:val="24"/>
        </w:rPr>
        <w:t xml:space="preserve">Стороны обязуются в полной мере оказывать поддержку в отношении любого расследования и (или) аудита, который может проводиться в рамках исполнения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онтракта Стороны. Обязуются охранять всю конфиденциальную информацию, которая может стать им известна в рамках аудита, в соответствии с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.5. В случае возникновения у Стороны обоснованных подозрений, что произошло или может произойти нарушение каких-либо положений пунктов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.1. – </w:t>
      </w: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.4. Контракта, а также возникновение личной заинтересованности при исполнении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онтракта, которая приводит или может привести к конфликту интересов, соответствующая Сторона обязуется уведомит</w:t>
      </w:r>
      <w:r>
        <w:rPr>
          <w:rFonts w:ascii="Times New Roman" w:hAnsi="Times New Roman" w:eastAsia="Calibri" w:cs="Times New Roman"/>
          <w:sz w:val="24"/>
          <w:szCs w:val="24"/>
        </w:rPr>
        <w:t xml:space="preserve">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пунктов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.1. – </w:t>
      </w: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.4.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онтракта, а также возникновение личной заинтересованности при исполнении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онтракта, которая приводит или может привести к конфликту интересов.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.6. Сторона, получившая письменное уведомление, указанное в пункте </w:t>
      </w:r>
      <w:r>
        <w:rPr>
          <w:rFonts w:ascii="Times New Roman" w:hAnsi="Times New Roman" w:eastAsia="Calibri" w:cs="Times New Roman"/>
          <w:sz w:val="24"/>
          <w:szCs w:val="24"/>
        </w:rPr>
        <w:t xml:space="preserve">8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онтракта, обязана рассмотреть уведомление и сообщить другой Стороне об итогах его рассмотрения в течение 10 (десяти)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.7. Стороны гарантируют осуществление надлежащего разбирательства по фактам нарушения положений пунктов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.1. – </w:t>
      </w: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.4.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онтракта и применение эффективных мер по предотвращению возможных конфликтных ситуаций.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9</w:t>
      </w:r>
      <w:r>
        <w:rPr>
          <w:rFonts w:ascii="Times New Roman" w:hAnsi="Times New Roman" w:eastAsia="Calibri" w:cs="Times New Roman"/>
          <w:sz w:val="24"/>
          <w:szCs w:val="24"/>
        </w:rPr>
        <w:t xml:space="preserve">.8. В случае нарушения одной Стороной обязательств воздерживаться от запрещенных в разделах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онтракта действий и (или) неполучения другой Стороной в установленный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онтрактом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 ПРОЧИЕ УСЛОВИЯ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.1.  Настоящий контракт вступает в силу с даты его подписания Сторонами и действует до </w:t>
      </w:r>
      <w:r>
        <w:rPr>
          <w:rFonts w:ascii="Times New Roman" w:hAnsi="Times New Roman" w:cs="Times New Roman"/>
          <w:sz w:val="24"/>
          <w:szCs w:val="24"/>
        </w:rPr>
        <w:t xml:space="preserve">25 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, а в части финансовых обязательств до полного их исполнения.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.2. При изменении у одной из сторон местонахождения, наименования, банковских и других реквизитов она обязана в течение 5 (пяти) дней письменно известить об этом другую Сторону.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.3. При утрате одной из сторон прав юридического лица вследствие реорганизации права и обязанности, предусмотренные настоящим контрактом, переходят к соответствующему правопреемнику.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.4. Настоящий контракт составлен в 2 (двух)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.5. Неотъемлемой частью контракта являются: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.5.1. Прейскурант цен (приложение № 1).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10.5.2. Документ, содержащий сведения, обеспечивающие возможность подтверждения наличия у Исполнителя специального разрешения на право осуществления деятельности по оказанию м</w:t>
      </w:r>
      <w:r>
        <w:rPr>
          <w:rFonts w:ascii="Times New Roman" w:hAnsi="Times New Roman" w:cs="Times New Roman"/>
          <w:bCs/>
          <w:sz w:val="24"/>
          <w:szCs w:val="24"/>
        </w:rPr>
        <w:t xml:space="preserve">едицинских услуг по проведению военно-врачебной экспертизы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(лицензия установленного образца или выписку из реестра лицензий на бумажном носителе или в форме электронного документа, либо номер реестровой записи из реестра лицензий)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.6. Вопрос</w:t>
      </w:r>
      <w:r>
        <w:rPr>
          <w:rFonts w:ascii="Times New Roman" w:hAnsi="Times New Roman" w:cs="Times New Roman"/>
          <w:sz w:val="24"/>
          <w:szCs w:val="24"/>
        </w:rPr>
        <w:t xml:space="preserve">ы, не урегулированные настоящим</w:t>
      </w:r>
      <w:r>
        <w:rPr>
          <w:rFonts w:ascii="Times New Roman" w:hAnsi="Times New Roman" w:cs="Times New Roman"/>
          <w:sz w:val="24"/>
          <w:szCs w:val="24"/>
        </w:rPr>
        <w:t xml:space="preserve"> контрактом, разрешаются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.МЕСТО НАХОЖДЕНИЯ И БАНКОВСКИЕ РЕКВИЗИТЫ СТОРОН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448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5062"/>
        <w:gridCol w:w="5386"/>
      </w:tblGrid>
      <w:tr>
        <w:tblPrEx/>
        <w:trPr>
          <w:trHeight w:val="5255"/>
        </w:trPr>
        <w:tc>
          <w:tcPr>
            <w:tcBorders>
              <w:right w:val="single" w:color="auto" w:sz="4" w:space="0"/>
            </w:tcBorders>
            <w:tcW w:w="506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Татарстанская таможня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ОГРН 1021603150150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ИНН 1653021311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КПП 165701001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Юридический адрес: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420094, г. Казань,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ул. Короленко,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Почтовый адрес: 420094,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г. Казань, ул. Короленко,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Банковские реквизиты: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Лицевой счет № 03111509310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УФК по Нижегородской области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(Татарстанская таможня)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Р/с 03211643000000013233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ОКЦ № 1 ВОЛГО-ВЯТСКОЕ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ГУ БАНКА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РОССИИ//УФК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Нижегородской области,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г. Нижний Новгород.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БИК 012202102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К/с 40102810745370000024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ОКПО 54448441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right="-284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Тел/факс: 8 (843) 291-9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tat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odo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ptu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customs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gov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___________/С.В. Ботайкин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ind w:right="-12" w:firstLine="567"/>
        <w:jc w:val="both"/>
        <w:spacing w:after="0" w:line="240" w:lineRule="auto"/>
        <w:widowControl w:val="off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2" w:firstLine="567"/>
        <w:jc w:val="both"/>
        <w:spacing w:after="0" w:line="240" w:lineRule="auto"/>
        <w:widowControl w:val="off"/>
        <w:tabs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2" w:firstLine="567"/>
        <w:spacing w:after="0" w:line="240" w:lineRule="auto"/>
        <w:tabs>
          <w:tab w:val="left" w:pos="9900" w:leader="none"/>
        </w:tabs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6379" w:right="-12"/>
        <w:spacing w:after="0" w:line="240" w:lineRule="auto"/>
        <w:widowControl w:val="off"/>
        <w:tabs>
          <w:tab w:val="left" w:pos="990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48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№1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82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контракту </w:t>
      </w:r>
      <w:r>
        <w:rPr>
          <w:rFonts w:ascii="Times New Roman" w:hAnsi="Times New Roman" w:cs="Times New Roman"/>
          <w:sz w:val="24"/>
          <w:szCs w:val="24"/>
        </w:rPr>
        <w:t xml:space="preserve">от «___» _____ 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г №_____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Прейскурант цен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5"/>
        <w:gridCol w:w="7938"/>
        <w:gridCol w:w="1523"/>
      </w:tblGrid>
      <w:tr>
        <w:tblPrEx/>
        <w:trPr/>
        <w:tc>
          <w:tcPr>
            <w:shd w:val="clear" w:color="auto" w:fill="auto"/>
            <w:tcW w:w="6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93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2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93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Военно-врачебная экспертиза (для мужчин)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2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93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Военно-врачебная экспертиза (для женщин)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2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93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Военно-врачебная экспертиза с участием врача-радиолога (для мужчин)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2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93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Военно-врачебная экспертиза с участием врача-радиолога (для женщин)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2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Настоящее приложение на 1 листе являетс</w:t>
      </w:r>
      <w:r>
        <w:rPr>
          <w:rFonts w:ascii="Times New Roman" w:hAnsi="Times New Roman" w:cs="Times New Roman"/>
          <w:sz w:val="24"/>
          <w:szCs w:val="24"/>
        </w:rPr>
        <w:t xml:space="preserve">я неотъемлемой частью контракта</w:t>
      </w:r>
      <w:r>
        <w:rPr>
          <w:rFonts w:ascii="Times New Roman" w:hAnsi="Times New Roman" w:cs="Times New Roman"/>
          <w:sz w:val="24"/>
          <w:szCs w:val="24"/>
        </w:rPr>
        <w:t xml:space="preserve">№ _________ от « ___ » ________ 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г., составлено в двух экземплярах, имеющих одинаковую юридическую силу, по одному для каждой из Сторон.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Заказчик</w:t>
      </w:r>
      <w:r>
        <w:rPr>
          <w:rFonts w:ascii="Times New Roman" w:hAnsi="Times New Roman" w:cs="Times New Roman"/>
          <w:sz w:val="24"/>
          <w:szCs w:val="24"/>
        </w:rPr>
        <w:t xml:space="preserve"> _________/ </w:t>
      </w:r>
      <w:r>
        <w:rPr>
          <w:rFonts w:ascii="Times New Roman" w:hAnsi="Times New Roman" w:cs="Times New Roman"/>
          <w:sz w:val="24"/>
          <w:szCs w:val="24"/>
        </w:rPr>
        <w:t xml:space="preserve">С.В. Ботайкин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_/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М.П.                                                                                           М.П.</w:t>
      </w:r>
      <w:bookmarkStart w:id="0" w:name="_GoBack"/>
      <w:r/>
      <w:bookmarkEnd w:id="0"/>
      <w:r/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851" w:right="850" w:bottom="993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08180920"/>
      <w:docPartObj>
        <w:docPartGallery w:val="Page Numbers (Top of Page)"/>
        <w:docPartUnique w:val="true"/>
      </w:docPartObj>
      <w:rPr/>
    </w:sdtPr>
    <w:sdtContent>
      <w:p>
        <w:pPr>
          <w:pStyle w:val="70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0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  <w:jc w:val="center"/>
    </w:pPr>
    <w:r/>
    <w:r/>
  </w:p>
  <w:p>
    <w:pPr>
      <w:pStyle w:val="7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495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b w:val="0"/>
        <w:i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1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98"/>
    <w:next w:val="69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9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98"/>
    <w:next w:val="69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9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98"/>
    <w:next w:val="69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9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98"/>
    <w:next w:val="69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9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98"/>
    <w:next w:val="69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9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98"/>
    <w:next w:val="69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9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98"/>
    <w:next w:val="69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9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98"/>
    <w:next w:val="69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9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98"/>
    <w:next w:val="69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9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98"/>
    <w:next w:val="69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99"/>
    <w:link w:val="35"/>
    <w:uiPriority w:val="10"/>
    <w:rPr>
      <w:sz w:val="48"/>
      <w:szCs w:val="48"/>
    </w:rPr>
  </w:style>
  <w:style w:type="paragraph" w:styleId="37">
    <w:name w:val="Subtitle"/>
    <w:basedOn w:val="698"/>
    <w:next w:val="69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99"/>
    <w:link w:val="37"/>
    <w:uiPriority w:val="11"/>
    <w:rPr>
      <w:sz w:val="24"/>
      <w:szCs w:val="24"/>
    </w:rPr>
  </w:style>
  <w:style w:type="paragraph" w:styleId="39">
    <w:name w:val="Quote"/>
    <w:basedOn w:val="698"/>
    <w:next w:val="69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98"/>
    <w:next w:val="69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99"/>
    <w:link w:val="703"/>
    <w:uiPriority w:val="99"/>
  </w:style>
  <w:style w:type="character" w:styleId="46">
    <w:name w:val="Footer Char"/>
    <w:basedOn w:val="699"/>
    <w:link w:val="705"/>
    <w:uiPriority w:val="99"/>
  </w:style>
  <w:style w:type="paragraph" w:styleId="47">
    <w:name w:val="Caption"/>
    <w:basedOn w:val="698"/>
    <w:next w:val="69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9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9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99"/>
    <w:uiPriority w:val="99"/>
    <w:unhideWhenUsed/>
    <w:rPr>
      <w:vertAlign w:val="superscript"/>
    </w:rPr>
  </w:style>
  <w:style w:type="paragraph" w:styleId="179">
    <w:name w:val="endnote text"/>
    <w:basedOn w:val="69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99"/>
    <w:uiPriority w:val="99"/>
    <w:semiHidden/>
    <w:unhideWhenUsed/>
    <w:rPr>
      <w:vertAlign w:val="superscript"/>
    </w:rPr>
  </w:style>
  <w:style w:type="paragraph" w:styleId="182">
    <w:name w:val="toc 1"/>
    <w:basedOn w:val="698"/>
    <w:next w:val="69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98"/>
    <w:next w:val="69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98"/>
    <w:next w:val="69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98"/>
    <w:next w:val="69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98"/>
    <w:next w:val="69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98"/>
    <w:next w:val="69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98"/>
    <w:next w:val="69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98"/>
    <w:next w:val="69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98"/>
    <w:next w:val="69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98"/>
    <w:next w:val="698"/>
    <w:uiPriority w:val="99"/>
    <w:unhideWhenUsed/>
    <w:pPr>
      <w:spacing w:after="0" w:afterAutospacing="0"/>
    </w:pPr>
  </w:style>
  <w:style w:type="paragraph" w:styleId="698" w:default="1">
    <w:name w:val="Normal"/>
    <w:qFormat/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table" w:styleId="702">
    <w:name w:val="Table Grid"/>
    <w:basedOn w:val="70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3">
    <w:name w:val="Header"/>
    <w:basedOn w:val="698"/>
    <w:link w:val="70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4" w:customStyle="1">
    <w:name w:val="Верхний колонтитул Знак"/>
    <w:basedOn w:val="699"/>
    <w:link w:val="703"/>
    <w:uiPriority w:val="99"/>
  </w:style>
  <w:style w:type="paragraph" w:styleId="705">
    <w:name w:val="Footer"/>
    <w:basedOn w:val="698"/>
    <w:link w:val="70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6" w:customStyle="1">
    <w:name w:val="Нижний колонтитул Знак"/>
    <w:basedOn w:val="699"/>
    <w:link w:val="705"/>
    <w:uiPriority w:val="99"/>
  </w:style>
  <w:style w:type="paragraph" w:styleId="707">
    <w:name w:val="Balloon Text"/>
    <w:basedOn w:val="698"/>
    <w:link w:val="70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08" w:customStyle="1">
    <w:name w:val="Текст выноски Знак"/>
    <w:basedOn w:val="699"/>
    <w:link w:val="707"/>
    <w:uiPriority w:val="99"/>
    <w:semiHidden/>
    <w:rPr>
      <w:rFonts w:ascii="Segoe UI" w:hAnsi="Segoe UI" w:cs="Segoe UI"/>
      <w:sz w:val="18"/>
      <w:szCs w:val="18"/>
    </w:rPr>
  </w:style>
  <w:style w:type="paragraph" w:styleId="709">
    <w:name w:val="List Paragraph"/>
    <w:basedOn w:val="69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Садыкова Амина Абузаровна</dc:creator>
  <cp:lastModifiedBy>Torgi-Fathutdinova</cp:lastModifiedBy>
  <cp:revision>6</cp:revision>
  <dcterms:created xsi:type="dcterms:W3CDTF">2026-05-24T15:57:00Z</dcterms:created>
  <dcterms:modified xsi:type="dcterms:W3CDTF">2026-05-25T16:20:42Z</dcterms:modified>
</cp:coreProperties>
</file>