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A2" w:rsidRPr="00B2462C" w:rsidRDefault="009B764E" w:rsidP="007241A2">
      <w:pPr>
        <w:pStyle w:val="1"/>
        <w:ind w:right="284"/>
        <w:rPr>
          <w:sz w:val="27"/>
          <w:szCs w:val="27"/>
        </w:rPr>
      </w:pPr>
      <w:r>
        <w:rPr>
          <w:sz w:val="27"/>
          <w:szCs w:val="27"/>
        </w:rPr>
        <w:t>Технические требования</w:t>
      </w:r>
    </w:p>
    <w:p w:rsidR="007241A2" w:rsidRPr="00B2462C" w:rsidRDefault="007241A2" w:rsidP="007241A2">
      <w:pPr>
        <w:pStyle w:val="1"/>
        <w:rPr>
          <w:sz w:val="27"/>
          <w:szCs w:val="27"/>
        </w:rPr>
      </w:pP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795"/>
        <w:gridCol w:w="3288"/>
        <w:gridCol w:w="6090"/>
      </w:tblGrid>
      <w:tr w:rsidR="00ED081E" w:rsidRPr="004957B1" w:rsidTr="009B764E">
        <w:tc>
          <w:tcPr>
            <w:tcW w:w="795" w:type="dxa"/>
          </w:tcPr>
          <w:p w:rsidR="001D52A7" w:rsidRPr="009B764E" w:rsidRDefault="009B764E" w:rsidP="009B764E">
            <w:pPr>
              <w:pStyle w:val="a3"/>
              <w:ind w:left="0" w:right="1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ED081E" w:rsidRPr="009B764E" w:rsidRDefault="009B764E" w:rsidP="009B764E">
            <w:pPr>
              <w:pStyle w:val="a3"/>
              <w:tabs>
                <w:tab w:val="left" w:pos="3228"/>
              </w:tabs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090" w:type="dxa"/>
            <w:vAlign w:val="center"/>
          </w:tcPr>
          <w:p w:rsidR="00AF3915" w:rsidRPr="00346E62" w:rsidRDefault="00346E62" w:rsidP="009B764E">
            <w:pPr>
              <w:pStyle w:val="a3"/>
              <w:ind w:left="0" w:right="32" w:firstLine="0"/>
              <w:rPr>
                <w:sz w:val="24"/>
                <w:szCs w:val="24"/>
              </w:rPr>
            </w:pPr>
            <w:r w:rsidRPr="00346E62">
              <w:rPr>
                <w:sz w:val="24"/>
                <w:szCs w:val="24"/>
              </w:rPr>
              <w:t>Оказание услуг по предоставлению в пользование альтернативной измерительной площадки (площадок) (г. Владивосток)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right="-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ED081E" w:rsidRPr="009B764E" w:rsidRDefault="009B764E" w:rsidP="00382829">
            <w:pPr>
              <w:tabs>
                <w:tab w:val="left" w:pos="1127"/>
                <w:tab w:val="left" w:pos="3078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ОКПД</w:t>
            </w:r>
            <w:proofErr w:type="gramStart"/>
            <w:r>
              <w:rPr>
                <w:b/>
                <w:sz w:val="24"/>
                <w:szCs w:val="24"/>
              </w:rPr>
              <w:t>2</w:t>
            </w:r>
            <w:proofErr w:type="gramEnd"/>
            <w:r>
              <w:rPr>
                <w:b/>
                <w:sz w:val="24"/>
                <w:szCs w:val="24"/>
              </w:rPr>
              <w:t>/(КТРУ)</w:t>
            </w:r>
          </w:p>
        </w:tc>
        <w:tc>
          <w:tcPr>
            <w:tcW w:w="6090" w:type="dxa"/>
          </w:tcPr>
          <w:p w:rsidR="00ED081E" w:rsidRPr="00346E62" w:rsidRDefault="00346E62" w:rsidP="00382829">
            <w:pPr>
              <w:pStyle w:val="a3"/>
              <w:ind w:left="0" w:firstLine="0"/>
              <w:rPr>
                <w:sz w:val="24"/>
                <w:szCs w:val="24"/>
              </w:rPr>
            </w:pPr>
            <w:r w:rsidRPr="00346E62">
              <w:rPr>
                <w:sz w:val="24"/>
                <w:szCs w:val="24"/>
              </w:rPr>
              <w:t>77.39.19.110</w:t>
            </w:r>
            <w:r w:rsidR="00D5339D">
              <w:rPr>
                <w:sz w:val="24"/>
                <w:szCs w:val="24"/>
              </w:rPr>
              <w:t>/отсутствует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ED081E" w:rsidRPr="009B764E" w:rsidRDefault="009B764E" w:rsidP="00D948E9">
            <w:pPr>
              <w:pStyle w:val="a3"/>
              <w:ind w:left="0" w:right="34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6090" w:type="dxa"/>
          </w:tcPr>
          <w:p w:rsidR="00ED081E" w:rsidRPr="00A8371F" w:rsidRDefault="00152EDD" w:rsidP="001A340A">
            <w:pPr>
              <w:pStyle w:val="a3"/>
              <w:ind w:left="0" w:righ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C525A">
              <w:rPr>
                <w:sz w:val="24"/>
                <w:szCs w:val="24"/>
              </w:rPr>
              <w:t>словная единица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усл.ед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right="1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:rsidR="00ED081E" w:rsidRPr="009B764E" w:rsidRDefault="009B764E" w:rsidP="00346E62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Краткие характеристики оказываемых услуг</w:t>
            </w:r>
          </w:p>
        </w:tc>
        <w:tc>
          <w:tcPr>
            <w:tcW w:w="6090" w:type="dxa"/>
          </w:tcPr>
          <w:p w:rsidR="00D90E9C" w:rsidRPr="00505C40" w:rsidRDefault="00505C40" w:rsidP="00152EDD">
            <w:pPr>
              <w:pStyle w:val="a3"/>
              <w:ind w:left="0" w:firstLine="0"/>
              <w:rPr>
                <w:sz w:val="24"/>
                <w:szCs w:val="24"/>
              </w:rPr>
            </w:pPr>
            <w:r w:rsidRPr="00505C40">
              <w:rPr>
                <w:sz w:val="24"/>
                <w:szCs w:val="24"/>
              </w:rPr>
              <w:t xml:space="preserve">Альтернативная измерительная площадка </w:t>
            </w:r>
            <w:r>
              <w:rPr>
                <w:sz w:val="24"/>
                <w:szCs w:val="24"/>
              </w:rPr>
              <w:t>предназначена для проведения лабораторных специальных исследований технических сре</w:t>
            </w:r>
            <w:proofErr w:type="gramStart"/>
            <w:r>
              <w:rPr>
                <w:sz w:val="24"/>
                <w:szCs w:val="24"/>
              </w:rPr>
              <w:t>дств дл</w:t>
            </w:r>
            <w:proofErr w:type="gramEnd"/>
            <w:r>
              <w:rPr>
                <w:sz w:val="24"/>
                <w:szCs w:val="24"/>
              </w:rPr>
              <w:t xml:space="preserve">я нужд </w:t>
            </w:r>
            <w:r w:rsidR="00152ED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ОТС – филиала РТУ РЭБОТИ (г. Владивосток).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:rsidR="00ED081E" w:rsidRPr="009B764E" w:rsidRDefault="009B764E" w:rsidP="00346E62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 (объем) оказываемых услуг</w:t>
            </w:r>
          </w:p>
        </w:tc>
        <w:tc>
          <w:tcPr>
            <w:tcW w:w="6090" w:type="dxa"/>
          </w:tcPr>
          <w:p w:rsidR="009B764E" w:rsidRPr="00346E62" w:rsidRDefault="00346E62" w:rsidP="00152EDD">
            <w:pPr>
              <w:pStyle w:val="a3"/>
              <w:ind w:left="0" w:firstLine="0"/>
              <w:rPr>
                <w:sz w:val="24"/>
                <w:szCs w:val="24"/>
              </w:rPr>
            </w:pPr>
            <w:r w:rsidRPr="00346E62">
              <w:rPr>
                <w:sz w:val="24"/>
                <w:szCs w:val="24"/>
              </w:rPr>
              <w:t>Альтернативная измерительная площадка должна передаваться Заказчику по мере возникновения у него потребности в ее использовании, но не более 60 (Шестидесяти) часов (за год)</w:t>
            </w:r>
            <w:r w:rsidR="00152EDD">
              <w:rPr>
                <w:sz w:val="24"/>
                <w:szCs w:val="24"/>
              </w:rPr>
              <w:t xml:space="preserve"> с момента заключения Контракта</w:t>
            </w:r>
            <w:r w:rsidRPr="00346E62">
              <w:rPr>
                <w:sz w:val="24"/>
                <w:szCs w:val="24"/>
              </w:rPr>
              <w:t>.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:rsidR="00ED081E" w:rsidRPr="009B764E" w:rsidRDefault="009B764E" w:rsidP="00505C40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Сопутствующие услуги</w:t>
            </w:r>
          </w:p>
        </w:tc>
        <w:tc>
          <w:tcPr>
            <w:tcW w:w="6090" w:type="dxa"/>
          </w:tcPr>
          <w:p w:rsidR="008C46D0" w:rsidRDefault="00505C40" w:rsidP="001508E6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Альтернативная измерительная площадка может быть использована для продления следующих лицензий по направлению деятельности ФСТЭК России:</w:t>
            </w:r>
          </w:p>
          <w:p w:rsidR="00505C40" w:rsidRDefault="00505C40" w:rsidP="001508E6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На осуществление мероприятий и (или) оказание услуг в области защиты государственной тайны (в части технической защиты информации) на следующий перечень </w:t>
            </w:r>
            <w:r w:rsidR="001D62C8">
              <w:rPr>
                <w:sz w:val="24"/>
                <w:szCs w:val="24"/>
              </w:rPr>
              <w:t>мероприятий и услуг:</w:t>
            </w:r>
          </w:p>
          <w:p w:rsidR="001D62C8" w:rsidRDefault="001D62C8" w:rsidP="001D62C8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контроль защищенности информации, составляющей государственную тайну, аттестация средств и систем на соответствие требованиям по защите информации (автоматизированных систем различного уровня и назначения; систем связи, приема, обработки и передачи данных; систем отображения и размножения; технических средств (систем), не обрабатывающих информацию, составляющую государственную тайну, но размещенных в помещениях, где она обрабатывается; помещений со средствами (системами), подлежащими защите; помещений, предназначенных для сведения секретных переговоров);</w:t>
            </w:r>
          </w:p>
          <w:p w:rsidR="001D62C8" w:rsidRDefault="001D62C8" w:rsidP="001D62C8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проведение специальных исследований на ПЭМИН технических средств обработки информации.</w:t>
            </w:r>
          </w:p>
          <w:p w:rsidR="001D62C8" w:rsidRDefault="001D62C8" w:rsidP="001D62C8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На право проведения работ, связанных с созданием средств защиты информации на следующий перечень работ:</w:t>
            </w:r>
          </w:p>
          <w:p w:rsidR="001D62C8" w:rsidRDefault="001D62C8" w:rsidP="001D62C8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 установка, монтаж, наладка;</w:t>
            </w:r>
          </w:p>
          <w:p w:rsidR="001D62C8" w:rsidRDefault="001D62C8" w:rsidP="001D62C8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 технических средств защиты информации;</w:t>
            </w:r>
          </w:p>
          <w:p w:rsidR="001D62C8" w:rsidRDefault="001D62C8" w:rsidP="001D62C8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 защищенных технических средств обработки информации;</w:t>
            </w:r>
          </w:p>
          <w:p w:rsidR="001D62C8" w:rsidRDefault="001D62C8" w:rsidP="001D62C8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 технических средств </w:t>
            </w:r>
            <w:proofErr w:type="gramStart"/>
            <w:r>
              <w:rPr>
                <w:sz w:val="24"/>
                <w:szCs w:val="24"/>
              </w:rPr>
              <w:t>контроля эффективности мер защиты информации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1D62C8" w:rsidRDefault="001D62C8" w:rsidP="001D62C8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 программных (программно-технических) средств защиты информации;</w:t>
            </w:r>
          </w:p>
          <w:p w:rsidR="001D62C8" w:rsidRDefault="001D62C8" w:rsidP="001D62C8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 защищенных программных (программно-технических) средств обработки информации;</w:t>
            </w:r>
          </w:p>
          <w:p w:rsidR="001D62C8" w:rsidRPr="00505C40" w:rsidRDefault="001D62C8" w:rsidP="001D62C8">
            <w:pPr>
              <w:pStyle w:val="a3"/>
              <w:ind w:left="0" w:right="3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 программных (программно-технических) средств </w:t>
            </w:r>
            <w:r>
              <w:rPr>
                <w:sz w:val="24"/>
                <w:szCs w:val="24"/>
              </w:rPr>
              <w:lastRenderedPageBreak/>
              <w:t>контроля защищенности информации.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88" w:type="dxa"/>
          </w:tcPr>
          <w:p w:rsidR="00ED081E" w:rsidRPr="009B764E" w:rsidRDefault="009B764E" w:rsidP="00505C40">
            <w:pPr>
              <w:pStyle w:val="a3"/>
              <w:ind w:left="0" w:right="43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услугам</w:t>
            </w:r>
          </w:p>
        </w:tc>
        <w:tc>
          <w:tcPr>
            <w:tcW w:w="6090" w:type="dxa"/>
          </w:tcPr>
          <w:p w:rsidR="00505C40" w:rsidRDefault="00505C40" w:rsidP="00505C40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 имеет право использовать на альтернативной измерительной площадке собственное измерительное и вспомогательное оборудование.</w:t>
            </w:r>
          </w:p>
          <w:p w:rsidR="00433992" w:rsidRPr="00505C40" w:rsidRDefault="00505C40" w:rsidP="00505C40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услуги не должен вмешиваться в деятельность Заказчика, при проведении лабораторных специальных исследований.</w:t>
            </w:r>
          </w:p>
        </w:tc>
      </w:tr>
      <w:tr w:rsidR="00ED081E" w:rsidRPr="004957B1" w:rsidTr="009B764E">
        <w:tc>
          <w:tcPr>
            <w:tcW w:w="795" w:type="dxa"/>
          </w:tcPr>
          <w:p w:rsidR="00ED081E" w:rsidRPr="009B764E" w:rsidRDefault="009B764E" w:rsidP="001D52A7">
            <w:pPr>
              <w:pStyle w:val="a3"/>
              <w:ind w:left="0" w:right="-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88" w:type="dxa"/>
          </w:tcPr>
          <w:p w:rsidR="00F83770" w:rsidRPr="00F83770" w:rsidRDefault="00F83770" w:rsidP="00346E62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 оказания услуг</w:t>
            </w:r>
          </w:p>
        </w:tc>
        <w:tc>
          <w:tcPr>
            <w:tcW w:w="6090" w:type="dxa"/>
          </w:tcPr>
          <w:p w:rsidR="00F83770" w:rsidRPr="00346E62" w:rsidRDefault="00346E62" w:rsidP="00F83770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Альтернативная измерительная площадка должна предоставляться Заказчику в рабочее время с 09:00 до 17:00 по запросу (заявке), в которой указываются сроки оказания услуги.</w:t>
            </w:r>
          </w:p>
        </w:tc>
      </w:tr>
      <w:tr w:rsidR="00CE56E1" w:rsidRPr="004957B1" w:rsidTr="009B764E">
        <w:tc>
          <w:tcPr>
            <w:tcW w:w="795" w:type="dxa"/>
          </w:tcPr>
          <w:p w:rsidR="00CE56E1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88" w:type="dxa"/>
          </w:tcPr>
          <w:p w:rsidR="007B403F" w:rsidRPr="009B764E" w:rsidRDefault="00F83770" w:rsidP="00346E62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 оказания услуг</w:t>
            </w:r>
          </w:p>
        </w:tc>
        <w:tc>
          <w:tcPr>
            <w:tcW w:w="6090" w:type="dxa"/>
          </w:tcPr>
          <w:p w:rsidR="00CE56E1" w:rsidRPr="00346E62" w:rsidRDefault="00346E62" w:rsidP="00152EDD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Альтернативная измерительная площадка должна быть расположена в пределах г. Владивостока Приморского края.</w:t>
            </w:r>
          </w:p>
        </w:tc>
      </w:tr>
      <w:tr w:rsidR="001A340A" w:rsidRPr="004957B1" w:rsidTr="009B764E">
        <w:tc>
          <w:tcPr>
            <w:tcW w:w="795" w:type="dxa"/>
          </w:tcPr>
          <w:p w:rsidR="001A340A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88" w:type="dxa"/>
          </w:tcPr>
          <w:p w:rsidR="001A340A" w:rsidRPr="009B764E" w:rsidRDefault="00F83770" w:rsidP="00346E62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 оказания услуг</w:t>
            </w:r>
          </w:p>
        </w:tc>
        <w:tc>
          <w:tcPr>
            <w:tcW w:w="6090" w:type="dxa"/>
          </w:tcPr>
          <w:p w:rsidR="00F83770" w:rsidRPr="00346E62" w:rsidRDefault="00346E62" w:rsidP="009A68ED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 w:rsidRPr="00346E62">
              <w:rPr>
                <w:sz w:val="24"/>
                <w:szCs w:val="24"/>
              </w:rPr>
              <w:t>Срок оказания услуг</w:t>
            </w:r>
            <w:r>
              <w:rPr>
                <w:sz w:val="24"/>
                <w:szCs w:val="24"/>
              </w:rPr>
              <w:t xml:space="preserve"> с 1 </w:t>
            </w:r>
            <w:r w:rsidR="009A68ED">
              <w:rPr>
                <w:sz w:val="24"/>
                <w:szCs w:val="24"/>
              </w:rPr>
              <w:t>июля</w:t>
            </w:r>
            <w:r>
              <w:rPr>
                <w:sz w:val="24"/>
                <w:szCs w:val="24"/>
              </w:rPr>
              <w:t xml:space="preserve"> 2026 года по 3</w:t>
            </w:r>
            <w:r w:rsidR="009A68E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="009A68ED">
              <w:rPr>
                <w:sz w:val="24"/>
                <w:szCs w:val="24"/>
              </w:rPr>
              <w:t>октября</w:t>
            </w:r>
            <w:r>
              <w:rPr>
                <w:sz w:val="24"/>
                <w:szCs w:val="24"/>
              </w:rPr>
              <w:t xml:space="preserve"> 2026 года.</w:t>
            </w:r>
          </w:p>
        </w:tc>
      </w:tr>
      <w:tr w:rsidR="001A340A" w:rsidRPr="004957B1" w:rsidTr="009B764E">
        <w:tc>
          <w:tcPr>
            <w:tcW w:w="795" w:type="dxa"/>
          </w:tcPr>
          <w:p w:rsidR="001A340A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88" w:type="dxa"/>
          </w:tcPr>
          <w:p w:rsidR="001A340A" w:rsidRPr="009B764E" w:rsidRDefault="00F83770" w:rsidP="004E433C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Порядок приемки оказанных услуг</w:t>
            </w:r>
          </w:p>
        </w:tc>
        <w:tc>
          <w:tcPr>
            <w:tcW w:w="6090" w:type="dxa"/>
          </w:tcPr>
          <w:p w:rsidR="00994DD4" w:rsidRDefault="00994DD4" w:rsidP="00994DD4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Приемка оказанный услуг в части соответствия их объему, качеству и требованиям, установленным в Контракте, осуществляется Заказчиком в срок, не превышающий </w:t>
            </w:r>
            <w:r w:rsidR="00653DC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(</w:t>
            </w:r>
            <w:r w:rsidR="00653DC5">
              <w:rPr>
                <w:sz w:val="24"/>
                <w:szCs w:val="24"/>
              </w:rPr>
              <w:t>Двадцать</w:t>
            </w:r>
            <w:r>
              <w:rPr>
                <w:sz w:val="24"/>
                <w:szCs w:val="24"/>
              </w:rPr>
              <w:t>) рабочих дней с момента получения документов об оказании услуг.</w:t>
            </w:r>
            <w:proofErr w:type="gramEnd"/>
          </w:p>
          <w:p w:rsidR="00994DD4" w:rsidRDefault="00994DD4" w:rsidP="00994DD4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результатов оказанных услуг осуществляется посредством экспертизы, проводимой Заказчиком своими силами или с привлечением экспертов, экспертных организаций в соответствии с законодательством Российской Федерации.</w:t>
            </w:r>
          </w:p>
          <w:p w:rsidR="00F83770" w:rsidRPr="00A8371F" w:rsidRDefault="00994DD4" w:rsidP="00994DD4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считаются оказанными с момента подписания Сторонами сопроводительных документов.</w:t>
            </w:r>
          </w:p>
        </w:tc>
      </w:tr>
      <w:tr w:rsidR="001A340A" w:rsidRPr="004957B1" w:rsidTr="009B764E">
        <w:tc>
          <w:tcPr>
            <w:tcW w:w="795" w:type="dxa"/>
          </w:tcPr>
          <w:p w:rsidR="001A340A" w:rsidRP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88" w:type="dxa"/>
          </w:tcPr>
          <w:p w:rsidR="001A340A" w:rsidRPr="009B764E" w:rsidRDefault="00F83770" w:rsidP="001508E6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расходы, включенные в цену контракта</w:t>
            </w:r>
          </w:p>
        </w:tc>
        <w:tc>
          <w:tcPr>
            <w:tcW w:w="6090" w:type="dxa"/>
          </w:tcPr>
          <w:p w:rsidR="00F83770" w:rsidRPr="004E433C" w:rsidRDefault="004E433C" w:rsidP="001508E6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услуги должен самостоятельно, своевременно и за свой счет производить все необходимые действия по поддержанию альтернативной измерительной площадки в готовности к работе, включая текущий ремонт альтернативной измерительной площадки.</w:t>
            </w:r>
          </w:p>
        </w:tc>
      </w:tr>
      <w:tr w:rsidR="001D3605" w:rsidRPr="004957B1" w:rsidTr="009B764E">
        <w:tc>
          <w:tcPr>
            <w:tcW w:w="795" w:type="dxa"/>
          </w:tcPr>
          <w:p w:rsidR="001D3605" w:rsidRPr="009B764E" w:rsidRDefault="001D3605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88" w:type="dxa"/>
          </w:tcPr>
          <w:p w:rsidR="001D3605" w:rsidRPr="009B764E" w:rsidRDefault="001D3605" w:rsidP="001508E6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 к нормативным документам</w:t>
            </w:r>
          </w:p>
        </w:tc>
        <w:tc>
          <w:tcPr>
            <w:tcW w:w="6090" w:type="dxa"/>
          </w:tcPr>
          <w:p w:rsidR="001D3605" w:rsidRDefault="001D3605" w:rsidP="00B556E5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Альтернативная измерительная площадка</w:t>
            </w:r>
            <w:r w:rsidRPr="004E433C">
              <w:rPr>
                <w:sz w:val="24"/>
                <w:szCs w:val="24"/>
              </w:rPr>
              <w:t xml:space="preserve"> должна соответствовать действующим нормативным и методическим документам, утвержденным приказами ФСТЭК России (от 27.11.2017</w:t>
            </w:r>
            <w:r>
              <w:rPr>
                <w:sz w:val="24"/>
                <w:szCs w:val="24"/>
              </w:rPr>
              <w:t> г.</w:t>
            </w:r>
            <w:r w:rsidRPr="004E433C">
              <w:rPr>
                <w:sz w:val="24"/>
                <w:szCs w:val="24"/>
              </w:rPr>
              <w:t xml:space="preserve"> № 043, от 22.03.2018</w:t>
            </w:r>
            <w:r>
              <w:rPr>
                <w:sz w:val="24"/>
                <w:szCs w:val="24"/>
              </w:rPr>
              <w:t> г.</w:t>
            </w:r>
            <w:r w:rsidRPr="004E433C">
              <w:rPr>
                <w:sz w:val="24"/>
                <w:szCs w:val="24"/>
              </w:rPr>
              <w:t xml:space="preserve"> № 012, от </w:t>
            </w:r>
            <w:r>
              <w:rPr>
                <w:sz w:val="24"/>
                <w:szCs w:val="24"/>
              </w:rPr>
              <w:t>23</w:t>
            </w:r>
            <w:r w:rsidRPr="004E433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4E433C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24 г.</w:t>
            </w:r>
            <w:r w:rsidRPr="004E433C">
              <w:rPr>
                <w:sz w:val="24"/>
                <w:szCs w:val="24"/>
              </w:rPr>
              <w:t xml:space="preserve"> № 002</w:t>
            </w:r>
            <w:r>
              <w:rPr>
                <w:sz w:val="24"/>
                <w:szCs w:val="24"/>
              </w:rPr>
              <w:t>7</w:t>
            </w:r>
            <w:r w:rsidRPr="004E433C">
              <w:rPr>
                <w:sz w:val="24"/>
                <w:szCs w:val="24"/>
              </w:rPr>
              <w:t>, от 23.11.2018</w:t>
            </w:r>
            <w:r>
              <w:rPr>
                <w:sz w:val="24"/>
                <w:szCs w:val="24"/>
              </w:rPr>
              <w:t> г.</w:t>
            </w:r>
            <w:r w:rsidRPr="004E433C">
              <w:rPr>
                <w:sz w:val="24"/>
                <w:szCs w:val="24"/>
              </w:rPr>
              <w:t xml:space="preserve"> № 029, от 06.08.2019</w:t>
            </w:r>
            <w:r>
              <w:rPr>
                <w:sz w:val="24"/>
                <w:szCs w:val="24"/>
              </w:rPr>
              <w:t> г.</w:t>
            </w:r>
            <w:r w:rsidRPr="004E433C">
              <w:rPr>
                <w:sz w:val="24"/>
                <w:szCs w:val="24"/>
              </w:rPr>
              <w:t xml:space="preserve"> № 021,</w:t>
            </w:r>
            <w:r w:rsidRPr="004E433C">
              <w:rPr>
                <w:bCs/>
                <w:sz w:val="24"/>
                <w:szCs w:val="24"/>
              </w:rPr>
              <w:t xml:space="preserve"> от 22.04.2020</w:t>
            </w:r>
            <w:r>
              <w:rPr>
                <w:bCs/>
                <w:sz w:val="24"/>
                <w:szCs w:val="24"/>
              </w:rPr>
              <w:t> г.</w:t>
            </w:r>
            <w:r w:rsidRPr="004E433C">
              <w:rPr>
                <w:bCs/>
                <w:sz w:val="24"/>
                <w:szCs w:val="24"/>
              </w:rPr>
              <w:t xml:space="preserve"> № 009, </w:t>
            </w:r>
            <w:r>
              <w:rPr>
                <w:bCs/>
                <w:sz w:val="24"/>
                <w:szCs w:val="24"/>
              </w:rPr>
              <w:br/>
            </w:r>
            <w:r w:rsidRPr="004E433C">
              <w:rPr>
                <w:bCs/>
                <w:sz w:val="24"/>
                <w:szCs w:val="24"/>
              </w:rPr>
              <w:t>от 10.06.2020</w:t>
            </w:r>
            <w:r>
              <w:rPr>
                <w:bCs/>
                <w:sz w:val="24"/>
                <w:szCs w:val="24"/>
              </w:rPr>
              <w:t> г.</w:t>
            </w:r>
            <w:r w:rsidRPr="004E433C">
              <w:rPr>
                <w:bCs/>
                <w:sz w:val="24"/>
                <w:szCs w:val="24"/>
              </w:rPr>
              <w:t xml:space="preserve"> № 0011, от </w:t>
            </w:r>
            <w:r w:rsidRPr="004E433C">
              <w:rPr>
                <w:rFonts w:hint="eastAsia"/>
                <w:bCs/>
                <w:sz w:val="24"/>
                <w:szCs w:val="24"/>
              </w:rPr>
              <w:t>22.02.2022</w:t>
            </w:r>
            <w:r>
              <w:rPr>
                <w:bCs/>
                <w:sz w:val="24"/>
                <w:szCs w:val="24"/>
              </w:rPr>
              <w:t> г.</w:t>
            </w:r>
            <w:r w:rsidRPr="004E433C">
              <w:rPr>
                <w:rFonts w:hint="eastAsia"/>
                <w:bCs/>
                <w:sz w:val="24"/>
                <w:szCs w:val="24"/>
              </w:rPr>
              <w:t xml:space="preserve"> № 05</w:t>
            </w:r>
            <w:r>
              <w:rPr>
                <w:bCs/>
                <w:sz w:val="24"/>
                <w:szCs w:val="24"/>
              </w:rPr>
              <w:t>, от 14.10.2022 г. № 032, от 27.04.2023 г. № 011</w:t>
            </w:r>
            <w:r w:rsidRPr="004E433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proofErr w:type="gramEnd"/>
          </w:p>
          <w:p w:rsidR="001D3605" w:rsidRDefault="001D3605" w:rsidP="00B556E5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proofErr w:type="gramStart"/>
            <w:r w:rsidRPr="004E433C">
              <w:rPr>
                <w:sz w:val="24"/>
                <w:szCs w:val="24"/>
              </w:rPr>
              <w:t xml:space="preserve">В соответствии с требованиями закона </w:t>
            </w:r>
            <w:r>
              <w:rPr>
                <w:sz w:val="24"/>
                <w:szCs w:val="24"/>
              </w:rPr>
              <w:t>Российской Федерации от 21 июля </w:t>
            </w:r>
            <w:r w:rsidRPr="004E433C">
              <w:rPr>
                <w:sz w:val="24"/>
                <w:szCs w:val="24"/>
              </w:rPr>
              <w:t>1993</w:t>
            </w:r>
            <w:r>
              <w:rPr>
                <w:sz w:val="24"/>
                <w:szCs w:val="24"/>
              </w:rPr>
              <w:t> года</w:t>
            </w:r>
            <w:r w:rsidRPr="004E433C">
              <w:rPr>
                <w:sz w:val="24"/>
                <w:szCs w:val="24"/>
              </w:rPr>
              <w:t xml:space="preserve"> № 5485-I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4E433C">
              <w:rPr>
                <w:sz w:val="24"/>
                <w:szCs w:val="24"/>
              </w:rPr>
              <w:t xml:space="preserve">«О государственной тайне», постановления Правительства </w:t>
            </w:r>
            <w:r>
              <w:rPr>
                <w:sz w:val="24"/>
                <w:szCs w:val="24"/>
              </w:rPr>
              <w:t>Российской Федерации</w:t>
            </w:r>
            <w:r w:rsidRPr="004E433C">
              <w:rPr>
                <w:sz w:val="24"/>
                <w:szCs w:val="24"/>
              </w:rPr>
              <w:t xml:space="preserve"> от 15</w:t>
            </w:r>
            <w:r>
              <w:rPr>
                <w:sz w:val="24"/>
                <w:szCs w:val="24"/>
              </w:rPr>
              <w:t> апреля </w:t>
            </w:r>
            <w:r w:rsidRPr="004E433C">
              <w:rPr>
                <w:sz w:val="24"/>
                <w:szCs w:val="24"/>
              </w:rPr>
              <w:t>1995</w:t>
            </w:r>
            <w:r>
              <w:rPr>
                <w:sz w:val="24"/>
                <w:szCs w:val="24"/>
              </w:rPr>
              <w:t xml:space="preserve"> года </w:t>
            </w:r>
            <w:r w:rsidRPr="004E433C">
              <w:rPr>
                <w:sz w:val="24"/>
                <w:szCs w:val="24"/>
              </w:rPr>
              <w:t>№ 333 «О</w:t>
            </w:r>
            <w:r>
              <w:rPr>
                <w:sz w:val="24"/>
                <w:szCs w:val="24"/>
              </w:rPr>
              <w:t> </w:t>
            </w:r>
            <w:r w:rsidRPr="004E433C">
              <w:rPr>
                <w:sz w:val="24"/>
                <w:szCs w:val="24"/>
              </w:rPr>
              <w:t xml:space="preserve">лицензировании деятельности предприятий, учреждений и организаций по проведению работ, связанных с использованием сведений, составляющих государственную тайну, созданием средств защиты информации, а также с осуществлением мероприятий и (или) оказанием услуг </w:t>
            </w:r>
            <w:r w:rsidRPr="004E433C">
              <w:rPr>
                <w:sz w:val="24"/>
                <w:szCs w:val="24"/>
              </w:rPr>
              <w:lastRenderedPageBreak/>
              <w:t>по защите государственной тайны</w:t>
            </w:r>
            <w:proofErr w:type="gramEnd"/>
            <w:r w:rsidRPr="004E433C">
              <w:rPr>
                <w:sz w:val="24"/>
                <w:szCs w:val="24"/>
              </w:rPr>
              <w:t>» Исполнитель услуги должен иметь следующие действующие лицензии</w:t>
            </w:r>
            <w:r>
              <w:rPr>
                <w:sz w:val="24"/>
                <w:szCs w:val="24"/>
              </w:rPr>
              <w:t>:</w:t>
            </w:r>
          </w:p>
          <w:p w:rsidR="001D3605" w:rsidRDefault="001D3605" w:rsidP="00B556E5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лицензия ФСБ России на проведение работ, связанных с использованием сведений, составляющих государственную тайну (степень секретности разрешенных к использованию сведений не ниже «совершенно секретно»;</w:t>
            </w:r>
          </w:p>
          <w:p w:rsidR="001D3605" w:rsidRDefault="001D3605" w:rsidP="00B556E5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лицензия ФСТЭК России на осуществление мероприятий и (или) оказание услуг в области защиты государственной тайны (в части технической защиты информации).</w:t>
            </w:r>
          </w:p>
          <w:p w:rsidR="001D3605" w:rsidRDefault="001D3605" w:rsidP="00B556E5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Альтернативная измерительная площадка должна иметь технический паспорт, к которому должны прилагаться:</w:t>
            </w:r>
          </w:p>
          <w:p w:rsidR="001D3605" w:rsidRDefault="001D3605" w:rsidP="00B556E5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протокол проверки соответствия затухания электромагнитных волн на площадке требованиям приложения Д ГОСТ 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 51320-99 (параметры затухания должны соответствовать требованиям данного ГОСТа);</w:t>
            </w:r>
          </w:p>
          <w:p w:rsidR="001D3605" w:rsidRDefault="001D3605" w:rsidP="00B556E5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- протокол, содержащий результаты измерения спектральных плотностей напряженностей электрического и магнитного полей шума на входе антенны измерительного комплекса (электрического поля в диапазоне частот от 0,1 кГц до 11,2 кГц, от 9 кГц до 10 ГГц, магнитного поля в диапазоне частот от 0,1 кГц до 11,2 кГц, от 9 кГц до 30 МГц); </w:t>
            </w:r>
            <w:proofErr w:type="gramEnd"/>
          </w:p>
          <w:p w:rsidR="001D3605" w:rsidRPr="00E54755" w:rsidRDefault="001D3605" w:rsidP="00B556E5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E54755">
              <w:rPr>
                <w:sz w:val="24"/>
                <w:szCs w:val="24"/>
              </w:rPr>
              <w:t>протокол, содержащий результаты определения размеров зоны 2;</w:t>
            </w:r>
          </w:p>
          <w:p w:rsidR="001D3605" w:rsidRPr="00E54755" w:rsidRDefault="001D3605" w:rsidP="00B556E5">
            <w:pPr>
              <w:tabs>
                <w:tab w:val="left" w:pos="1338"/>
              </w:tabs>
              <w:ind w:right="34"/>
              <w:jc w:val="both"/>
              <w:rPr>
                <w:bCs/>
                <w:sz w:val="24"/>
                <w:szCs w:val="24"/>
              </w:rPr>
            </w:pPr>
            <w:r w:rsidRPr="00E54755">
              <w:rPr>
                <w:sz w:val="24"/>
                <w:szCs w:val="24"/>
              </w:rPr>
              <w:t xml:space="preserve">- протоколы измерений уровней звукового давления фонового акустического шума и уровней напряженности электрического поля фонового электромагнитного шума в соответствии с методическими документами, утвержденными приказами ФСТЭК России от </w:t>
            </w:r>
            <w:r>
              <w:rPr>
                <w:sz w:val="24"/>
                <w:szCs w:val="24"/>
              </w:rPr>
              <w:t>23</w:t>
            </w:r>
            <w:r w:rsidRPr="00E5475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E5475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24 г.</w:t>
            </w:r>
            <w:r w:rsidRPr="00E54755">
              <w:rPr>
                <w:sz w:val="24"/>
                <w:szCs w:val="24"/>
              </w:rPr>
              <w:t xml:space="preserve"> № 002</w:t>
            </w:r>
            <w:r>
              <w:rPr>
                <w:sz w:val="24"/>
                <w:szCs w:val="24"/>
              </w:rPr>
              <w:t>7</w:t>
            </w:r>
            <w:r w:rsidRPr="00E5475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E54755">
              <w:rPr>
                <w:bCs/>
                <w:sz w:val="24"/>
                <w:szCs w:val="24"/>
              </w:rPr>
              <w:t>от 22.04.2020</w:t>
            </w:r>
            <w:r>
              <w:rPr>
                <w:bCs/>
                <w:sz w:val="24"/>
                <w:szCs w:val="24"/>
              </w:rPr>
              <w:t> г.</w:t>
            </w:r>
            <w:r w:rsidRPr="00E54755">
              <w:rPr>
                <w:bCs/>
                <w:sz w:val="24"/>
                <w:szCs w:val="24"/>
              </w:rPr>
              <w:t xml:space="preserve"> № 009, от 10.06.2020</w:t>
            </w:r>
            <w:r>
              <w:rPr>
                <w:bCs/>
                <w:sz w:val="24"/>
                <w:szCs w:val="24"/>
              </w:rPr>
              <w:t> г.</w:t>
            </w:r>
            <w:r w:rsidRPr="00E54755">
              <w:rPr>
                <w:bCs/>
                <w:sz w:val="24"/>
                <w:szCs w:val="24"/>
              </w:rPr>
              <w:t xml:space="preserve"> № 0011, </w:t>
            </w:r>
            <w:r>
              <w:rPr>
                <w:bCs/>
                <w:sz w:val="24"/>
                <w:szCs w:val="24"/>
              </w:rPr>
              <w:br/>
            </w:r>
            <w:r w:rsidRPr="00E54755">
              <w:rPr>
                <w:bCs/>
                <w:sz w:val="24"/>
                <w:szCs w:val="24"/>
              </w:rPr>
              <w:t xml:space="preserve">от </w:t>
            </w:r>
            <w:r w:rsidRPr="00E54755">
              <w:rPr>
                <w:rFonts w:hint="eastAsia"/>
                <w:bCs/>
                <w:sz w:val="24"/>
                <w:szCs w:val="24"/>
              </w:rPr>
              <w:t>22.02.2022</w:t>
            </w:r>
            <w:r>
              <w:rPr>
                <w:bCs/>
                <w:sz w:val="24"/>
                <w:szCs w:val="24"/>
              </w:rPr>
              <w:t> г.</w:t>
            </w:r>
            <w:r w:rsidRPr="00E54755">
              <w:rPr>
                <w:rFonts w:hint="eastAsia"/>
                <w:bCs/>
                <w:sz w:val="24"/>
                <w:szCs w:val="24"/>
              </w:rPr>
              <w:t xml:space="preserve"> № 05</w:t>
            </w:r>
            <w:r w:rsidRPr="00E54755">
              <w:rPr>
                <w:bCs/>
                <w:sz w:val="24"/>
                <w:szCs w:val="24"/>
              </w:rPr>
              <w:t>;</w:t>
            </w:r>
          </w:p>
          <w:p w:rsidR="001D3605" w:rsidRPr="00E54755" w:rsidRDefault="001D3605" w:rsidP="00B556E5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 w:rsidRPr="00E54755">
              <w:rPr>
                <w:bCs/>
                <w:sz w:val="24"/>
                <w:szCs w:val="24"/>
              </w:rPr>
              <w:t>- </w:t>
            </w:r>
            <w:r w:rsidRPr="00E54755">
              <w:rPr>
                <w:sz w:val="24"/>
                <w:szCs w:val="24"/>
              </w:rPr>
              <w:t xml:space="preserve">результаты </w:t>
            </w:r>
            <w:proofErr w:type="gramStart"/>
            <w:r w:rsidRPr="00E54755">
              <w:rPr>
                <w:sz w:val="24"/>
                <w:szCs w:val="24"/>
              </w:rPr>
              <w:t>контроля допустимого уровня плотности потока энергии облучающего электромагнитного сигнала</w:t>
            </w:r>
            <w:proofErr w:type="gramEnd"/>
            <w:r w:rsidRPr="00E54755">
              <w:rPr>
                <w:sz w:val="24"/>
                <w:szCs w:val="24"/>
              </w:rPr>
              <w:t xml:space="preserve"> в месте размещения технических средств в соответствии с методическим документом, утвержденным приказом ФСТЭК России от</w:t>
            </w:r>
            <w:r>
              <w:rPr>
                <w:sz w:val="24"/>
                <w:szCs w:val="24"/>
              </w:rPr>
              <w:t> 23</w:t>
            </w:r>
            <w:r w:rsidRPr="00E5475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E5475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24 г.</w:t>
            </w:r>
            <w:r w:rsidRPr="00E54755">
              <w:rPr>
                <w:sz w:val="24"/>
                <w:szCs w:val="24"/>
              </w:rPr>
              <w:t xml:space="preserve"> № 002</w:t>
            </w:r>
            <w:r>
              <w:rPr>
                <w:sz w:val="24"/>
                <w:szCs w:val="24"/>
              </w:rPr>
              <w:t>7</w:t>
            </w:r>
            <w:r w:rsidRPr="00E54755">
              <w:rPr>
                <w:sz w:val="24"/>
                <w:szCs w:val="24"/>
              </w:rPr>
              <w:t>;</w:t>
            </w:r>
          </w:p>
          <w:p w:rsidR="001D3605" w:rsidRPr="004E433C" w:rsidRDefault="001D3605" w:rsidP="00B556E5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 w:rsidRPr="00E54755">
              <w:rPr>
                <w:sz w:val="24"/>
                <w:szCs w:val="24"/>
              </w:rPr>
              <w:t xml:space="preserve">- значения эффективной площади рассеивания эталонных отражателей в соответствии с методическим документом, утвержденным приказом ФСТЭК России от </w:t>
            </w:r>
            <w:r>
              <w:rPr>
                <w:sz w:val="24"/>
                <w:szCs w:val="24"/>
              </w:rPr>
              <w:t>23</w:t>
            </w:r>
            <w:r w:rsidRPr="00E5475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E5475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24 г.</w:t>
            </w:r>
            <w:r w:rsidRPr="00E54755">
              <w:rPr>
                <w:sz w:val="24"/>
                <w:szCs w:val="24"/>
              </w:rPr>
              <w:t xml:space="preserve"> № 002</w:t>
            </w:r>
            <w:r>
              <w:rPr>
                <w:sz w:val="24"/>
                <w:szCs w:val="24"/>
              </w:rPr>
              <w:t>7</w:t>
            </w:r>
            <w:r w:rsidRPr="00E54755">
              <w:rPr>
                <w:sz w:val="24"/>
                <w:szCs w:val="24"/>
              </w:rPr>
              <w:t>.</w:t>
            </w:r>
          </w:p>
        </w:tc>
      </w:tr>
      <w:tr w:rsidR="009B764E" w:rsidRPr="004957B1" w:rsidTr="009B764E">
        <w:tc>
          <w:tcPr>
            <w:tcW w:w="795" w:type="dxa"/>
          </w:tcPr>
          <w:p w:rsid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3288" w:type="dxa"/>
          </w:tcPr>
          <w:p w:rsidR="009B764E" w:rsidRPr="009B764E" w:rsidRDefault="00EC6BDD" w:rsidP="001508E6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Применение национального режима</w:t>
            </w:r>
          </w:p>
        </w:tc>
        <w:tc>
          <w:tcPr>
            <w:tcW w:w="6090" w:type="dxa"/>
          </w:tcPr>
          <w:p w:rsidR="00EC6BDD" w:rsidRPr="00CA6802" w:rsidRDefault="00CA6802" w:rsidP="00CA6802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осуществлении данной закупки ограничения, в соответствии с постановлением Правительства Российской Федерации от 23 декабря 2024 года № 1875 «О 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- не </w:t>
            </w:r>
            <w:r w:rsidR="00505C40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станавливаются.</w:t>
            </w:r>
          </w:p>
        </w:tc>
      </w:tr>
      <w:tr w:rsidR="009B764E" w:rsidRPr="004957B1" w:rsidTr="009B764E">
        <w:tc>
          <w:tcPr>
            <w:tcW w:w="795" w:type="dxa"/>
          </w:tcPr>
          <w:p w:rsidR="009B764E" w:rsidRDefault="009B764E" w:rsidP="001D52A7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288" w:type="dxa"/>
          </w:tcPr>
          <w:p w:rsidR="009B764E" w:rsidRPr="009B764E" w:rsidRDefault="00EC6BDD" w:rsidP="001508E6">
            <w:pPr>
              <w:tabs>
                <w:tab w:val="left" w:pos="1127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технические требования к объекту закупки</w:t>
            </w:r>
          </w:p>
        </w:tc>
        <w:tc>
          <w:tcPr>
            <w:tcW w:w="6090" w:type="dxa"/>
          </w:tcPr>
          <w:p w:rsidR="00505C40" w:rsidRPr="00505C40" w:rsidRDefault="00505C40" w:rsidP="00505C40">
            <w:pPr>
              <w:tabs>
                <w:tab w:val="left" w:pos="1338"/>
              </w:tabs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услуги должен иметь перечень измерительного и вспомогательного оборудования для проведения лабораторных специальных исследований технических средств, предусмотренный документами, указанными в п.13 настоящих Технических требований.</w:t>
            </w:r>
          </w:p>
        </w:tc>
      </w:tr>
    </w:tbl>
    <w:p w:rsidR="00ED081E" w:rsidRDefault="00ED081E" w:rsidP="001A340A">
      <w:pPr>
        <w:pStyle w:val="a3"/>
        <w:ind w:left="0" w:right="430" w:firstLine="0"/>
      </w:pPr>
      <w:bookmarkStart w:id="0" w:name="_GoBack"/>
      <w:bookmarkEnd w:id="0"/>
    </w:p>
    <w:sectPr w:rsidR="00ED081E" w:rsidSect="00723641">
      <w:headerReference w:type="default" r:id="rId9"/>
      <w:pgSz w:w="11910" w:h="16840"/>
      <w:pgMar w:top="1134" w:right="853" w:bottom="1134" w:left="1247" w:header="567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B7" w:rsidRDefault="003008B7">
      <w:r>
        <w:separator/>
      </w:r>
    </w:p>
  </w:endnote>
  <w:endnote w:type="continuationSeparator" w:id="0">
    <w:p w:rsidR="003008B7" w:rsidRDefault="003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B7" w:rsidRDefault="003008B7">
      <w:r>
        <w:separator/>
      </w:r>
    </w:p>
  </w:footnote>
  <w:footnote w:type="continuationSeparator" w:id="0">
    <w:p w:rsidR="003008B7" w:rsidRDefault="00300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489" w:rsidRDefault="00B75489">
    <w:pPr>
      <w:pStyle w:val="a9"/>
      <w:jc w:val="center"/>
    </w:pPr>
  </w:p>
  <w:p w:rsidR="006762F8" w:rsidRDefault="006762F8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26F"/>
    <w:multiLevelType w:val="hybridMultilevel"/>
    <w:tmpl w:val="A7E0D564"/>
    <w:lvl w:ilvl="0" w:tplc="DD34C6C4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6AF62C">
      <w:numFmt w:val="bullet"/>
      <w:lvlText w:val="•"/>
      <w:lvlJc w:val="left"/>
      <w:pPr>
        <w:ind w:left="1174" w:hanging="212"/>
      </w:pPr>
      <w:rPr>
        <w:rFonts w:hint="default"/>
        <w:lang w:val="ru-RU" w:eastAsia="en-US" w:bidi="ar-SA"/>
      </w:rPr>
    </w:lvl>
    <w:lvl w:ilvl="2" w:tplc="BE00B568">
      <w:numFmt w:val="bullet"/>
      <w:lvlText w:val="•"/>
      <w:lvlJc w:val="left"/>
      <w:pPr>
        <w:ind w:left="2209" w:hanging="212"/>
      </w:pPr>
      <w:rPr>
        <w:rFonts w:hint="default"/>
        <w:lang w:val="ru-RU" w:eastAsia="en-US" w:bidi="ar-SA"/>
      </w:rPr>
    </w:lvl>
    <w:lvl w:ilvl="3" w:tplc="D7463AB4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 w:tplc="84C60D26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 w:tplc="BBDA1BD6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 w:tplc="60285CBC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 w:tplc="1B2CEDA2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 w:tplc="DE70F8D4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1">
    <w:nsid w:val="37212601"/>
    <w:multiLevelType w:val="hybridMultilevel"/>
    <w:tmpl w:val="6FA6D776"/>
    <w:lvl w:ilvl="0" w:tplc="53A0AE4A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2">
    <w:nsid w:val="48F0583D"/>
    <w:multiLevelType w:val="multilevel"/>
    <w:tmpl w:val="2758CB2E"/>
    <w:lvl w:ilvl="0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140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212"/>
      </w:pPr>
      <w:rPr>
        <w:rFonts w:hint="default"/>
        <w:lang w:val="ru-RU" w:eastAsia="en-US" w:bidi="ar-SA"/>
      </w:rPr>
    </w:lvl>
  </w:abstractNum>
  <w:abstractNum w:abstractNumId="3">
    <w:nsid w:val="6D6A536C"/>
    <w:multiLevelType w:val="hybridMultilevel"/>
    <w:tmpl w:val="3678FF1C"/>
    <w:lvl w:ilvl="0" w:tplc="3BB63E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8F1779"/>
    <w:multiLevelType w:val="hybridMultilevel"/>
    <w:tmpl w:val="7A9653E4"/>
    <w:lvl w:ilvl="0" w:tplc="BA76BB88">
      <w:start w:val="1"/>
      <w:numFmt w:val="decimal"/>
      <w:lvlText w:val="%1)"/>
      <w:lvlJc w:val="left"/>
      <w:pPr>
        <w:ind w:left="14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ECA3E4">
      <w:numFmt w:val="bullet"/>
      <w:lvlText w:val="•"/>
      <w:lvlJc w:val="left"/>
      <w:pPr>
        <w:ind w:left="1174" w:hanging="305"/>
      </w:pPr>
      <w:rPr>
        <w:rFonts w:hint="default"/>
        <w:lang w:val="ru-RU" w:eastAsia="en-US" w:bidi="ar-SA"/>
      </w:rPr>
    </w:lvl>
    <w:lvl w:ilvl="2" w:tplc="086C76B4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3" w:tplc="39A84618">
      <w:numFmt w:val="bullet"/>
      <w:lvlText w:val="•"/>
      <w:lvlJc w:val="left"/>
      <w:pPr>
        <w:ind w:left="3244" w:hanging="305"/>
      </w:pPr>
      <w:rPr>
        <w:rFonts w:hint="default"/>
        <w:lang w:val="ru-RU" w:eastAsia="en-US" w:bidi="ar-SA"/>
      </w:rPr>
    </w:lvl>
    <w:lvl w:ilvl="4" w:tplc="787485D8">
      <w:numFmt w:val="bullet"/>
      <w:lvlText w:val="•"/>
      <w:lvlJc w:val="left"/>
      <w:pPr>
        <w:ind w:left="4279" w:hanging="305"/>
      </w:pPr>
      <w:rPr>
        <w:rFonts w:hint="default"/>
        <w:lang w:val="ru-RU" w:eastAsia="en-US" w:bidi="ar-SA"/>
      </w:rPr>
    </w:lvl>
    <w:lvl w:ilvl="5" w:tplc="3EF0D964">
      <w:numFmt w:val="bullet"/>
      <w:lvlText w:val="•"/>
      <w:lvlJc w:val="left"/>
      <w:pPr>
        <w:ind w:left="5314" w:hanging="305"/>
      </w:pPr>
      <w:rPr>
        <w:rFonts w:hint="default"/>
        <w:lang w:val="ru-RU" w:eastAsia="en-US" w:bidi="ar-SA"/>
      </w:rPr>
    </w:lvl>
    <w:lvl w:ilvl="6" w:tplc="94FC13E6">
      <w:numFmt w:val="bullet"/>
      <w:lvlText w:val="•"/>
      <w:lvlJc w:val="left"/>
      <w:pPr>
        <w:ind w:left="6349" w:hanging="305"/>
      </w:pPr>
      <w:rPr>
        <w:rFonts w:hint="default"/>
        <w:lang w:val="ru-RU" w:eastAsia="en-US" w:bidi="ar-SA"/>
      </w:rPr>
    </w:lvl>
    <w:lvl w:ilvl="7" w:tplc="D6EA5C1A">
      <w:numFmt w:val="bullet"/>
      <w:lvlText w:val="•"/>
      <w:lvlJc w:val="left"/>
      <w:pPr>
        <w:ind w:left="7384" w:hanging="305"/>
      </w:pPr>
      <w:rPr>
        <w:rFonts w:hint="default"/>
        <w:lang w:val="ru-RU" w:eastAsia="en-US" w:bidi="ar-SA"/>
      </w:rPr>
    </w:lvl>
    <w:lvl w:ilvl="8" w:tplc="DD0CBD24">
      <w:numFmt w:val="bullet"/>
      <w:lvlText w:val="•"/>
      <w:lvlJc w:val="left"/>
      <w:pPr>
        <w:ind w:left="8419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2F8"/>
    <w:rsid w:val="00084D45"/>
    <w:rsid w:val="000A40A0"/>
    <w:rsid w:val="000D69F5"/>
    <w:rsid w:val="000E3B85"/>
    <w:rsid w:val="001369CE"/>
    <w:rsid w:val="001508E6"/>
    <w:rsid w:val="00152EDD"/>
    <w:rsid w:val="001A340A"/>
    <w:rsid w:val="001B2059"/>
    <w:rsid w:val="001D3605"/>
    <w:rsid w:val="001D52A7"/>
    <w:rsid w:val="001D62C8"/>
    <w:rsid w:val="00224947"/>
    <w:rsid w:val="0024772F"/>
    <w:rsid w:val="00261B46"/>
    <w:rsid w:val="002A5E9F"/>
    <w:rsid w:val="002F16CF"/>
    <w:rsid w:val="003008B7"/>
    <w:rsid w:val="003325E5"/>
    <w:rsid w:val="00335D00"/>
    <w:rsid w:val="00346E62"/>
    <w:rsid w:val="003629DD"/>
    <w:rsid w:val="00382829"/>
    <w:rsid w:val="00384D5C"/>
    <w:rsid w:val="003F3AE4"/>
    <w:rsid w:val="00433992"/>
    <w:rsid w:val="004957B1"/>
    <w:rsid w:val="004D0EAD"/>
    <w:rsid w:val="004E433C"/>
    <w:rsid w:val="00505C40"/>
    <w:rsid w:val="00511524"/>
    <w:rsid w:val="005676C4"/>
    <w:rsid w:val="00574D68"/>
    <w:rsid w:val="005F0FB8"/>
    <w:rsid w:val="00621248"/>
    <w:rsid w:val="00653DC5"/>
    <w:rsid w:val="006762F8"/>
    <w:rsid w:val="00723641"/>
    <w:rsid w:val="007241A2"/>
    <w:rsid w:val="00757F40"/>
    <w:rsid w:val="00780D84"/>
    <w:rsid w:val="007B403F"/>
    <w:rsid w:val="007C525A"/>
    <w:rsid w:val="007C775B"/>
    <w:rsid w:val="008232C3"/>
    <w:rsid w:val="00853414"/>
    <w:rsid w:val="00896665"/>
    <w:rsid w:val="008A3D7E"/>
    <w:rsid w:val="008C46D0"/>
    <w:rsid w:val="008E4814"/>
    <w:rsid w:val="0092507C"/>
    <w:rsid w:val="009824A0"/>
    <w:rsid w:val="0098713E"/>
    <w:rsid w:val="00994DD4"/>
    <w:rsid w:val="009A68ED"/>
    <w:rsid w:val="009B764E"/>
    <w:rsid w:val="009D1B7D"/>
    <w:rsid w:val="009D4DA1"/>
    <w:rsid w:val="00A0150B"/>
    <w:rsid w:val="00A41247"/>
    <w:rsid w:val="00A4414C"/>
    <w:rsid w:val="00A8371F"/>
    <w:rsid w:val="00AA4F9A"/>
    <w:rsid w:val="00AB479A"/>
    <w:rsid w:val="00AB59EC"/>
    <w:rsid w:val="00AD0479"/>
    <w:rsid w:val="00AD6282"/>
    <w:rsid w:val="00AF3915"/>
    <w:rsid w:val="00B2462C"/>
    <w:rsid w:val="00B621EA"/>
    <w:rsid w:val="00B75489"/>
    <w:rsid w:val="00BB1296"/>
    <w:rsid w:val="00C14004"/>
    <w:rsid w:val="00C65466"/>
    <w:rsid w:val="00C67642"/>
    <w:rsid w:val="00C732EA"/>
    <w:rsid w:val="00CA6802"/>
    <w:rsid w:val="00CE346D"/>
    <w:rsid w:val="00CE56E1"/>
    <w:rsid w:val="00D0381A"/>
    <w:rsid w:val="00D2135C"/>
    <w:rsid w:val="00D21B98"/>
    <w:rsid w:val="00D5339D"/>
    <w:rsid w:val="00D907FC"/>
    <w:rsid w:val="00D90E9C"/>
    <w:rsid w:val="00D948E9"/>
    <w:rsid w:val="00DF1216"/>
    <w:rsid w:val="00E11A2B"/>
    <w:rsid w:val="00E2646F"/>
    <w:rsid w:val="00E40DC9"/>
    <w:rsid w:val="00E54755"/>
    <w:rsid w:val="00E90CFF"/>
    <w:rsid w:val="00EC6BDD"/>
    <w:rsid w:val="00ED081E"/>
    <w:rsid w:val="00F00B44"/>
    <w:rsid w:val="00F83770"/>
    <w:rsid w:val="00FA578E"/>
    <w:rsid w:val="00FB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D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12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124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Body Text Indent 2"/>
    <w:basedOn w:val="a"/>
    <w:link w:val="20"/>
    <w:uiPriority w:val="99"/>
    <w:unhideWhenUsed/>
    <w:rsid w:val="000D6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21">
    <w:name w:val="Body Text 2"/>
    <w:basedOn w:val="a"/>
    <w:link w:val="22"/>
    <w:uiPriority w:val="99"/>
    <w:unhideWhenUsed/>
    <w:rsid w:val="000D6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rsid w:val="000D69F5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D69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0">
    <w:name w:val="Абзац списка1"/>
    <w:basedOn w:val="a"/>
    <w:rsid w:val="000D69F5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paragraph" w:styleId="a8">
    <w:name w:val="Normal (Web)"/>
    <w:basedOn w:val="a"/>
    <w:uiPriority w:val="99"/>
    <w:unhideWhenUsed/>
    <w:rsid w:val="000D69F5"/>
    <w:pPr>
      <w:widowControl/>
      <w:autoSpaceDE/>
      <w:autoSpaceDN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21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21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28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D0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12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1248"/>
    <w:rPr>
      <w:rFonts w:ascii="Segoe UI" w:eastAsia="Times New Roman" w:hAnsi="Segoe UI" w:cs="Segoe UI"/>
      <w:sz w:val="18"/>
      <w:szCs w:val="18"/>
      <w:lang w:val="ru-RU"/>
    </w:rPr>
  </w:style>
  <w:style w:type="paragraph" w:styleId="2">
    <w:name w:val="Body Text Indent 2"/>
    <w:basedOn w:val="a"/>
    <w:link w:val="20"/>
    <w:uiPriority w:val="99"/>
    <w:unhideWhenUsed/>
    <w:rsid w:val="000D69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21">
    <w:name w:val="Body Text 2"/>
    <w:basedOn w:val="a"/>
    <w:link w:val="22"/>
    <w:uiPriority w:val="99"/>
    <w:unhideWhenUsed/>
    <w:rsid w:val="000D69F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D69F5"/>
    <w:rPr>
      <w:rFonts w:ascii="Times New Roman" w:eastAsia="Times New Roman" w:hAnsi="Times New Roman" w:cs="Times New Roman"/>
      <w:lang w:val="ru-RU"/>
    </w:rPr>
  </w:style>
  <w:style w:type="paragraph" w:styleId="3">
    <w:name w:val="Body Text 3"/>
    <w:basedOn w:val="a"/>
    <w:link w:val="30"/>
    <w:rsid w:val="000D69F5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D69F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0">
    <w:name w:val="Абзац списка1"/>
    <w:basedOn w:val="a"/>
    <w:rsid w:val="000D69F5"/>
    <w:pPr>
      <w:widowControl/>
      <w:autoSpaceDE/>
      <w:autoSpaceDN/>
      <w:spacing w:after="120"/>
      <w:ind w:left="720"/>
      <w:contextualSpacing/>
    </w:pPr>
    <w:rPr>
      <w:rFonts w:ascii="Calibri" w:hAnsi="Calibri"/>
    </w:rPr>
  </w:style>
  <w:style w:type="paragraph" w:styleId="a8">
    <w:name w:val="Normal (Web)"/>
    <w:basedOn w:val="a"/>
    <w:uiPriority w:val="99"/>
    <w:unhideWhenUsed/>
    <w:rsid w:val="000D69F5"/>
    <w:pPr>
      <w:widowControl/>
      <w:autoSpaceDE/>
      <w:autoSpaceDN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21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F1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2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2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F5B8-3024-4FC2-9204-E8F2B6FD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Гусева Ирина Владимировна</dc:creator>
  <cp:lastModifiedBy>Шкапорова Анастасия Олеговна</cp:lastModifiedBy>
  <cp:revision>2</cp:revision>
  <cp:lastPrinted>2025-11-19T00:22:00Z</cp:lastPrinted>
  <dcterms:created xsi:type="dcterms:W3CDTF">2026-05-25T06:12:00Z</dcterms:created>
  <dcterms:modified xsi:type="dcterms:W3CDTF">2026-05-25T06:12:00Z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2025-07-18T00:00:00Z</vt:filetime>
  </property>
  <property fmtid="{D5CDD505-2E9C-101B-9397-08002B2CF9AE}" pid="5" name="Producer">
    <vt:lpwstr>3-Heights(TM) PDF Security Shell 4.8.25.2 (http://www.pdf-tools.com)</vt:lpwstr>
  </property>
</Properties>
</file>