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b w:val="0"/>
          <w:bCs w:val="0"/>
        </w:rPr>
      </w:pPr>
      <w:r>
        <w:rPr>
          <w:b w:val="0"/>
          <w:bCs w:val="0"/>
        </w:rPr>
        <w:t xml:space="preserve">Государственный контракт (ПРОЕКТ) № ______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jc w:val="center"/>
        <w:rPr>
          <w:b w:val="0"/>
          <w:bCs w:val="0"/>
          <w:highlight w:val="none"/>
        </w:rPr>
      </w:pPr>
      <w:r>
        <w:rPr>
          <w:b w:val="0"/>
          <w:bCs w:val="0"/>
        </w:rPr>
      </w:r>
      <w:r>
        <w:rPr>
          <w:b w:val="0"/>
          <w:bCs w:val="0"/>
        </w:rPr>
        <w:t xml:space="preserve">на </w:t>
      </w:r>
      <w:r>
        <w:rPr>
          <w:b w:val="0"/>
          <w:bCs w:val="0"/>
        </w:rPr>
        <w:t xml:space="preserve">о</w:t>
      </w:r>
      <w:r>
        <w:rPr>
          <w:lang w:eastAsia="en-US"/>
        </w:rPr>
        <w:t xml:space="preserve">казание медицинских услуг по прохождению диспансеризации федеральными государственными гражданскими служащими </w:t>
      </w:r>
      <w:r>
        <w:rPr>
          <w:lang w:eastAsia="en-US"/>
        </w:rPr>
        <w:t xml:space="preserve">МТУ Росимущества в Калужской, Брянской и Смоленской областях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rPr>
          <w:rFonts w:ascii="Times New Roman" w:hAnsi="Times New Roman"/>
          <w:spacing w:val="1"/>
          <w:highlight w:val="none"/>
          <w14:ligatures w14:val="none"/>
        </w:rPr>
      </w:pPr>
      <w:r>
        <w:rPr>
          <w:rFonts w:ascii="Times New Roman" w:hAnsi="Times New Roman"/>
          <w:spacing w:val="1"/>
          <w:highlight w:val="none"/>
        </w:rPr>
      </w:r>
      <w:r>
        <w:rPr>
          <w:rFonts w:ascii="Times New Roman" w:hAnsi="Times New Roman"/>
          <w:spacing w:val="1"/>
          <w:highlight w:val="none"/>
          <w14:ligatures w14:val="none"/>
        </w:rPr>
      </w:r>
      <w:r>
        <w:rPr>
          <w:rFonts w:ascii="Times New Roman" w:hAnsi="Times New Roman"/>
          <w:spacing w:val="1"/>
          <w:highlight w:val="none"/>
          <w14:ligatures w14:val="none"/>
        </w:rPr>
      </w:r>
    </w:p>
    <w:p>
      <w:pPr>
        <w:rPr>
          <w:rFonts w:ascii="Times New Roman" w:hAnsi="Times New Roman"/>
          <w:spacing w:val="1"/>
          <w:highlight w:val="none"/>
          <w14:ligatures w14:val="none"/>
        </w:rPr>
      </w:pPr>
      <w:r>
        <w:t xml:space="preserve">ИКЗ: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261402709652240270100100010000000000</w:t>
      </w:r>
      <w:r>
        <w:rPr>
          <w:rFonts w:ascii="Times New Roman" w:hAnsi="Times New Roman"/>
          <w:spacing w:val="1"/>
          <w:highlight w:val="none"/>
          <w14:ligatures w14:val="none"/>
        </w:rPr>
      </w:r>
      <w:r>
        <w:rPr>
          <w:rFonts w:ascii="Times New Roman" w:hAnsi="Times New Roman"/>
          <w:spacing w:val="1"/>
          <w:highlight w:val="none"/>
          <w14:ligatures w14:val="none"/>
        </w:rPr>
      </w:r>
    </w:p>
    <w:p>
      <w:r>
        <w:t xml:space="preserve">КБК</w:t>
      </w:r>
      <w:r>
        <w:t xml:space="preserve">: 167 0113 3941290020 244</w:t>
      </w:r>
      <w:r/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tabs>
          <w:tab w:val="left" w:pos="7230" w:leader="none"/>
        </w:tabs>
      </w:pPr>
      <w:r>
        <w:t xml:space="preserve">г. Брянск                                                                                                           «       » ______ 2026 г.</w:t>
      </w:r>
      <w:r/>
    </w:p>
    <w:p>
      <w:pPr>
        <w:ind w:firstLine="567"/>
        <w:jc w:val="both"/>
      </w:pPr>
      <w:r/>
      <w:r/>
    </w:p>
    <w:p>
      <w:pPr>
        <w:ind w:firstLine="567"/>
        <w:jc w:val="both"/>
      </w:pPr>
      <w:r>
        <w:t xml:space="preserve">Межрегиональное Территориальное управление Федерального агентства по управлению государственным имуществом в Калужской, Брянской и Смоленской областях (далее – Межрегиональное Территориальное управление), именуемое в дальнейшем «Заказчик», в лице</w:t>
      </w:r>
      <w:r>
        <w:rPr>
          <w:rStyle w:val="1027"/>
        </w:rPr>
        <w:footnoteReference w:id="2"/>
      </w:r>
      <w:r>
        <w:t xml:space="preserve"> ____________________, действующего на основании</w:t>
      </w:r>
      <w:r>
        <w:rPr>
          <w:rStyle w:val="1027"/>
        </w:rPr>
        <w:footnoteReference w:id="3"/>
      </w:r>
      <w:r>
        <w:t xml:space="preserve"> _______________________, с одной стороны и</w:t>
      </w:r>
      <w:r>
        <w:rPr>
          <w:rStyle w:val="1027"/>
        </w:rPr>
        <w:footnoteReference w:id="4"/>
      </w:r>
      <w:r>
        <w:t xml:space="preserve"> ___________________________________, именуемое в дальнейшем «Исполнитель», в лице</w:t>
      </w:r>
      <w:r>
        <w:rPr>
          <w:rStyle w:val="1027"/>
        </w:rPr>
        <w:footnoteReference w:id="5"/>
      </w:r>
      <w:r>
        <w:t xml:space="preserve"> ____________________________, действующего на основании</w:t>
      </w:r>
      <w:r>
        <w:rPr>
          <w:rStyle w:val="1027"/>
        </w:rPr>
        <w:footnoteReference w:id="6"/>
      </w:r>
      <w:r>
        <w:t xml:space="preserve"> ________________, </w:t>
      </w:r>
      <w:r>
        <w:rPr>
          <w:rFonts w:ascii="Times New Roman" w:hAnsi="Times New Roman"/>
          <w:spacing w:val="1"/>
        </w:rPr>
        <w:t xml:space="preserve">с другой стороны, в дальнейшем вмест</w:t>
      </w:r>
      <w:r>
        <w:rPr>
          <w:rFonts w:ascii="Times New Roman" w:hAnsi="Times New Roman"/>
          <w:spacing w:val="1"/>
        </w:rPr>
        <w:t xml:space="preserve">е именуемые «Стороны», и каждый в отдельности «Сторона», с соблюдением требований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на основании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пункта 4</w:t>
      </w:r>
      <w:r>
        <w:rPr>
          <w:rFonts w:eastAsia="Calibri"/>
          <w:color w:val="000000"/>
          <w:sz w:val="24"/>
          <w:szCs w:val="24"/>
          <w:lang w:eastAsia="en-US"/>
        </w:rPr>
        <w:t xml:space="preserve"> ча</w:t>
      </w:r>
      <w:r>
        <w:rPr>
          <w:rFonts w:eastAsia="Calibri"/>
          <w:color w:val="000000"/>
          <w:sz w:val="24"/>
          <w:szCs w:val="24"/>
          <w:lang w:eastAsia="en-US"/>
        </w:rPr>
        <w:t xml:space="preserve">сти 1 статьи 93 Феде</w:t>
      </w:r>
      <w:r>
        <w:rPr>
          <w:rFonts w:eastAsia="Calibri"/>
          <w:color w:val="000000"/>
          <w:sz w:val="24"/>
          <w:szCs w:val="24"/>
          <w:lang w:eastAsia="en-US"/>
        </w:rPr>
        <w:t xml:space="preserve">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eastAsia="Calibri"/>
          <w:color w:val="000000"/>
          <w:sz w:val="24"/>
          <w:szCs w:val="24"/>
          <w:lang w:eastAsia="en-US"/>
        </w:rPr>
        <w:t xml:space="preserve">, (закупочная сессия на ЕАТ </w:t>
      </w:r>
      <w:r>
        <w:rPr>
          <w:rFonts w:eastAsia="Calibri"/>
          <w:color w:val="000000"/>
          <w:sz w:val="24"/>
          <w:szCs w:val="24"/>
          <w:lang w:eastAsia="en-US"/>
        </w:rPr>
        <w:t xml:space="preserve">№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</w:t>
      </w:r>
      <w:r>
        <w:rPr>
          <w:rFonts w:eastAsia="Calibri"/>
          <w:color w:val="000000"/>
          <w:sz w:val="24"/>
          <w:szCs w:val="24"/>
          <w:lang w:eastAsia="en-US"/>
        </w:rPr>
        <w:t xml:space="preserve">от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 xml:space="preserve">г.</w:t>
      </w:r>
      <w:r>
        <w:rPr>
          <w:rStyle w:val="1027"/>
          <w:rFonts w:ascii="Times New Roman" w:hAnsi="Times New Roman" w:eastAsia="Calibri"/>
          <w:sz w:val="26"/>
          <w:szCs w:val="26"/>
          <w:highlight w:val="none"/>
          <w:lang w:eastAsia="en-US"/>
        </w:rPr>
        <w:footnoteReference w:id="7"/>
      </w:r>
      <w:r>
        <w:rPr>
          <w:rFonts w:eastAsia="Calibri"/>
          <w:color w:val="000000"/>
          <w:sz w:val="24"/>
          <w:szCs w:val="24"/>
          <w:lang w:eastAsia="en-US"/>
        </w:rPr>
        <w:t xml:space="preserve">)</w:t>
      </w:r>
      <w:r>
        <w:rPr>
          <w:rFonts w:eastAsia="Calibri"/>
          <w:color w:val="000000"/>
          <w:sz w:val="24"/>
          <w:szCs w:val="24"/>
          <w:lang w:eastAsia="en-US"/>
        </w:rPr>
        <w:t xml:space="preserve">, заключили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настоящий   государственный контракт (далее - Контракт) о нижеследующем</w:t>
      </w:r>
      <w:r>
        <w:rPr>
          <w:rFonts w:ascii="Times New Roman" w:hAnsi="Times New Roman"/>
          <w:spacing w:val="1"/>
        </w:rPr>
        <w:t xml:space="preserve">:</w:t>
      </w:r>
      <w:r/>
    </w:p>
    <w:p>
      <w:r/>
      <w:r/>
    </w:p>
    <w:p>
      <w:pPr>
        <w:pStyle w:val="10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Предмет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567"/>
        <w:jc w:val="both"/>
      </w:pPr>
      <w:r>
        <w:t xml:space="preserve">1.1. По настоящему Контракту Исполнитель обязуется оказывать медицинские услуги по </w:t>
      </w:r>
      <w:r>
        <w:rPr>
          <w:lang w:eastAsia="en-US"/>
        </w:rPr>
        <w:t xml:space="preserve">прохождению диспансеризации федеральными государственными гражданскими служащими </w:t>
      </w:r>
      <w:r>
        <w:rPr>
          <w:lang w:eastAsia="en-US"/>
        </w:rPr>
        <w:t xml:space="preserve">МТУ Росимущества в Калужской, Брянской и Смоленской областях </w:t>
      </w:r>
      <w:r>
        <w:t xml:space="preserve">(далее - услуги) в срок, предусмотренный </w:t>
      </w:r>
      <w:r>
        <w:t xml:space="preserve">настоящим Контрактом, согласно </w:t>
      </w:r>
      <w:r>
        <w:t xml:space="preserve">Техническому заданию (приложение № 1 к настоящему Контракту) и </w:t>
      </w:r>
      <w:r>
        <w:t xml:space="preserve">Спецификации (приложение № 2 к настоящему Контракту), а Заказчик обязуется принять и оплатить оказанные услуги на условиях, предусмотренных  настоящим Контрактом.</w:t>
      </w:r>
      <w:r/>
    </w:p>
    <w:p>
      <w:pPr>
        <w:ind w:firstLine="567"/>
        <w:jc w:val="both"/>
      </w:pPr>
      <w:r>
        <w:t xml:space="preserve">1.2. Срок оказания услу</w:t>
      </w:r>
      <w:r>
        <w:rPr>
          <w:highlight w:val="none"/>
        </w:rPr>
        <w:t xml:space="preserve">г </w:t>
      </w:r>
      <w:r>
        <w:rPr>
          <w:highlight w:val="none"/>
        </w:rPr>
        <w:t xml:space="preserve">Исполнителем</w:t>
      </w:r>
      <w:r>
        <w:rPr>
          <w:highlight w:val="none"/>
        </w:rPr>
        <w:t xml:space="preserve">: </w:t>
      </w:r>
      <w:r>
        <w:t xml:space="preserve">с 05.10.2026 по 30.10.2026.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Срок сдачи отчетной документации: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не позднее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ноября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2026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г.</w:t>
      </w:r>
      <w:r/>
    </w:p>
    <w:p>
      <w:pPr>
        <w:ind w:firstLine="567"/>
        <w:jc w:val="both"/>
      </w:pPr>
      <w:r>
        <w:t xml:space="preserve">1.3. </w:t>
      </w:r>
      <w:r>
        <w:rPr>
          <w:lang w:eastAsia="zh-CN"/>
        </w:rPr>
        <w:t xml:space="preserve">Услуги по настоящему Контракту оказываются в соответствии с </w:t>
      </w:r>
      <w:r>
        <w:rPr>
          <w:lang w:eastAsia="zh-CN"/>
        </w:rPr>
        <w:t xml:space="preserve">Порядком прохождения диспан</w:t>
      </w:r>
      <w:r>
        <w:rPr>
          <w:lang w:eastAsia="zh-CN"/>
        </w:rPr>
        <w:t xml:space="preserve">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утвержденным приказом Министерства здравоохранения Российской Федерации от 14 апреля 2025 г. </w:t>
      </w:r>
      <w:r>
        <w:rPr>
          <w:lang w:eastAsia="zh-CN"/>
        </w:rPr>
        <w:t xml:space="preserve">№ 201н </w:t>
      </w:r>
      <w:r>
        <w:rPr>
          <w:lang w:eastAsia="zh-CN"/>
        </w:rPr>
        <w:t xml:space="preserve">(далее – Порядок № 201н) </w:t>
      </w:r>
      <w:r>
        <w:rPr>
          <w:lang w:eastAsia="zh-CN"/>
        </w:rPr>
        <w:t xml:space="preserve">и Техническим заданием (Приложение № 1 к настоящему Контракту)</w:t>
      </w:r>
      <w:r>
        <w:t xml:space="preserve">.</w:t>
      </w:r>
      <w:r/>
    </w:p>
    <w:p>
      <w:pPr>
        <w:ind w:firstLine="567"/>
        <w:jc w:val="both"/>
        <w:rPr>
          <w:highlight w:val="none"/>
        </w:rPr>
      </w:pPr>
      <w:r>
        <w:t xml:space="preserve">1.4. Место оказания услуг: г. Брянск, по месту нахождения Исполнителя. </w:t>
      </w:r>
      <w:r>
        <w:rPr>
          <w:rFonts w:ascii="Times New Roman" w:hAnsi="Times New Roman" w:eastAsia="Times New Roman" w:cs="Times New Roman"/>
          <w:lang w:eastAsia="ru-RU"/>
        </w:rPr>
        <w:t xml:space="preserve">Услуги оказываются по одному адресу на базе одного медицинского учреждения.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rPr>
          <w:highlight w:val="none"/>
        </w:rPr>
      </w:pPr>
      <w:r>
        <w:rPr>
          <w:highlight w:val="none"/>
        </w:rPr>
        <w:t xml:space="preserve">1.5. </w:t>
      </w:r>
      <w:r>
        <w:rPr>
          <w:rFonts w:ascii="Times New Roman" w:hAnsi="Times New Roman"/>
          <w:sz w:val="24"/>
        </w:rPr>
        <w:t xml:space="preserve">Срок исполнения Контракта </w:t>
      </w:r>
      <w:r>
        <w:rPr>
          <w:rFonts w:cs="Times New Roman"/>
          <w:sz w:val="24"/>
          <w:szCs w:val="24"/>
        </w:rPr>
        <w:t xml:space="preserve">(отдельных этапов исполнения Контракта, если Контрактом предусмотрены такие этапы)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  <w:szCs w:val="24"/>
          <w:lang w:eastAsia="ar-SA"/>
        </w:rPr>
        <w:t xml:space="preserve">ключает в себя: срок оказания услуг Исполнителем в соответ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ствии с пунктом 1.2 Контракта, срок </w:t>
      </w:r>
      <w:r>
        <w:rPr>
          <w:sz w:val="24"/>
          <w:szCs w:val="24"/>
          <w:lang w:eastAsia="ru-RU"/>
        </w:rPr>
        <w:t xml:space="preserve">предоставления документов об исполнении обязательств Исполнителя (отдельного этапа исполнения Контракта)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в соответствии с пунктом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4.2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Контракта, с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рок приемки результатов оказанных услуг в соответствии с пунктом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4.5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Контр</w:t>
      </w:r>
      <w:r>
        <w:rPr>
          <w:rFonts w:ascii="Times New Roman" w:hAnsi="Times New Roman"/>
          <w:sz w:val="24"/>
          <w:szCs w:val="24"/>
          <w:lang w:eastAsia="ar-SA"/>
        </w:rPr>
        <w:t xml:space="preserve">акта, срок оплаты оказанных услуг в соответствии с пунктом 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2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.5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Контракта. </w:t>
      </w:r>
      <w:r>
        <w:rPr>
          <w:rFonts w:ascii="Times New Roman" w:hAnsi="Times New Roman"/>
          <w:sz w:val="24"/>
          <w:szCs w:val="24"/>
          <w:lang w:eastAsia="ar-SA"/>
        </w:rPr>
        <w:t xml:space="preserve">Срок исполнения Контракта не может превышать 31.12.2026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</w:pPr>
      <w:r/>
      <w:r/>
    </w:p>
    <w:p>
      <w:pPr>
        <w:ind w:firstLine="567"/>
        <w:jc w:val="center"/>
        <w:rPr>
          <w:highlight w:val="none"/>
        </w:rPr>
      </w:pPr>
      <w:r>
        <w:rPr>
          <w:b/>
          <w:bCs/>
          <w:highlight w:val="none"/>
        </w:rPr>
        <w:t xml:space="preserve">2. </w:t>
      </w:r>
      <w:r>
        <w:rPr>
          <w:b/>
        </w:rPr>
        <w:t xml:space="preserve">Цена Контракта и порядок расчетов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widowControl w:val="off"/>
      </w:pPr>
      <w:r>
        <w:t xml:space="preserve">2.1. Цена Контракта </w:t>
      </w:r>
      <w:r>
        <w:t xml:space="preserve">составляет </w:t>
      </w:r>
      <w:r>
        <w:t xml:space="preserve">________________________ (_______________________________________) рублей __копеек, </w:t>
      </w:r>
      <w:r>
        <w:t xml:space="preserve">в том числе НДС</w:t>
      </w:r>
      <w:r>
        <w:rPr>
          <w:rStyle w:val="1027"/>
        </w:rPr>
        <w:footnoteReference w:id="8"/>
      </w:r>
      <w:r>
        <w:t xml:space="preserve">  ___________(_______________________________) рублей __копеек. </w:t>
      </w:r>
      <w:r/>
    </w:p>
    <w:p>
      <w:pPr>
        <w:ind w:firstLine="567"/>
        <w:jc w:val="both"/>
        <w:widowControl w:val="off"/>
        <w:rPr>
          <w:i/>
          <w:iCs/>
          <w:highlight w:val="none"/>
        </w:rPr>
      </w:pPr>
      <w:r>
        <w:t xml:space="preserve">Цена за единицу указана в Спецификации (Приложение № 2 к настоящему Контракту)</w:t>
      </w:r>
      <w:r>
        <w:t xml:space="preserve">.</w:t>
      </w:r>
      <w:r>
        <w:rPr>
          <w:i/>
          <w:iCs/>
          <w:highlight w:val="none"/>
        </w:rPr>
      </w:r>
      <w:r>
        <w:rPr>
          <w:i/>
          <w:iCs/>
          <w:highlight w:val="none"/>
        </w:rPr>
      </w:r>
    </w:p>
    <w:p>
      <w:pPr>
        <w:ind w:firstLine="567"/>
        <w:jc w:val="both"/>
        <w:widowControl w:val="off"/>
        <w:rPr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>
        <w:t xml:space="preserve">Цена Контракта включает в себя стоимость оказания услуг, </w:t>
      </w:r>
      <w:r>
        <w:rPr>
          <w:rFonts w:ascii="Times New Roman" w:hAnsi="Times New Roman" w:eastAsia="Times New Roman" w:cs="Times New Roman"/>
          <w:lang w:eastAsia="ru-RU"/>
        </w:rPr>
        <w:t xml:space="preserve">а также все расходы, связанные с исполнением Исполнителем обязательств по Контракту, в том числе </w:t>
      </w:r>
      <w:r>
        <w:rPr>
          <w:rFonts w:ascii="Times New Roman" w:hAnsi="Times New Roman" w:eastAsia="Times New Roman" w:cs="Times New Roman"/>
          <w:lang w:eastAsia="zh-CN"/>
        </w:rPr>
        <w:t xml:space="preserve">уплату налогов, сборов и иных обязательных платежей, другие расходы, включая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zh-CN"/>
        </w:rPr>
        <w:t xml:space="preserve">расходы </w:t>
      </w:r>
      <w:r>
        <w:rPr>
          <w:rFonts w:ascii="Times New Roman" w:hAnsi="Times New Roman" w:eastAsia="Times New Roman" w:cs="Times New Roman"/>
          <w:lang w:eastAsia="zh-CN"/>
        </w:rPr>
        <w:br/>
      </w:r>
      <w:r>
        <w:rPr>
          <w:rFonts w:ascii="Times New Roman" w:hAnsi="Times New Roman" w:eastAsia="Times New Roman" w:cs="Times New Roman"/>
          <w:lang w:eastAsia="zh-CN"/>
        </w:rPr>
        <w:t xml:space="preserve">на материалы, транспортные услуги, страхование, услуги субподрядных организаций, необходимые </w:t>
      </w:r>
      <w:r>
        <w:rPr>
          <w:rFonts w:ascii="Times New Roman" w:hAnsi="Times New Roman" w:eastAsia="Times New Roman" w:cs="Times New Roman"/>
          <w:lang w:eastAsia="zh-CN"/>
        </w:rPr>
        <w:t xml:space="preserve">для полного исполнения Контракта (если привлечение таковых предусмотрено сторонами).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</w:t>
      </w:r>
      <w:r>
        <w:rPr>
          <w:rFonts w:ascii="Times New Roman" w:hAnsi="Times New Roman" w:cs="Times New Roman"/>
          <w:sz w:val="24"/>
          <w:szCs w:val="24"/>
        </w:rPr>
        <w:t xml:space="preserve"> 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законом № 44-ФЗ.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Цена Контракта уменьшается на сумму, подлежащую уплате Заказчиком Исполнителю,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Источник финансирования настоящего Контракта – средства федерального бюджета.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Оплата производится за фактически оказанные услуги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соответствии с выделенными Заказчику лимитами бюджетных обязательств на 202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год в срок не более 7 (семи) рабочих дней с даты подписания Заказчиком </w:t>
      </w:r>
      <w:r>
        <w:rPr>
          <w:rFonts w:ascii="Times New Roman" w:hAnsi="Times New Roman" w:cs="Times New Roman"/>
          <w:bCs/>
          <w:sz w:val="24"/>
          <w:szCs w:val="24"/>
        </w:rPr>
        <w:t xml:space="preserve">акта 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Оплата осуществляется по безналичному расчету платежными поручениями путем перечисления Заказчиком денежных средств на расчетный счет Исполнителя.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Платежи по Контракту осуществляются Заказчиком без авансовых платежей, в российских рублях.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2.7.</w:t>
      </w:r>
      <w:r>
        <w:rPr>
          <w:rFonts w:ascii="Times New Roman" w:hAnsi="Times New Roman" w:cs="Times New Roman"/>
          <w:sz w:val="24"/>
          <w:szCs w:val="24"/>
        </w:rPr>
        <w:t xml:space="preserve"> Обязанности Заказчика по оплате услуги считаются исполненными с момента списания денежных средств со счета Заказчика.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2.8. Цена Контракта может быть изменена по соглашению Сторон в следующих случаях: 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а) при снижении цены Контракта без изменения предусмотренных Контрактом объема услуг, качества оказываемых услуг и иных условий Контракта;</w:t>
      </w:r>
      <w:r>
        <w:rPr>
          <w:rFonts w:ascii="Times New Roman" w:hAnsi="Times New Roman" w:cs="Times New Roman"/>
          <w14:ligatures w14:val="none"/>
        </w:rPr>
      </w:r>
      <w:r>
        <w:rPr>
          <w:rFonts w:ascii="Times New Roman" w:hAnsi="Times New Roman" w:cs="Times New Roman"/>
          <w14:ligatures w14:val="none"/>
        </w:rPr>
      </w:r>
    </w:p>
    <w:p>
      <w:pPr>
        <w:pStyle w:val="1056"/>
        <w:ind w:firstLine="567"/>
        <w:jc w:val="both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б) 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если по предложению Заказчика увеличивается предусмотренный Контрактом объем услуг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не более чем на 10 % или уменьшается предусмотренный Контрактом объем оказываемых услуг не более чем на 10 %. При этом по соглашени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услуги, но не более чем на 10 % цены Контракта. </w:t>
      </w:r>
      <w:r>
        <w:rPr>
          <w:rFonts w:ascii="Times New Roman" w:hAnsi="Times New Roman" w:cs="Times New Roman"/>
          <w:sz w:val="24"/>
          <w:szCs w:val="24"/>
          <w:lang w:eastAsia="zh-CN"/>
        </w:rPr>
        <w:br/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При уменьшении предусмотренного Контрактом объема Услуг Стороны Контракта обязаны уменьшить цену Контракта исходя из цены единицы услуги.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ind w:firstLine="567"/>
        <w:jc w:val="both"/>
      </w:pPr>
      <w:r/>
      <w:r/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3. Права и обязанности сторон 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3.1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. Исполнитель обязуется: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3.1.1. Оказать Услуги качественно, в полном объеме и в сроки, оговоренные в настоящем контракте.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3.1.2. Гарантировать качество используемых материалов, инструментов, препаратов </w:t>
      </w:r>
      <w:r>
        <w:rPr>
          <w:rFonts w:ascii="Times New Roman" w:hAnsi="Times New Roman" w:eastAsia="Times New Roman" w:cs="Times New Roman"/>
          <w:lang w:eastAsia="ru-RU"/>
        </w:rPr>
        <w:br/>
      </w:r>
      <w:r>
        <w:rPr>
          <w:rFonts w:ascii="Times New Roman" w:hAnsi="Times New Roman" w:eastAsia="Times New Roman" w:cs="Times New Roman"/>
          <w:lang w:eastAsia="ru-RU"/>
        </w:rPr>
        <w:t xml:space="preserve">и оборудования, наличие сертификатов и (или) других документов, удостоверяющих их качество, </w:t>
      </w:r>
      <w:r>
        <w:rPr>
          <w:rFonts w:ascii="Times New Roman" w:hAnsi="Times New Roman" w:eastAsia="Times New Roman" w:cs="Times New Roman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по требованию Заказчика, предоставить необходимые документы.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.1.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На основании полученных от Заказчика Списка гражданских служащих Заказчика, п</w:t>
      </w:r>
      <w:r>
        <w:rPr>
          <w:rFonts w:ascii="Times New Roman" w:hAnsi="Times New Roman" w:eastAsia="Times New Roman" w:cs="Times New Roman"/>
          <w:lang w:eastAsia="ru-RU"/>
        </w:rPr>
        <w:t xml:space="preserve">одлежащих диспансеризации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году, и Графика прохождения диспансеризации гражд</w:t>
      </w:r>
      <w:r>
        <w:rPr>
          <w:rFonts w:ascii="Times New Roman" w:hAnsi="Times New Roman" w:eastAsia="Times New Roman" w:cs="Times New Roman"/>
          <w:lang w:eastAsia="ru-RU"/>
        </w:rPr>
        <w:t xml:space="preserve">анских служащих Заказчика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 провести диспансеризацию гражданских служащих Заказчика.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3.1.4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При проведении диспансеризации</w:t>
      </w:r>
      <w:r>
        <w:rPr>
          <w:rFonts w:ascii="Times New Roman" w:hAnsi="Times New Roman" w:eastAsia="Times New Roman" w:cs="Times New Roman"/>
          <w:lang w:eastAsia="ru-RU"/>
        </w:rPr>
        <w:t xml:space="preserve"> на каждого гражданского служащего Заказчика заполнить медицинскую карту пациента, получающего медицинскую помощь в амбулаторных условиях.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3.1.5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Занести врачами-специалистами, принимающими участие в проведении диспансеризации гражданских служащих Заказчика, результаты диспансеризации в медицинскую карту.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3.1.6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Передать результаты проведенных лабораторных и функциональных исследований </w:t>
      </w:r>
      <w:r>
        <w:rPr>
          <w:rFonts w:ascii="Times New Roman" w:hAnsi="Times New Roman" w:eastAsia="Times New Roman" w:cs="Times New Roman"/>
          <w:lang w:eastAsia="ru-RU"/>
        </w:rPr>
        <w:t xml:space="preserve">и результаты осмотров врачами-</w:t>
      </w:r>
      <w:r>
        <w:rPr>
          <w:rFonts w:ascii="Times New Roman" w:hAnsi="Times New Roman" w:eastAsia="Times New Roman" w:cs="Times New Roman"/>
          <w:lang w:eastAsia="ru-RU"/>
        </w:rPr>
        <w:t xml:space="preserve">специалистами врачу-терапевту, ответственному за проведение диспансеризации.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lang w:eastAsia="ru-RU"/>
        </w:rPr>
        <w:t xml:space="preserve">В случае выявления у гражданских служащих в процессе диспансеризации медицинских показаний к проведению осмотров врачами-специалистами, медицинских исследований и мероприятий, </w:t>
      </w:r>
      <w:r>
        <w:rPr>
          <w:rFonts w:ascii="Times New Roman" w:hAnsi="Times New Roman" w:eastAsia="Times New Roman" w:cs="Times New Roman"/>
          <w:lang w:eastAsia="ru-RU"/>
        </w:rPr>
        <w:t xml:space="preserve">не входящих в объем диспансеризации,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предусмотренный </w:t>
      </w:r>
      <w:hyperlink r:id="rId10" w:tooltip="https://login.consultant.ru/link/?req=doc&amp;base=LAW&amp;n=505677&amp;dst=100028" w:history="1">
        <w:r>
          <w:rPr>
            <w:rStyle w:val="1048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пунктом 7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Порядка</w:t>
      </w:r>
      <w:r>
        <w:rPr>
          <w:lang w:eastAsia="zh-CN"/>
        </w:rPr>
        <w:t xml:space="preserve"> № 201н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направить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вне рамок диспансеризации для получения необходимой им медицинской помощи в соответствии с положением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об организации оказания медицинской помощи, в соответствии с </w:t>
      </w:r>
      <w:hyperlink r:id="rId11" w:tooltip="https://login.consultant.ru/link/?req=doc&amp;base=LAW&amp;n=141711&amp;dst=100003" w:history="1">
        <w:r>
          <w:rPr>
            <w:rStyle w:val="1048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порядками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оказания медицинской помощи, на основе </w:t>
      </w:r>
      <w:hyperlink r:id="rId12" w:tooltip="https://login.consultant.ru/link/?req=doc&amp;base=LAW&amp;n=519392" w:history="1">
        <w:r>
          <w:rPr>
            <w:rStyle w:val="1048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клинических рекомендаций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и с учетом </w:t>
      </w:r>
      <w:hyperlink r:id="rId13" w:tooltip="https://login.consultant.ru/link/?req=doc&amp;base=LAW&amp;n=141711&amp;dst=100005" w:history="1">
        <w:r>
          <w:rPr>
            <w:rStyle w:val="1048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стандартов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медицинской помощи в медицинские организации государственной и муниципальной систем здравоохранения (часть 1 статьи </w:t>
      </w:r>
      <w:r>
        <w:rPr>
          <w:rFonts w:ascii="Times New Roman" w:hAnsi="Times New Roman" w:eastAsia="Times New Roman" w:cs="Times New Roman"/>
          <w:lang w:eastAsia="ru-RU"/>
        </w:rPr>
        <w:t xml:space="preserve">37 Федерального закона от 21 ноября </w:t>
      </w:r>
      <w:r>
        <w:rPr>
          <w:rFonts w:ascii="Times New Roman" w:hAnsi="Times New Roman" w:eastAsia="Times New Roman" w:cs="Times New Roman"/>
          <w:lang w:eastAsia="ru-RU"/>
        </w:rPr>
        <w:t xml:space="preserve">2011</w:t>
      </w:r>
      <w:r>
        <w:rPr>
          <w:rFonts w:ascii="Times New Roman" w:hAnsi="Times New Roman" w:eastAsia="Times New Roman" w:cs="Times New Roman"/>
          <w:lang w:eastAsia="ru-RU"/>
        </w:rPr>
        <w:t xml:space="preserve"> г.</w:t>
      </w:r>
      <w:r>
        <w:rPr>
          <w:rFonts w:ascii="Times New Roman" w:hAnsi="Times New Roman" w:eastAsia="Times New Roman" w:cs="Times New Roman"/>
          <w:lang w:eastAsia="ru-RU"/>
        </w:rPr>
        <w:t xml:space="preserve"> № 323-ФЗ «Об основах охраны здоровья граждан в Российской Федерации»</w:t>
      </w:r>
      <w:r>
        <w:rPr>
          <w:rFonts w:ascii="Times New Roman" w:hAnsi="Times New Roman" w:eastAsia="Times New Roman" w:cs="Times New Roman"/>
          <w:lang w:eastAsia="ru-RU"/>
        </w:rPr>
        <w:t xml:space="preserve"> (далее – Федеральный закон № 323-ФЗ</w:t>
      </w:r>
      <w:r>
        <w:rPr>
          <w:rFonts w:ascii="Times New Roman" w:hAnsi="Times New Roman" w:eastAsia="Times New Roman" w:cs="Times New Roman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Дополнительные консультации, дополнительные обследования и лечение </w:t>
      </w:r>
      <w:r>
        <w:rPr>
          <w:rFonts w:ascii="Times New Roman" w:hAnsi="Times New Roman" w:eastAsia="Times New Roman" w:cs="Times New Roman"/>
          <w:lang w:eastAsia="ru-RU"/>
        </w:rPr>
        <w:br/>
      </w:r>
      <w:r>
        <w:rPr>
          <w:rFonts w:ascii="Times New Roman" w:hAnsi="Times New Roman" w:eastAsia="Times New Roman" w:cs="Times New Roman"/>
          <w:lang w:eastAsia="ru-RU"/>
        </w:rPr>
        <w:t xml:space="preserve">в амбулаторно-поликлинических и стационарных условиях не входят в объем диспансеризации.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lang w:eastAsia="ru-RU"/>
        </w:rPr>
        <w:t xml:space="preserve">. После обследования гражданского служащего Заказчика, проведенного в соответствии </w:t>
      </w:r>
      <w:r>
        <w:rPr>
          <w:rFonts w:ascii="Times New Roman" w:hAnsi="Times New Roman" w:eastAsia="Times New Roman" w:cs="Times New Roman"/>
          <w:lang w:eastAsia="ru-RU"/>
        </w:rPr>
        <w:t xml:space="preserve">с установленным Техническим заданием (Приложение № 1 к </w:t>
      </w:r>
      <w:r>
        <w:t xml:space="preserve">настоящему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) объемом диспансеризации, обеспечить опр</w:t>
      </w:r>
      <w:r>
        <w:rPr>
          <w:rFonts w:ascii="Times New Roman" w:hAnsi="Times New Roman" w:eastAsia="Times New Roman" w:cs="Times New Roman"/>
          <w:lang w:eastAsia="ru-RU"/>
        </w:rPr>
        <w:t xml:space="preserve">еделение врачом-терапевтом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с уче</w:t>
      </w:r>
      <w:r>
        <w:rPr>
          <w:rFonts w:ascii="Times New Roman" w:hAnsi="Times New Roman" w:eastAsia="Times New Roman" w:cs="Times New Roman"/>
          <w:lang w:eastAsia="ru-RU"/>
        </w:rPr>
        <w:t xml:space="preserve">том заключений врачей-специалистов, принимающих участие в проведении диспансеризации, и результатов лабораторных и функциональных исследований</w:t>
      </w:r>
      <w:r>
        <w:rPr>
          <w:rFonts w:ascii="Times New Roman" w:hAnsi="Times New Roman" w:eastAsia="Times New Roman" w:cs="Times New Roman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lang w:eastAsia="ru-RU"/>
        </w:rPr>
        <w:t xml:space="preserve"> соответствующей группы состояния здоровья.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3.1.9. </w:t>
      </w:r>
      <w:r>
        <w:rPr>
          <w:rFonts w:ascii="Times New Roman" w:hAnsi="Times New Roman" w:eastAsia="Times New Roman" w:cs="Times New Roman"/>
          <w:lang w:eastAsia="ru-RU"/>
        </w:rPr>
        <w:t xml:space="preserve">Информацию о результатах диспансеризации и проводимых в рамках диспансеризации осмотров врачами-специалистами, лабораторных и функциональных исследований и иных медицинских мероприятий формировать с использованием медицинской и</w:t>
      </w:r>
      <w:r>
        <w:rPr>
          <w:rFonts w:ascii="Times New Roman" w:hAnsi="Times New Roman" w:eastAsia="Times New Roman" w:cs="Times New Roman"/>
          <w:lang w:eastAsia="ru-RU"/>
        </w:rPr>
        <w:t xml:space="preserve">нформационной системы медицинской организации или государственной информационной системы в сфере здравоохранения субъекта Российской Федерации и предоставить в единую государственную информационную систему в сфере здравоохранения, в том числе с целью обесп</w:t>
      </w:r>
      <w:r>
        <w:rPr>
          <w:rFonts w:ascii="Times New Roman" w:hAnsi="Times New Roman" w:eastAsia="Times New Roman" w:cs="Times New Roman"/>
          <w:lang w:eastAsia="ru-RU"/>
        </w:rPr>
        <w:t xml:space="preserve">ечения предоставления гражданам услуг в сфере здравоохранения в электронной форме посредством федеральной государственной информационной системы «Единый портал государственных и муниципальных услуг (функций)», и иных информационных систем, предусмотренных </w:t>
      </w:r>
      <w:hyperlink r:id="rId14" w:tooltip="https://login.consultant.ru/link/?req=doc&amp;base=LAW&amp;n=523556&amp;dst=249" w:history="1">
        <w:r>
          <w:rPr>
            <w:rStyle w:val="1048"/>
            <w:rFonts w:ascii="Times New Roman" w:hAnsi="Times New Roman" w:eastAsia="Times New Roman" w:cs="Times New Roman"/>
            <w:color w:val="000000" w:themeColor="text1"/>
            <w:u w:val="none"/>
            <w:lang w:eastAsia="ru-RU"/>
          </w:rPr>
          <w:t xml:space="preserve">частью 5 статьи 91</w:t>
        </w:r>
      </w:hyperlink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Федерального закона № 323-ФЗ. </w:t>
      </w:r>
      <w:r>
        <w:rPr>
          <w:rFonts w:ascii="Times New Roman" w:hAnsi="Times New Roman" w:eastAsia="Times New Roman" w:cs="Times New Roman"/>
          <w:lang w:eastAsia="ru-RU"/>
        </w:rPr>
        <w:t xml:space="preserve">Указанное требование </w:t>
      </w:r>
      <w:r>
        <w:rPr>
          <w:rFonts w:ascii="Times New Roman" w:hAnsi="Times New Roman" w:eastAsia="Times New Roman" w:cs="Times New Roman"/>
          <w:lang w:eastAsia="ru-RU"/>
        </w:rPr>
        <w:t xml:space="preserve">не распространяется на медицинские организации, подведомственные федеральным органам исполнительной власти, в котор</w:t>
      </w:r>
      <w:r>
        <w:rPr>
          <w:rFonts w:ascii="Times New Roman" w:hAnsi="Times New Roman" w:eastAsia="Times New Roman" w:cs="Times New Roman"/>
          <w:lang w:eastAsia="ru-RU"/>
        </w:rPr>
        <w:t xml:space="preserve">ых федеральными законами предусмотрена военная служба или приравненная к ней служба, а также медицинские организации, подведомственные федеральным органам исполнительной власти, руководство деятельностью которых осуществляет Президент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По окончании прохождения диспансеризации </w:t>
      </w:r>
      <w:r>
        <w:rPr>
          <w:rFonts w:ascii="Times New Roman" w:hAnsi="Times New Roman" w:eastAsia="Times New Roman" w:cs="Times New Roman"/>
          <w:iCs/>
          <w:color w:val="000000" w:themeColor="text1"/>
          <w:lang w:eastAsia="ru-RU"/>
        </w:rPr>
        <w:t xml:space="preserve">гражданских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служащих оформить на каждого гражданского служащего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Заключение медицинской организации о наличии (отсутствии) заболевания, препятствующего поступлению на государственную гражданскую службу Российской Федерации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и муниципальную службу или ее прохождению (учетная форма № 001-ГС/у, утвержденная приказом Министерства здравоохранения Российской Федерации от 14.04.2025 № 201н) (далее – Заключение)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 не позднее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.2026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передать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Заказчику.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По просьбе гражданского служащего выдать ему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второй экземпляр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Заключени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на бумажном носителе и (или) в форме электронного документа в соответствии с пунктом 3 статьи 78 Федерального закона № 323-ФЗ.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3.1.11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случае, если г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ражданскому служащему по результатам диспансеризации выдано заключение о наличии у него заболевания, препятствующего прохождению государственной гражданской службы Российской Федерации, направить его копию Заказчику в 10-дневный срок со дня его оформления.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 случае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если на Исполнителя не распространяется требование абзаца второго пункта 10 Порядка № 201н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ыдать гражданскому служащему Заказчика вып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иску из медицинской карты, содержащую сведения: о результатах осмотров врачами-специалистами, проведенных в рамках диспансеризации; группу состояния здоровья; результаты лабораторных и функциональных исследований, выполненных в процессе диспансеризации; сн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имки маммографии и флюорографии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 В случае если указанные документы не были выданы гражданскому служащему непосредственно, Исполнитель должен направить их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Заказчику не позднее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11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.2026 в индивидуально запечатанных конвертах, отдельно для каждого гражданского служащего (с указанием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на конверте фамилии, имени, отчества (при наличии), даты рождения). 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lang w:eastAsia="ru-RU"/>
        </w:rPr>
        <w:t xml:space="preserve">. Обеспечить проведение диспансеризации гражданских служащих Заказчика отдельно </w:t>
      </w:r>
      <w:r>
        <w:rPr>
          <w:rFonts w:ascii="Times New Roman" w:hAnsi="Times New Roman" w:eastAsia="Times New Roman" w:cs="Times New Roman"/>
          <w:lang w:eastAsia="ru-RU"/>
        </w:rPr>
        <w:t xml:space="preserve">от других посетителей (вне</w:t>
      </w:r>
      <w:r>
        <w:rPr>
          <w:rFonts w:ascii="Times New Roman" w:hAnsi="Times New Roman" w:eastAsia="Times New Roman" w:cs="Times New Roman"/>
          <w:lang w:eastAsia="ru-RU"/>
        </w:rPr>
        <w:t xml:space="preserve"> рамок общей очереди) в соответствии с Графиком прохождения диспансеризации гражданскими служащими Заказчика в 202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lang w:eastAsia="ru-RU"/>
        </w:rPr>
        <w:t xml:space="preserve">. Немедленно известить Заказчика и до получ</w:t>
      </w:r>
      <w:r>
        <w:rPr>
          <w:rFonts w:ascii="Times New Roman" w:hAnsi="Times New Roman" w:eastAsia="Times New Roman" w:cs="Times New Roman"/>
          <w:lang w:eastAsia="ru-RU"/>
        </w:rPr>
        <w:t xml:space="preserve">ения соответствующих указаний приостановить оказание Услуг при обнаружении возможных неблагоприятных для Заказчика последствий выполнения его указаний, а также иных, независящих от Исполнителя, обстоятельств, угрожающих качеству результатов оказания Услуг.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lang w:eastAsia="ru-RU"/>
        </w:rPr>
        <w:t xml:space="preserve">. За свой счет устранить допущенные им в ходе оказания Услуг недостатки </w:t>
      </w:r>
      <w:r>
        <w:rPr>
          <w:rFonts w:ascii="Times New Roman" w:hAnsi="Times New Roman" w:eastAsia="Times New Roman" w:cs="Times New Roman"/>
          <w:lang w:eastAsia="ru-RU"/>
        </w:rPr>
        <w:br/>
      </w:r>
      <w:r>
        <w:rPr>
          <w:rFonts w:ascii="Times New Roman" w:hAnsi="Times New Roman" w:eastAsia="Times New Roman" w:cs="Times New Roman"/>
          <w:lang w:eastAsia="ru-RU"/>
        </w:rPr>
        <w:t xml:space="preserve">и (или) причиненный ущерб.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 Нести имущественную ответственность за деятельность соисполнителей (при условии </w:t>
      </w:r>
      <w:r>
        <w:rPr>
          <w:rFonts w:ascii="Times New Roman" w:hAnsi="Times New Roman" w:eastAsia="Times New Roman" w:cs="Times New Roman"/>
          <w:lang w:eastAsia="ru-RU"/>
        </w:rPr>
        <w:t xml:space="preserve">их привлечения в соответствии с настоящим Контрактом).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3.1.1</w:t>
      </w:r>
      <w:r>
        <w:rPr>
          <w:rFonts w:ascii="Times New Roman" w:hAnsi="Times New Roman" w:eastAsia="Times New Roman" w:cs="Times New Roman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lang w:eastAsia="ru-RU"/>
        </w:rPr>
        <w:t xml:space="preserve">. Выполнить в полном объеме все свои обязательства, предусмотренные настоящим контрактом и Техническим заданием (Приложение № 1 к </w:t>
      </w:r>
      <w:r>
        <w:t xml:space="preserve">настоящему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18</w:t>
      </w:r>
      <w:r>
        <w:rPr>
          <w:rFonts w:ascii="Times New Roman" w:hAnsi="Times New Roman" w:eastAsia="Times New Roman" w:cs="Times New Roman"/>
          <w:lang w:eastAsia="ru-RU"/>
        </w:rPr>
        <w:t xml:space="preserve">. 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</w:t>
      </w:r>
      <w:r>
        <w:rPr>
          <w:rFonts w:ascii="Times New Roman" w:hAnsi="Times New Roman" w:eastAsia="Times New Roman" w:cs="Times New Roman"/>
          <w:lang w:eastAsia="ru-RU"/>
        </w:rPr>
        <w:t xml:space="preserve">19</w:t>
      </w:r>
      <w:r>
        <w:rPr>
          <w:rFonts w:ascii="Times New Roman" w:hAnsi="Times New Roman" w:eastAsia="Times New Roman" w:cs="Times New Roman"/>
          <w:lang w:eastAsia="ru-RU"/>
        </w:rPr>
        <w:t xml:space="preserve">. Представить Заказчику результаты оказания Услуги в сроки, установленные настоящим Контрактом.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lang w:eastAsia="ru-RU"/>
        </w:rPr>
        <w:t xml:space="preserve">3.2</w:t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  <w:t xml:space="preserve">. Исполнитель имеет право:</w:t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color w:val="000000" w:themeColor="text1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.2.1. Требовать оплаты оказанных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Услуги в соответствии с условиями настоящего Контракта.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3.2.2. Получать от Заказчика разъяснения по всем вопросам, возникающим в ходе оказания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У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слуг, 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и любую дополнительную информацию, необходимую для выполнения своих обязательств по настоящему Контракту.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3.2.3. Самостоятельно определять состав врачей-специалистов, принимающих участие в проведении диспансеризации гражданских служащих.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3.2.4. 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На договорной основе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lang w:eastAsia="ru-RU"/>
        </w:rPr>
        <w:t xml:space="preserve"> в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 случае отсутствия у Исполнителя лицензии на осуществление медицинской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деятельности, включающей отдельные работы (услуги), необходимые для проведения диспансеризации в полном объеме, привлекать медицинские организации, имеющие лицензии </w:t>
      </w:r>
      <w:r>
        <w:rPr>
          <w:rFonts w:ascii="Times New Roman" w:hAnsi="Times New Roman" w:eastAsia="Times New Roman" w:cs="Times New Roman"/>
          <w:bCs/>
          <w:color w:val="000000" w:themeColor="text1"/>
          <w:lang w:eastAsia="ru-RU"/>
        </w:rPr>
        <w:t xml:space="preserve">на осуществление медицинской деятельности, включающие соответствующие работы (услуги).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3.3.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 Заказчик обязуется: 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   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3.3.1. Направить </w:t>
      </w:r>
      <w:r>
        <w:rPr>
          <w:rFonts w:ascii="Times New Roman" w:hAnsi="Times New Roman" w:eastAsia="Times New Roman" w:cs="Times New Roman"/>
          <w:lang w:eastAsia="ru-RU"/>
        </w:rPr>
        <w:t xml:space="preserve">за 2 месяца </w:t>
      </w:r>
      <w:r>
        <w:rPr>
          <w:rFonts w:ascii="Times New Roman" w:hAnsi="Times New Roman" w:eastAsia="Times New Roman" w:cs="Times New Roman"/>
          <w:lang w:eastAsia="ru-RU"/>
        </w:rPr>
        <w:t xml:space="preserve">до начала диспансеризации Исполнителю поименованный список гражданских служащих Заказчика, п</w:t>
      </w:r>
      <w:r>
        <w:rPr>
          <w:rFonts w:ascii="Times New Roman" w:hAnsi="Times New Roman" w:eastAsia="Times New Roman" w:cs="Times New Roman"/>
          <w:lang w:eastAsia="ru-RU"/>
        </w:rPr>
        <w:t xml:space="preserve">одлежащих диспансеризации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году, </w:t>
      </w:r>
      <w:r>
        <w:rPr>
          <w:rFonts w:ascii="Times New Roman" w:hAnsi="Times New Roman" w:eastAsia="Times New Roman" w:cs="Times New Roman"/>
          <w:lang w:eastAsia="ru-RU"/>
        </w:rPr>
        <w:t xml:space="preserve">с указанием пола, возраста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Направить г</w:t>
      </w:r>
      <w:r>
        <w:rPr>
          <w:rFonts w:ascii="Times New Roman" w:hAnsi="Times New Roman" w:eastAsia="Times New Roman" w:cs="Times New Roman"/>
          <w:lang w:eastAsia="ru-RU"/>
        </w:rPr>
        <w:t xml:space="preserve">рафик прохождения диспансеризации </w:t>
      </w:r>
      <w:r>
        <w:rPr>
          <w:rFonts w:ascii="Times New Roman" w:hAnsi="Times New Roman" w:eastAsia="Times New Roman" w:cs="Times New Roman"/>
          <w:lang w:eastAsia="ru-RU"/>
        </w:rPr>
        <w:t xml:space="preserve">гражданскими</w:t>
      </w:r>
      <w:r>
        <w:rPr>
          <w:rFonts w:ascii="Times New Roman" w:hAnsi="Times New Roman" w:eastAsia="Times New Roman" w:cs="Times New Roman"/>
          <w:lang w:eastAsia="ru-RU"/>
        </w:rPr>
        <w:t xml:space="preserve"> служащими Заказчика в 202</w:t>
      </w: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3.3.2. Обеспечить прохождение диспансеризации гражданскими служащими Заказчика в служебное время и в сроки, установленные Графиком прохождения диспансеризации граждан</w:t>
      </w:r>
      <w:r>
        <w:rPr>
          <w:rFonts w:ascii="Times New Roman" w:hAnsi="Times New Roman" w:eastAsia="Times New Roman" w:cs="Times New Roman"/>
          <w:lang w:eastAsia="ru-RU"/>
        </w:rPr>
        <w:t xml:space="preserve">скими служащими Заказчика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случае невозможности прохождения гражданскими служащими Заказчика диспансеризации </w:t>
      </w:r>
      <w:r>
        <w:rPr>
          <w:rFonts w:ascii="Times New Roman" w:hAnsi="Times New Roman" w:eastAsia="Times New Roman" w:cs="Times New Roman"/>
          <w:lang w:eastAsia="ru-RU"/>
        </w:rPr>
        <w:t xml:space="preserve">в установленные сроки по уважительным причинам, сроки ее прохождения определяются и согласуются </w:t>
      </w:r>
      <w:r>
        <w:rPr>
          <w:rFonts w:ascii="Times New Roman" w:hAnsi="Times New Roman" w:eastAsia="Times New Roman" w:cs="Times New Roman"/>
          <w:lang w:eastAsia="ru-RU"/>
        </w:rPr>
        <w:t xml:space="preserve">с Исполнителем.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3.3.3. Производить приемку оказанных Услуг в порядке, предусмотренном настоящим Контрактом.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3.3.4. В порядке, установленном разделом 2 настоящего Контракта, оплатить Услуги, качественно </w:t>
      </w:r>
      <w:r>
        <w:rPr>
          <w:rFonts w:ascii="Times New Roman" w:hAnsi="Times New Roman" w:eastAsia="Times New Roman" w:cs="Times New Roman"/>
          <w:lang w:eastAsia="ru-RU"/>
        </w:rPr>
        <w:t xml:space="preserve">и своевременно оказанные Исполнителем.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3.3.5. </w:t>
      </w:r>
      <w:r>
        <w:rPr>
          <w:rFonts w:ascii="Times New Roman" w:hAnsi="Times New Roman" w:eastAsia="Times New Roman" w:cs="Times New Roman"/>
          <w:lang w:eastAsia="ru-RU"/>
        </w:rPr>
        <w:t xml:space="preserve">Выполнить в полном объеме все свои обязательства, предусмотренные в настоящем Контракте.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3.4. 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  <w:t xml:space="preserve">Заказчик имеет право:</w:t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u w:val="single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3.4.1. Вносить изменения в список гражданских служащих Заказчика, подлежащих диспансеризации в объемах, предусмотренных пун</w:t>
      </w:r>
      <w:r>
        <w:rPr>
          <w:rFonts w:ascii="Times New Roman" w:hAnsi="Times New Roman" w:eastAsia="Times New Roman" w:cs="Times New Roman"/>
          <w:highlight w:val="white"/>
        </w:rPr>
        <w:t xml:space="preserve">ктом</w:t>
      </w:r>
      <w:r>
        <w:rPr>
          <w:rFonts w:ascii="Times New Roman" w:hAnsi="Times New Roman" w:eastAsia="Times New Roman" w:cs="Times New Roman"/>
          <w:highlight w:val="white"/>
        </w:rPr>
        <w:t xml:space="preserve"> 2.8 Ко</w:t>
      </w:r>
      <w:r>
        <w:rPr>
          <w:rFonts w:ascii="Times New Roman" w:hAnsi="Times New Roman" w:eastAsia="Times New Roman" w:cs="Times New Roman"/>
          <w:highlight w:val="white"/>
        </w:rPr>
        <w:t xml:space="preserve">нтракта.</w:t>
      </w:r>
      <w:r>
        <w:rPr>
          <w:rFonts w:ascii="Times New Roman" w:hAnsi="Times New Roman" w:eastAsia="Times New Roman" w:cs="Times New Roman"/>
          <w:highlight w:val="white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3.4.2. Контролировать качество Услуг, оказываемых Исполнителем в соответствии с Техническим заданием (Приложение № 1 к </w:t>
      </w:r>
      <w:r>
        <w:t xml:space="preserve">настоящему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), Графиком прохождения диспансеризации граждан</w:t>
      </w:r>
      <w:r>
        <w:rPr>
          <w:rFonts w:ascii="Times New Roman" w:hAnsi="Times New Roman" w:eastAsia="Times New Roman" w:cs="Times New Roman"/>
          <w:lang w:eastAsia="ru-RU"/>
        </w:rPr>
        <w:t xml:space="preserve">скими служащими Заказчика в 2026</w:t>
      </w:r>
      <w:r>
        <w:rPr>
          <w:rFonts w:ascii="Times New Roman" w:hAnsi="Times New Roman" w:eastAsia="Times New Roman" w:cs="Times New Roman"/>
          <w:lang w:eastAsia="ru-RU"/>
        </w:rPr>
        <w:t xml:space="preserve"> году, без вмешательства в оперативно-хозяйственную деятельность Исполнителя.</w:t>
      </w: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3.4.3. Направлять Исполнителю запросы о ходе исполнения настоящего Контракта с целью контроля оказываемых Услуг.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Если в результате такой проверки станет очевидным, что Услуги не будут оказаны надлежащим образом и (или) в надлежащие сроки, Заказчик вправе направить Исполнителю требование об устранении недостатков с указанием срока для их устранения.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3.4.4. В установленном законом порядке требовать возмещения убытков, понесенных в результате действия (бездействия) Исполнителя при исполнении обязательств по Контракту.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lef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426" w:hanging="426"/>
        <w:jc w:val="center"/>
        <w:widowControl w:val="off"/>
        <w:rPr>
          <w:b/>
          <w:bCs/>
          <w:highlight w:val="none"/>
        </w:rPr>
      </w:pPr>
      <w:r>
        <w:rPr>
          <w:b/>
        </w:rPr>
        <w:t xml:space="preserve">4. Порядок сдачи и приемки услуг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 w:bidi="hi-IN"/>
        </w:rPr>
        <w:t xml:space="preserve">4.1. 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По завершении оказания У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слуг в полном объеме, предусмотренном Контрактом, Исполнитель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не позднее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13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ноября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2026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г. направляет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Заказчику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в письменном виде отчет о проведенной диспансеризации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гражданских служащих Заказчика</w:t>
      </w:r>
      <w:r>
        <w:rPr>
          <w:rFonts w:ascii="Times New Roman" w:hAnsi="Times New Roman" w:eastAsia="Times New Roman" w:cs="Times New Roman"/>
          <w:lang w:eastAsia="ru-RU" w:bidi="hi-IN"/>
        </w:rPr>
        <w:t xml:space="preserve">, содержащий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сведения об объеме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оказанных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Услуг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в соответств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ии с Контрактом, включая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количество гражданских служащих, фактически прошедших диспансеризацию,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их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фамилию, имя, отчество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и стоимость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ока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з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анных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услуг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в отношении каждого </w:t>
      </w:r>
      <w:r>
        <w:rPr>
          <w:rFonts w:ascii="Times New Roman" w:hAnsi="Times New Roman" w:eastAsia="Times New Roman" w:cs="Times New Roman"/>
          <w:lang w:eastAsia="ru-RU" w:bidi="hi-IN"/>
        </w:rPr>
        <w:t xml:space="preserve">из них</w:t>
      </w:r>
      <w:r>
        <w:rPr>
          <w:rFonts w:ascii="Times New Roman" w:hAnsi="Times New Roman" w:eastAsia="Times New Roman" w:cs="Times New Roman"/>
          <w:lang w:eastAsia="ru-RU" w:bidi="hi-IN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bCs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 w:bidi="hi-IN"/>
        </w:rPr>
        <w:t xml:space="preserve">4.2. По факту оказания</w:t>
      </w:r>
      <w:r>
        <w:rPr>
          <w:rFonts w:ascii="Times New Roman" w:hAnsi="Times New Roman" w:eastAsia="Times New Roman" w:cs="Times New Roman"/>
          <w:lang w:eastAsia="ru-RU" w:bidi="hi-IN"/>
        </w:rPr>
        <w:t xml:space="preserve"> услуг </w:t>
      </w:r>
      <w:r>
        <w:rPr>
          <w:rFonts w:ascii="Times New Roman" w:hAnsi="Times New Roman" w:eastAsia="Times New Roman" w:cs="Times New Roman"/>
          <w:lang w:eastAsia="ru-RU"/>
        </w:rPr>
        <w:t xml:space="preserve">Исполнитель не позднее </w:t>
      </w:r>
      <w:r>
        <w:rPr>
          <w:rFonts w:ascii="Times New Roman" w:hAnsi="Times New Roman" w:eastAsia="Times New Roman" w:cs="Times New Roman"/>
          <w:lang w:eastAsia="ru-RU"/>
        </w:rPr>
        <w:t xml:space="preserve">13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ноября</w:t>
      </w:r>
      <w:r>
        <w:rPr>
          <w:rFonts w:ascii="Times New Roman" w:hAnsi="Times New Roman" w:eastAsia="Times New Roman" w:cs="Times New Roman"/>
          <w:lang w:eastAsia="ru-RU"/>
        </w:rPr>
        <w:t xml:space="preserve"> 2026</w:t>
      </w:r>
      <w:r>
        <w:rPr>
          <w:rFonts w:ascii="Times New Roman" w:hAnsi="Times New Roman" w:eastAsia="Times New Roman" w:cs="Times New Roman"/>
          <w:lang w:eastAsia="ru-RU"/>
        </w:rPr>
        <w:t xml:space="preserve"> г., направляет </w:t>
      </w:r>
      <w:r>
        <w:rPr>
          <w:rFonts w:ascii="Times New Roman" w:hAnsi="Times New Roman" w:cs="Times New Roman"/>
          <w:sz w:val="24"/>
          <w:szCs w:val="24"/>
        </w:rPr>
        <w:t xml:space="preserve">подписанный со своей стороны акт сдачи-приемки 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2 (двух) экземплярах на бумажном носителе.</w:t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bCs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4.3. </w:t>
      </w:r>
      <w:r>
        <w:rPr>
          <w:rFonts w:ascii="Times New Roman" w:hAnsi="Times New Roman" w:eastAsia="Times New Roman" w:cs="Times New Roman"/>
          <w:lang w:eastAsia="ru-RU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акту сдачи-приемки оказанных Услуг</w:t>
      </w:r>
      <w:r>
        <w:rPr>
          <w:rFonts w:ascii="Times New Roman" w:hAnsi="Times New Roman" w:eastAsia="Times New Roman" w:cs="Times New Roman"/>
          <w:lang w:eastAsia="ru-RU"/>
        </w:rPr>
        <w:t xml:space="preserve"> могут прилагаться </w:t>
      </w:r>
      <w:r>
        <w:rPr>
          <w:rFonts w:ascii="Times New Roman" w:hAnsi="Times New Roman" w:cs="Times New Roman"/>
          <w:sz w:val="24"/>
          <w:szCs w:val="24"/>
        </w:rPr>
        <w:t xml:space="preserve">также документы, предусмотренные Контрактом</w:t>
      </w:r>
      <w:r>
        <w:rPr>
          <w:rFonts w:ascii="Times New Roman" w:hAnsi="Times New Roman" w:eastAsia="Times New Roman" w:cs="Times New Roman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Cs/>
          <w:lang w:eastAsia="ru-RU"/>
          <w14:ligatures w14:val="none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  <w:t xml:space="preserve">4.4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</w:t>
      </w:r>
      <w:r>
        <w:rPr>
          <w:rFonts w:ascii="Times New Roman" w:hAnsi="Times New Roman" w:cs="Times New Roman"/>
          <w:bCs/>
          <w:sz w:val="24"/>
          <w:szCs w:val="24"/>
        </w:rPr>
        <w:t xml:space="preserve">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</w:t>
      </w: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5" w:tooltip="consultantplus://offline/ref=C2BD2A4F80E25365165831C7AD37DAABB91DE38CFA470C4ADEA47DD40Do6r2H" w:history="1">
        <w:r>
          <w:rPr>
            <w:rFonts w:ascii="Times New Roman" w:hAnsi="Times New Roman" w:cs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right="17" w:firstLine="709"/>
        <w:jc w:val="both"/>
        <w:spacing w:after="0" w:line="240" w:lineRule="auto"/>
        <w:shd w:val="clear" w:color="auto" w:fill="ffffff"/>
        <w:tabs>
          <w:tab w:val="left" w:pos="567" w:leader="none"/>
          <w:tab w:val="left" w:pos="1219" w:leader="none"/>
        </w:tabs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bCs/>
          <w:lang w:eastAsia="ru-RU"/>
        </w:rPr>
        <w:t xml:space="preserve">4.5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. </w:t>
      </w:r>
      <w:r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>
        <w:rPr>
          <w:rFonts w:ascii="Times New Roman" w:hAnsi="Times New Roman" w:cs="Times New Roman"/>
          <w:sz w:val="24"/>
          <w:szCs w:val="24"/>
        </w:rPr>
        <w:t xml:space="preserve">10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десяти) рабочих</w:t>
      </w:r>
      <w:r>
        <w:rPr>
          <w:rFonts w:ascii="Times New Roman" w:hAnsi="Times New Roman" w:cs="Times New Roman"/>
          <w:sz w:val="24"/>
          <w:szCs w:val="24"/>
        </w:rPr>
        <w:t xml:space="preserve"> дней с даты получения акта оказанных услуг и документов, указанных в </w:t>
      </w:r>
      <w:hyperlink r:id="rId16" w:tooltip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#Par61" w:anchor="Par61" w:history="1">
        <w:r>
          <w:rPr>
            <w:rFonts w:ascii="Times New Roman" w:hAnsi="Times New Roman" w:cs="Times New Roman"/>
            <w:sz w:val="24"/>
            <w:szCs w:val="24"/>
          </w:rPr>
          <w:t xml:space="preserve">пункте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</w:t>
      </w:r>
      <w:r>
        <w:rPr>
          <w:rFonts w:ascii="Times New Roman" w:hAnsi="Times New Roman" w:cs="Times New Roman"/>
          <w:sz w:val="24"/>
          <w:szCs w:val="24"/>
        </w:rPr>
        <w:t xml:space="preserve">уги, передает Исполнителю подписанный со своей стороны акт оказанных услуг по Контракту или отказывает в приемке, направляя мотивированный отказ от приемки оказанных услуг, с перечнем выявленных недостатков и с указанием сроков их устранения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4.</w:t>
      </w:r>
      <w:r>
        <w:rPr>
          <w:rFonts w:ascii="Times New Roman" w:hAnsi="Times New Roman" w:eastAsia="Times New Roman" w:cs="Times New Roman"/>
          <w:bCs/>
        </w:rPr>
        <w:t xml:space="preserve">6</w:t>
      </w:r>
      <w:r>
        <w:rPr>
          <w:rFonts w:ascii="Times New Roman" w:hAnsi="Times New Roman" w:eastAsia="Times New Roman" w:cs="Times New Roman"/>
          <w:bCs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не препятствует приемке этих услуг и устранено Исполнителем</w:t>
      </w:r>
      <w:r>
        <w:rPr>
          <w:rFonts w:ascii="Times New Roman" w:hAnsi="Times New Roman" w:eastAsia="Times New Roman" w:cs="Times New Roman"/>
          <w:bCs/>
        </w:rPr>
        <w:t xml:space="preserve">.</w:t>
      </w:r>
      <w:r>
        <w:rPr>
          <w:rFonts w:ascii="Times New Roman" w:hAnsi="Times New Roman" w:eastAsia="Times New Roman" w:cs="Times New Roman"/>
          <w:bCs/>
        </w:rPr>
      </w:r>
      <w:r>
        <w:rPr>
          <w:rFonts w:ascii="Times New Roman" w:hAnsi="Times New Roman" w:eastAsia="Times New Roman" w:cs="Times New Roman"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4.7</w:t>
      </w:r>
      <w:r>
        <w:rPr>
          <w:rFonts w:ascii="Times New Roman" w:hAnsi="Times New Roman" w:eastAsia="Times New Roman" w:cs="Times New Roman"/>
          <w:bCs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Если в срок, указанный в пункте 4.5. Контракта Заказчик не направил Исполнителю подписанный акт оказанных услуг или не направил мотивированный отказ от приемки услуг, услуги считаются принятыми</w:t>
      </w:r>
      <w:r>
        <w:rPr>
          <w:rFonts w:ascii="Times New Roman" w:hAnsi="Times New Roman" w:eastAsia="Times New Roman" w:cs="Times New Roman"/>
          <w:bCs/>
        </w:rPr>
      </w:r>
      <w:r>
        <w:rPr>
          <w:rFonts w:ascii="Times New Roman" w:hAnsi="Times New Roman" w:eastAsia="Times New Roman" w:cs="Times New Roman"/>
          <w:bCs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4.8</w:t>
      </w:r>
      <w:r>
        <w:rPr>
          <w:rFonts w:ascii="Times New Roman" w:hAnsi="Times New Roman" w:eastAsia="Times New Roman" w:cs="Times New Roman"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2 (двух) рабочих дней со дня его подписания направляется Заказчиком Исполнителю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</w:rPr>
        <w:t xml:space="preserve">4.9</w:t>
      </w:r>
      <w:r>
        <w:rPr>
          <w:rFonts w:ascii="Times New Roman" w:hAnsi="Times New Roman" w:eastAsia="Times New Roman" w:cs="Times New Roman"/>
        </w:rPr>
        <w:t xml:space="preserve">. </w:t>
      </w:r>
      <w:r>
        <w:rPr>
          <w:rFonts w:ascii="Times New Roman" w:hAnsi="Times New Roman" w:cs="Times New Roman"/>
          <w:bCs/>
          <w:sz w:val="24"/>
          <w:szCs w:val="24"/>
        </w:rPr>
        <w:t xml:space="preserve">Датой выполнения обязательств Исполнителя по оказанию услуг считается дата подписания представителями Заказчика акта оказанных услуг.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5. Конфиденциальность</w:t>
      </w:r>
      <w:r>
        <w:rPr>
          <w:rFonts w:ascii="Times New Roman" w:hAnsi="Times New Roman" w:eastAsia="Times New Roman" w:cs="Times New Roman"/>
          <w:b/>
        </w:rPr>
      </w:r>
      <w:r>
        <w:rPr>
          <w:rFonts w:ascii="Times New Roman" w:hAnsi="Times New Roman" w:eastAsia="Times New Roman" w:cs="Times New Roman"/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5.1. Представляемая Сторонами друг другу информация, связанная с предметом настоящего Контракта, считается конфиденциальной.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5.2. В случае разглашения указанной информации Стороны несут ответственность в соответствии </w:t>
      </w:r>
      <w:r>
        <w:rPr>
          <w:rFonts w:ascii="Times New Roman" w:hAnsi="Times New Roman" w:eastAsia="Times New Roman" w:cs="Times New Roman"/>
        </w:rPr>
        <w:t xml:space="preserve">с действующим законодательством.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  <w:outlineLvl w:val="1"/>
      </w:pPr>
      <w:r>
        <w:rPr>
          <w:rFonts w:ascii="Times New Roman" w:hAnsi="Times New Roman" w:eastAsia="Times New Roman" w:cs="Times New Roman"/>
        </w:rPr>
        <w:t xml:space="preserve">5.3. Персональные данные подлежат защите в соответствии с Федеральным законом от 27 июля 2006 г. № 152-ФЗ «О персональных данных».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0" w:firstLine="0"/>
        <w:jc w:val="both"/>
        <w:widowControl w:val="off"/>
      </w:pPr>
      <w:r/>
      <w:r/>
    </w:p>
    <w:p>
      <w:pPr>
        <w:pStyle w:val="1057"/>
        <w:numPr>
          <w:ilvl w:val="0"/>
          <w:numId w:val="30"/>
        </w:numPr>
        <w:jc w:val="center"/>
        <w:widowControl w:val="off"/>
        <w:rPr>
          <w:b/>
        </w:rPr>
      </w:pPr>
      <w:r>
        <w:rPr>
          <w:b/>
        </w:rPr>
        <w:t xml:space="preserve">Ответственность Сторон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.1. </w:t>
      </w:r>
      <w:r>
        <w:rPr>
          <w:rFonts w:ascii="Times New Roman" w:hAnsi="Times New Roman" w:eastAsia="Times New Roman" w:cs="Times New Roman"/>
          <w:lang w:eastAsia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.2.</w:t>
      </w:r>
      <w:r>
        <w:rPr>
          <w:rFonts w:ascii="Times New Roman" w:hAnsi="Times New Roman" w:eastAsia="Times New Roman" w:cs="Times New Roman"/>
          <w:lang w:eastAsia="ru-RU"/>
        </w:rPr>
        <w:t xml:space="preserve"> В случае просрочки исполнения Исполнителем обязательств (в том числе </w:t>
      </w:r>
      <w:r>
        <w:rPr>
          <w:rFonts w:ascii="Times New Roman" w:hAnsi="Times New Roman" w:eastAsia="Times New Roman" w:cs="Times New Roman"/>
          <w:lang w:eastAsia="ru-RU"/>
        </w:rPr>
        <w:t xml:space="preserve">гарантийного обязательства), пре</w:t>
      </w:r>
      <w:r>
        <w:rPr>
          <w:rFonts w:ascii="Times New Roman" w:hAnsi="Times New Roman" w:eastAsia="Times New Roman" w:cs="Times New Roman"/>
          <w:lang w:eastAsia="ru-RU"/>
        </w:rPr>
        <w:t xml:space="preserve">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.3.</w:t>
      </w:r>
      <w:r>
        <w:rPr>
          <w:rFonts w:ascii="Times New Roman" w:hAnsi="Times New Roman" w:eastAsia="Times New Roman" w:cs="Times New Roman"/>
          <w:lang w:eastAsia="ru-RU"/>
        </w:rPr>
        <w:t xml:space="preserve"> Пеня начисляется за каждый день просрочки исполнения Исполнителем обязательства, предусмотренного Контрактом, </w:t>
      </w:r>
      <w:r>
        <w:rPr>
          <w:rFonts w:ascii="Times New Roman" w:hAnsi="Times New Roman" w:eastAsia="Times New Roman" w:cs="Times New Roman"/>
          <w:lang w:eastAsia="ru-RU"/>
        </w:rPr>
        <w:t xml:space="preserve">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</w:t>
      </w:r>
      <w:r>
        <w:rPr>
          <w:rFonts w:ascii="Times New Roman" w:hAnsi="Times New Roman" w:eastAsia="Times New Roman" w:cs="Times New Roman"/>
          <w:lang w:eastAsia="ru-RU"/>
        </w:rPr>
        <w:t xml:space="preserve">сполнения контракта), уменьшенной на сумму, пропорционал</w:t>
      </w:r>
      <w:r>
        <w:rPr>
          <w:rFonts w:ascii="Times New Roman" w:hAnsi="Times New Roman" w:eastAsia="Times New Roman" w:cs="Times New Roman"/>
          <w:lang w:eastAsia="ru-RU"/>
        </w:rPr>
        <w:t xml:space="preserve">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.4.</w:t>
      </w:r>
      <w:r>
        <w:rPr>
          <w:rFonts w:ascii="Times New Roman" w:hAnsi="Times New Roman" w:eastAsia="Times New Roman" w:cs="Times New Roman"/>
          <w:lang w:eastAsia="ru-RU"/>
        </w:rPr>
        <w:t xml:space="preserve"> За каждый факт неисполнения или нен</w:t>
      </w:r>
      <w:r>
        <w:rPr>
          <w:rFonts w:ascii="Times New Roman" w:hAnsi="Times New Roman" w:eastAsia="Times New Roman" w:cs="Times New Roman"/>
          <w:lang w:eastAsia="ru-RU"/>
        </w:rPr>
        <w:t xml:space="preserve">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.5.</w:t>
      </w:r>
      <w:r>
        <w:rPr>
          <w:rFonts w:ascii="Times New Roman" w:hAnsi="Times New Roman" w:eastAsia="Times New Roman" w:cs="Times New Roman"/>
          <w:lang w:eastAsia="ru-RU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штраф ус</w:t>
      </w:r>
      <w:r>
        <w:rPr>
          <w:rFonts w:ascii="Times New Roman" w:hAnsi="Times New Roman" w:eastAsia="Times New Roman" w:cs="Times New Roman"/>
          <w:lang w:eastAsia="ru-RU"/>
        </w:rPr>
        <w:t xml:space="preserve">танавливается в размере 1000 (О</w:t>
      </w:r>
      <w:r>
        <w:rPr>
          <w:rFonts w:ascii="Times New Roman" w:hAnsi="Times New Roman" w:eastAsia="Times New Roman" w:cs="Times New Roman"/>
          <w:lang w:eastAsia="ru-RU"/>
        </w:rPr>
        <w:t xml:space="preserve">дна тысяча</w:t>
      </w:r>
      <w:r>
        <w:rPr>
          <w:rFonts w:ascii="Times New Roman" w:hAnsi="Times New Roman" w:eastAsia="Times New Roman" w:cs="Times New Roman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lang w:eastAsia="ru-RU"/>
        </w:rPr>
        <w:t xml:space="preserve"> рубл</w:t>
      </w:r>
      <w:r>
        <w:rPr>
          <w:rFonts w:ascii="Times New Roman" w:hAnsi="Times New Roman" w:eastAsia="Times New Roman" w:cs="Times New Roman"/>
          <w:lang w:eastAsia="ru-RU"/>
        </w:rPr>
        <w:t xml:space="preserve">ей 00 копеек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.6.</w:t>
      </w:r>
      <w:r>
        <w:rPr>
          <w:rFonts w:ascii="Times New Roman" w:hAnsi="Times New Roman" w:eastAsia="Times New Roman" w:cs="Times New Roman"/>
          <w:lang w:eastAsia="ru-RU"/>
        </w:rPr>
        <w:t xml:space="preserve"> В случае </w:t>
      </w:r>
      <w:r>
        <w:rPr>
          <w:rFonts w:ascii="Times New Roman" w:hAnsi="Times New Roman" w:eastAsia="Times New Roman" w:cs="Times New Roman"/>
          <w:lang w:eastAsia="ru-RU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.7.</w:t>
      </w:r>
      <w:r>
        <w:rPr>
          <w:rFonts w:ascii="Times New Roman" w:hAnsi="Times New Roman" w:eastAsia="Times New Roman" w:cs="Times New Roman"/>
          <w:lang w:eastAsia="ru-RU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.8.</w:t>
      </w:r>
      <w:r>
        <w:rPr>
          <w:rFonts w:ascii="Times New Roman" w:hAnsi="Times New Roman" w:eastAsia="Times New Roman" w:cs="Times New Roman"/>
          <w:lang w:eastAsia="ru-RU"/>
        </w:rPr>
        <w:t xml:space="preserve">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.9.</w:t>
      </w:r>
      <w:r>
        <w:rPr>
          <w:rFonts w:ascii="Times New Roman" w:hAnsi="Times New Roman" w:eastAsia="Times New Roman" w:cs="Times New Roman"/>
          <w:lang w:eastAsia="ru-RU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</w:t>
      </w:r>
      <w:r>
        <w:rPr>
          <w:rFonts w:ascii="Times New Roman" w:hAnsi="Times New Roman" w:eastAsia="Times New Roman" w:cs="Times New Roman"/>
          <w:lang w:eastAsia="ru-RU"/>
        </w:rPr>
        <w:t xml:space="preserve">1000 (Одна тысяча) рублей 00 копеек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.10.</w:t>
      </w:r>
      <w:r>
        <w:rPr>
          <w:rFonts w:ascii="Times New Roman" w:hAnsi="Times New Roman" w:eastAsia="Times New Roman" w:cs="Times New Roman"/>
          <w:lang w:eastAsia="ru-RU"/>
        </w:rPr>
        <w:t xml:space="preserve"> Общая сумма начисленных штрафов за неисполнение или ненадлежащее исполнение сторонами обязательств, предусмотренных Контрактом, не может превышать цену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.11.</w:t>
      </w:r>
      <w:r>
        <w:rPr>
          <w:rFonts w:ascii="Times New Roman" w:hAnsi="Times New Roman" w:eastAsia="Times New Roman" w:cs="Times New Roman"/>
          <w:lang w:eastAsia="ru-RU"/>
        </w:rPr>
        <w:t xml:space="preserve"> Заказчик уменьшает размер оплаты Исполнителю, причитающейся за выполнение контракта, на сумму неустойки (штрафа, пени) с учетом последующего перечисления её в установленном законодательством Российской Федерации порядке в доход федерального бюджета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.12.</w:t>
      </w:r>
      <w:r>
        <w:rPr>
          <w:rFonts w:ascii="Times New Roman" w:hAnsi="Times New Roman" w:eastAsia="Times New Roman" w:cs="Times New Roman"/>
          <w:lang w:eastAsia="ru-RU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</w:t>
      </w:r>
      <w:r>
        <w:rPr>
          <w:rFonts w:ascii="Times New Roman" w:hAnsi="Times New Roman" w:eastAsia="Times New Roman" w:cs="Times New Roman"/>
          <w:lang w:eastAsia="ru-RU"/>
        </w:rPr>
        <w:t xml:space="preserve">изошло вследствие непреодолимой силы или по вине другой стороны. Срок исполнения обязательств по Контракту приостанавливается на время, в течение которого действовали обстоятельства непреодолимой силы, а также последствия, вызванные этими обстоятельствами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lang w:eastAsia="ru-RU"/>
        </w:rPr>
        <w:t xml:space="preserve">.13.</w:t>
      </w:r>
      <w:r>
        <w:rPr>
          <w:rFonts w:ascii="Times New Roman" w:hAnsi="Times New Roman" w:eastAsia="Times New Roman" w:cs="Times New Roman"/>
          <w:lang w:eastAsia="ru-RU"/>
        </w:rPr>
        <w:t xml:space="preserve"> Уплата неустоек (штрафов, пени) не освобождает Стороны от выполнения обязательств по Контракту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567"/>
        <w:jc w:val="both"/>
        <w:widowControl w:val="off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left="720" w:firstLine="0"/>
        <w:jc w:val="center"/>
        <w:rPr>
          <w:b/>
        </w:rPr>
      </w:pPr>
      <w:r>
        <w:rPr>
          <w:b/>
        </w:rPr>
        <w:t xml:space="preserve">7. Обстоятельства непреодолимой силы</w:t>
      </w:r>
      <w:r>
        <w:rPr>
          <w:b/>
        </w:rPr>
      </w:r>
      <w:r>
        <w:rPr>
          <w:b/>
        </w:rPr>
      </w:r>
    </w:p>
    <w:p>
      <w:pPr>
        <w:pStyle w:val="1057"/>
        <w:ind w:left="0" w:firstLine="567"/>
        <w:jc w:val="both"/>
      </w:pPr>
      <w:r>
        <w:t xml:space="preserve">7.1.</w:t>
      </w:r>
      <w:r>
        <w:tab/>
        <w:t xml:space="preserve"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</w:t>
      </w:r>
      <w:r>
        <w:t xml:space="preserve">вием обстоятельств непреодолимой силы, а именно: наводнения, пожара, землетрясения,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/>
    </w:p>
    <w:p>
      <w:pPr>
        <w:pStyle w:val="1057"/>
        <w:ind w:left="0" w:firstLine="567"/>
        <w:jc w:val="both"/>
      </w:pPr>
      <w:r>
        <w:t xml:space="preserve">7.2.</w:t>
      </w:r>
      <w:r>
        <w:tab/>
        <w:t xml:space="preserve"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</w:t>
      </w:r>
      <w:r>
        <w:t xml:space="preserve">на исполнение настоящего Контракта в срок.</w:t>
      </w:r>
      <w:r/>
    </w:p>
    <w:p>
      <w:pPr>
        <w:pStyle w:val="1057"/>
        <w:ind w:left="0" w:firstLine="567"/>
        <w:jc w:val="both"/>
      </w:pPr>
      <w:r>
        <w:t xml:space="preserve">7.3.</w:t>
      </w:r>
      <w:r>
        <w:tab/>
        <w:t xml:space="preserve">Сторона, для которой надлежащее исполнение обязательств оказало</w:t>
      </w:r>
      <w:r>
        <w:t xml:space="preserve">сь невозможн</w:t>
      </w:r>
      <w: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/>
    </w:p>
    <w:p>
      <w:pPr>
        <w:pStyle w:val="1057"/>
        <w:ind w:left="0" w:firstLine="567"/>
        <w:jc w:val="both"/>
      </w:pPr>
      <w:r>
        <w:t xml:space="preserve">7.4.</w:t>
      </w:r>
      <w:r>
        <w:tab/>
        <w:t xml:space="preserve">Неуведомлен</w:t>
      </w:r>
      <w: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/>
    </w:p>
    <w:p>
      <w:pPr>
        <w:ind w:firstLine="0"/>
        <w:jc w:val="both"/>
        <w:widowControl w:val="off"/>
        <w:rPr>
          <w:rFonts w:ascii="Times New Roman" w:hAnsi="Times New Roman" w:eastAsia="Calibri" w:cs="Times New Roman"/>
          <w:color w:val="000000" w:themeColor="text1"/>
          <w:highlight w:val="none"/>
          <w:lang w:eastAsia="ru-RU"/>
        </w:rPr>
      </w:pPr>
      <w:r>
        <w:rPr>
          <w:highlight w:val="none"/>
        </w:rPr>
      </w:r>
      <w:r>
        <w:rPr>
          <w:rFonts w:ascii="Times New Roman" w:hAnsi="Times New Roman" w:eastAsia="Calibri" w:cs="Times New Roman"/>
          <w:color w:val="000000" w:themeColor="text1"/>
          <w:highlight w:val="none"/>
          <w:lang w:eastAsia="ru-RU"/>
        </w:rPr>
      </w:r>
      <w:r>
        <w:rPr>
          <w:rFonts w:ascii="Times New Roman" w:hAnsi="Times New Roman" w:eastAsia="Calibri" w:cs="Times New Roman"/>
          <w:color w:val="000000" w:themeColor="text1"/>
          <w:highlight w:val="none"/>
          <w:lang w:eastAsia="ru-RU"/>
        </w:rPr>
      </w:r>
    </w:p>
    <w:p>
      <w:pPr>
        <w:ind w:left="720" w:firstLine="0"/>
        <w:jc w:val="center"/>
        <w:rPr>
          <w:b/>
          <w:bCs/>
          <w:sz w:val="26"/>
          <w:szCs w:val="26"/>
        </w:rPr>
      </w:pPr>
      <w:r>
        <w:rPr>
          <w:b/>
          <w:bCs/>
          <w:lang w:eastAsia="ar-SA"/>
        </w:rPr>
        <w:t xml:space="preserve">8. </w:t>
      </w:r>
      <w:r>
        <w:rPr>
          <w:b/>
          <w:bCs/>
          <w:lang w:eastAsia="ar-SA"/>
        </w:rPr>
        <w:t xml:space="preserve">Обе</w:t>
      </w:r>
      <w:r>
        <w:rPr>
          <w:rFonts w:ascii="Times New Roman" w:hAnsi="Times New Roman"/>
          <w:b/>
          <w:bCs/>
          <w:lang w:eastAsia="ar-SA"/>
        </w:rPr>
        <w:t xml:space="preserve">спечение исполнения обязательств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1057"/>
        <w:ind w:left="0" w:firstLine="567"/>
        <w:jc w:val="both"/>
        <w:rPr>
          <w14:ligatures w14:val="none"/>
        </w:rPr>
      </w:pPr>
      <w:r>
        <w:rPr>
          <w:lang w:eastAsia="ar-SA"/>
        </w:rPr>
      </w:r>
      <w:r>
        <w:t xml:space="preserve">8.1. Обеспечение исполнения обязательств по Контракту в соответствии с положениями </w:t>
      </w:r>
      <w:r>
        <w:t xml:space="preserve"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предусмотрено.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1057"/>
        <w:ind w:left="0" w:firstLine="567"/>
        <w:jc w:val="center"/>
      </w:pPr>
      <w:r/>
      <w:r/>
    </w:p>
    <w:p>
      <w:pPr>
        <w:pStyle w:val="1057"/>
        <w:ind w:firstLine="567"/>
        <w:jc w:val="center"/>
        <w:rPr>
          <w:b/>
        </w:rPr>
      </w:pPr>
      <w:r>
        <w:rPr>
          <w:b/>
        </w:rPr>
        <w:t xml:space="preserve">9. Порядок урегулирования споров</w:t>
      </w:r>
      <w:r>
        <w:rPr>
          <w:b/>
        </w:rPr>
      </w:r>
      <w:r>
        <w:rPr>
          <w:b/>
        </w:rPr>
      </w:r>
    </w:p>
    <w:p>
      <w:pPr>
        <w:pStyle w:val="1057"/>
        <w:ind w:left="0" w:firstLine="567"/>
        <w:jc w:val="both"/>
        <w:rPr>
          <w:szCs w:val="24"/>
          <w14:ligatures w14:val="none"/>
        </w:rPr>
      </w:pPr>
      <w:r>
        <w:t xml:space="preserve"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7"/>
        <w:ind w:left="0" w:firstLine="567"/>
        <w:jc w:val="both"/>
        <w:rPr>
          <w:szCs w:val="24"/>
          <w14:ligatures w14:val="none"/>
        </w:rPr>
      </w:pPr>
      <w:r>
        <w:t xml:space="preserve">9.2. Претензия оформляется в письменной форме. В претензии перечисляются доп</w:t>
      </w:r>
      <w:r>
        <w:t xml:space="preserve">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7"/>
        <w:ind w:left="0" w:firstLine="567"/>
        <w:jc w:val="both"/>
        <w:rPr>
          <w:szCs w:val="24"/>
          <w14:ligatures w14:val="none"/>
        </w:rPr>
      </w:pPr>
      <w:r>
        <w:tab/>
        <w:t xml:space="preserve">Срок рас</w:t>
      </w:r>
      <w:r>
        <w:t xml:space="preserve">смотрения претензии не может превышать 10 (Десяти)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7"/>
        <w:ind w:left="0" w:firstLine="567"/>
        <w:jc w:val="both"/>
        <w:rPr>
          <w:szCs w:val="24"/>
          <w14:ligatures w14:val="none"/>
        </w:rPr>
      </w:pPr>
      <w:r>
        <w:t xml:space="preserve">9.3. При неурегулировании Сторонами спора в досудебном порядке спор разрешается в судебном порядке</w:t>
      </w:r>
      <w:r>
        <w:t xml:space="preserve">.</w:t>
      </w:r>
      <w:r>
        <w:rPr>
          <w:szCs w:val="24"/>
          <w14:ligatures w14:val="none"/>
        </w:rPr>
      </w:r>
      <w:r>
        <w:rPr>
          <w:szCs w:val="24"/>
          <w14:ligatures w14:val="none"/>
        </w:rPr>
      </w:r>
    </w:p>
    <w:p>
      <w:pPr>
        <w:pStyle w:val="1057"/>
        <w:ind w:left="0" w:firstLine="0"/>
        <w:jc w:val="both"/>
      </w:pPr>
      <w:r/>
      <w:r/>
    </w:p>
    <w:p>
      <w:pPr>
        <w:ind w:left="720" w:firstLine="0"/>
        <w:jc w:val="center"/>
        <w:rPr>
          <w:b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10.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Срок действия Контракта, изменение условий, расторжение</w:t>
      </w:r>
      <w:r>
        <w:rPr>
          <w:b/>
        </w:rPr>
      </w:r>
      <w:r>
        <w:rPr>
          <w:b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highlight w:val="white"/>
        </w:rPr>
        <w:t xml:space="preserve">10.1.</w:t>
      </w:r>
      <w:r>
        <w:rPr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онтра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кт вст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упает в силу с даты его подписания обеими Сторонам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и действует по 31 декабря 2026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 при их установлении Заказчиком.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10.2.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 исполнении Контракта изменение его существенных условий не допускается, за исключением случаев, предусмотренных Федеральным законом № 44-ФЗ.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Соглашение об изменении условий Контракта, заключенного</w:t>
      </w:r>
      <w:r>
        <w:rPr>
          <w:rFonts w:ascii="Times New Roman" w:hAnsi="Times New Roman"/>
        </w:rPr>
        <w:t xml:space="preserve"> по ре</w:t>
      </w:r>
      <w:r>
        <w:rPr>
          <w:rFonts w:ascii="Times New Roman" w:hAnsi="Times New Roman"/>
        </w:rPr>
        <w:t xml:space="preserve">зультатам электронных процедур </w:t>
      </w:r>
      <w:r>
        <w:rPr>
          <w:rFonts w:ascii="Times New Roman" w:hAnsi="Times New Roman"/>
        </w:rPr>
        <w:t xml:space="preserve">заключается с использованием единого агрегатора торговли.</w:t>
      </w:r>
      <w:r>
        <w:rPr>
          <w:rFonts w:ascii="Times New Roman" w:hAnsi="Times New Roman" w:eastAsia="Times New Roman" w:cs="Times New Roman"/>
          <w:bCs/>
          <w:lang w:eastAsia="ru-RU"/>
        </w:rPr>
      </w:r>
      <w:r/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10.4. </w:t>
      </w:r>
      <w:r>
        <w:rPr>
          <w:rFonts w:ascii="Times New Roman" w:hAnsi="Times New Roman" w:eastAsia="Times New Roman" w:cs="Times New Roman"/>
          <w:lang w:eastAsia="ru-RU"/>
        </w:rPr>
        <w:t xml:space="preserve">В случае изменения бан</w:t>
      </w:r>
      <w:r>
        <w:rPr>
          <w:rFonts w:ascii="Times New Roman" w:hAnsi="Times New Roman" w:eastAsia="Times New Roman" w:cs="Times New Roman"/>
          <w:lang w:eastAsia="ru-RU"/>
        </w:rPr>
        <w:t xml:space="preserve">ковских реквизитов Исполнитель обязан известить Заказчика в течение 3 (трех) рабочих дней. В противном случае все риски, связанные с перечислением Заказчиком денежных средств на указанный в настоящем Контракте расчетный счет Исполнителя, несет Исполнитель.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10.5.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10.6.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Cs/>
        </w:rPr>
        <w:t xml:space="preserve">К</w:t>
      </w:r>
      <w:r>
        <w:rPr>
          <w:rFonts w:ascii="Times New Roman" w:hAnsi="Times New Roman" w:eastAsia="Times New Roman" w:cs="Times New Roman"/>
          <w:lang w:eastAsia="ru-RU"/>
        </w:rPr>
        <w:t xml:space="preserve">онтракт может быть расторгнут в случае одностороннего отказа Стороны Контракта </w:t>
      </w:r>
      <w:r>
        <w:rPr>
          <w:rFonts w:ascii="Times New Roman" w:hAnsi="Times New Roman" w:eastAsia="Times New Roman" w:cs="Times New Roman"/>
          <w:lang w:eastAsia="ru-RU"/>
        </w:rPr>
        <w:t xml:space="preserve">от его исполнения в соответствии с положениями статьи 95 Федерального закона № 44-ФЗ.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lang w:eastAsia="ru-RU"/>
        </w:rPr>
        <w:t xml:space="preserve">Расторжение Контракта производится Сторонами путем подписания соответствующего соглашения о расторжении.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Согл</w:t>
      </w:r>
      <w:r>
        <w:rPr>
          <w:rFonts w:ascii="Times New Roman" w:hAnsi="Times New Roman" w:eastAsia="Times New Roman" w:cs="Times New Roman"/>
          <w:lang w:eastAsia="ru-RU"/>
        </w:rPr>
        <w:t xml:space="preserve">ашение о расторжении Контракта</w:t>
      </w:r>
      <w:r>
        <w:rPr>
          <w:rFonts w:ascii="Times New Roman" w:hAnsi="Times New Roman"/>
        </w:rPr>
        <w:t xml:space="preserve">, заключенного</w:t>
      </w:r>
      <w:r>
        <w:rPr>
          <w:rFonts w:ascii="Times New Roman" w:hAnsi="Times New Roman"/>
        </w:rPr>
        <w:t xml:space="preserve"> по ре</w:t>
      </w:r>
      <w:r>
        <w:rPr>
          <w:rFonts w:ascii="Times New Roman" w:hAnsi="Times New Roman"/>
        </w:rPr>
        <w:t xml:space="preserve">зультатам электронных процедур </w:t>
      </w:r>
      <w:r>
        <w:rPr>
          <w:rFonts w:ascii="Times New Roman" w:hAnsi="Times New Roman"/>
        </w:rPr>
        <w:t xml:space="preserve">заключается с использованием единого агрегатора торговли.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10.7. </w:t>
      </w:r>
      <w:r>
        <w:rPr>
          <w:rFonts w:eastAsia="Arial Unicode MS" w:cs="Times New Roman"/>
          <w:sz w:val="24"/>
          <w:szCs w:val="24"/>
          <w:lang w:eastAsia="ar-SA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 в соответствии с настоящим разделом.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highlight w:val="none"/>
        </w:rPr>
        <w:t xml:space="preserve">10.8. З</w:t>
      </w:r>
      <w:r>
        <w:rPr>
          <w:rFonts w:eastAsia="Arial Unicode MS" w:cs="Times New Roman"/>
          <w:sz w:val="24"/>
          <w:szCs w:val="24"/>
          <w:lang w:eastAsia="ar-SA"/>
        </w:rPr>
        <w:t xml:space="preserve">аказчик обязан принять решение об одностороннем отказе от исполнения Контракта, если в ходе исполнения Контракта ус</w:t>
      </w:r>
      <w:r>
        <w:rPr>
          <w:rFonts w:eastAsia="Arial Unicode MS" w:cs="Times New Roman"/>
          <w:sz w:val="24"/>
          <w:szCs w:val="24"/>
          <w:lang w:eastAsia="ar-SA"/>
        </w:rPr>
        <w:t xml:space="preserve">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  <w:t xml:space="preserve">11. Заключительные положения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11.1.</w:t>
      </w:r>
      <w:r>
        <w:rPr>
          <w:rFonts w:ascii="Times New Roman" w:hAnsi="Times New Roman" w:eastAsia="Times New Roman" w:cs="Times New Roman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lang w:eastAsia="ru-RU"/>
        </w:rPr>
        <w:t xml:space="preserve">Приложения к настоящему Контракту и документы, оформляемые сторонами во исполнение настоящего Контракта, подписываются уполномоченными лицами и являются неотъемлемой частью настоящего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11.2. </w:t>
      </w:r>
      <w:r>
        <w:rPr>
          <w:rFonts w:ascii="Times New Roman" w:hAnsi="Times New Roman" w:eastAsia="Times New Roman" w:cs="Times New Roman"/>
          <w:lang w:eastAsia="ru-RU"/>
        </w:rPr>
        <w:t xml:space="preserve">Содержание настоящего Контракта, а также сведения и информация, переданные каждой </w:t>
      </w:r>
      <w:r>
        <w:rPr>
          <w:rFonts w:ascii="Times New Roman" w:hAnsi="Times New Roman" w:eastAsia="Times New Roman" w:cs="Times New Roman"/>
          <w:lang w:eastAsia="ru-RU"/>
        </w:rPr>
        <w:t xml:space="preserve">из Сторон другой Стороне при заключении и исполнении настоящего Контракта, представляют собой конфиденциальную информацию.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11.3. 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 всем, что не предусмотрено настоящим Контрактом, Стороны руководствуются законодательством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11.4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/>
          <w:szCs w:val="24"/>
        </w:rPr>
        <w:t xml:space="preserve">Контракт составлен в 2 (двух) экземплярах, по одному для каждой из Сторон, имеющих одинаковую юридическую силу.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11.5</w:t>
      </w:r>
      <w:r>
        <w:rPr>
          <w:rFonts w:ascii="Times New Roman" w:hAnsi="Times New Roman" w:eastAsia="Times New Roman" w:cs="Times New Roman"/>
          <w:lang w:eastAsia="ru-RU"/>
        </w:rPr>
        <w:t xml:space="preserve">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Любая корреспонденция, которую одна Сторона направляет другой Стороне в соответствии с Контрактом, направля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ется в письменной форме почтой или в форме электронного документа, подписанного уполномоченным лицом с использованием усиленной квалифицированной электронной подписи, предусмотренной Федеральным законом от 6 апреля 2011 г. № 63-ФЗ «Об электронной подписи».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иное не предусмотрено законодательством Российской Федерации или Контрактом, любая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корреспонденция, связанная с Контрактом, будет считаться надлежащим образом доставленной Стороной другой Стороне и полученной ею, если она 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Стороны, указанному в Контракте, а также телеграммой, либо посредством факсимильной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связи, либо по адресу электронной почты, либо с использованием иных сре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дств св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язи и доставки корреспонденции, обеспечивающих фиксирование такого уведомления и получение Стороной, в адрес которой она направлена.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Корреспонденция считается доставленной Стороне также в случаях, если: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Сторона отказалась от получения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этот отказ зафиксирован организацией почтовой связи;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несмотря на почтовое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уведомление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Сторона не явилась за получением направленной корреспонденции, о чем организация почтовой связи уведомила отправителя;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корреспонденция не вручена в связи с отсутствием Стороны по указанному адресу, о чем организация почтовой связи уведомила отправителя.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left="0" w:right="0" w:firstLine="540"/>
        <w:jc w:val="center"/>
        <w:spacing w:before="0" w:after="0" w:line="288" w:lineRule="atLeast"/>
        <w:rPr>
          <w:rFonts w:ascii="Times New Roman" w:hAnsi="Times New Roman" w:eastAsia="Times New Roman" w:cs="Times New Roman"/>
          <w:b/>
          <w:bCs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highlight w:val="none"/>
        </w:rPr>
        <w:t xml:space="preserve">12. Перечень приложений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 настоящему Контракту прилагаются и являются его неотъемлемой частью следующие приложения: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Cs/>
          <w:lang w:eastAsia="zh-CN"/>
        </w:rPr>
        <w:t xml:space="preserve">12.1. Приложение № 1</w:t>
      </w:r>
      <w:r>
        <w:rPr>
          <w:rFonts w:ascii="Times New Roman" w:hAnsi="Times New Roman" w:eastAsia="Times New Roman" w:cs="Times New Roman"/>
          <w:bCs/>
          <w:lang w:eastAsia="zh-CN"/>
        </w:rPr>
        <w:t xml:space="preserve"> – </w:t>
      </w:r>
      <w:r>
        <w:rPr>
          <w:rFonts w:ascii="Times New Roman" w:hAnsi="Times New Roman" w:eastAsia="Times New Roman" w:cs="Times New Roman"/>
          <w:lang w:eastAsia="zh-CN"/>
        </w:rPr>
        <w:t xml:space="preserve">Техническое задание </w:t>
      </w:r>
      <w:r>
        <w:rPr>
          <w:rFonts w:ascii="Times New Roman" w:hAnsi="Times New Roman" w:eastAsia="Times New Roman" w:cs="Times New Roman"/>
          <w:iCs/>
          <w:lang w:eastAsia="zh-CN"/>
        </w:rPr>
        <w:t xml:space="preserve">на </w:t>
      </w:r>
      <w:r>
        <w:rPr>
          <w:rFonts w:ascii="Times New Roman" w:hAnsi="Times New Roman" w:eastAsia="Times New Roman" w:cs="Times New Roman"/>
          <w:iCs/>
        </w:rPr>
        <w:t xml:space="preserve">оказание </w:t>
      </w:r>
      <w:r>
        <w:rPr>
          <w:rFonts w:ascii="Times New Roman" w:hAnsi="Times New Roman" w:eastAsia="Times New Roman" w:cs="Times New Roman"/>
          <w:iCs/>
          <w:lang w:eastAsia="zh-CN"/>
        </w:rPr>
        <w:t xml:space="preserve">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</w:t>
      </w:r>
      <w:r>
        <w:rPr>
          <w:rFonts w:ascii="Times New Roman" w:hAnsi="Times New Roman" w:eastAsia="Times New Roman" w:cs="Times New Roman"/>
          <w:iCs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12.2. Приложение № 2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Юридические адреса, банковские реквизиты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1056"/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 подписи сторон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left"/>
      </w:pPr>
      <w:r/>
      <w:r/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ind w:right="-160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ind w:firstLine="228"/>
              <w:shd w:val="clear" w:color="ffffff" w:themeColor="background1" w:fill="ffffff" w:themeFill="background1"/>
              <w:rPr>
                <w:b/>
                <w:highlight w:val="none"/>
              </w:rPr>
            </w:pPr>
            <w:r>
              <w:rPr>
                <w:b/>
                <w:highlight w:val="none"/>
              </w:rPr>
              <w:t xml:space="preserve">Исполнитель</w:t>
            </w:r>
            <w:r>
              <w:rPr>
                <w:b/>
                <w:bCs/>
                <w:highlight w:val="none"/>
              </w:rPr>
              <w:t xml:space="preserve">: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Калужской, Брянской  и Смоленской областях</w:t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Юридический адрес:</w:t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4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Почтовый адрес:</w:t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4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248000, Калужская обл., г. Калуга, ул. Баженова, д. 2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ИН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Н: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4027096522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/КПП: 402701001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Банковские реквизиты: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Наименование получателя: УФК по Нижегородской области (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МТУ Росимущества в Калужской, Брянской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и Смоленской областях, л/с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03371W08230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),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Единый казначейский счет: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40102810745370000024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Казначейский счет: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03211643000000013209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Банк получате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ля: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ОКЦ № 1 ВВГУ Банка России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// УФК по Нижегородской области, </w:t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г. Нижний Новгород</w:t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БИК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012202102</w:t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:sz w:val="22"/>
                <w:szCs w:val="22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ОГРН: 1094027005071</w:t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ind w:left="0" w:right="0" w:firstLine="0"/>
              <w:jc w:val="left"/>
              <w:spacing w:after="0" w:line="240" w:lineRule="auto"/>
              <w:rPr>
                <w:rFonts w:ascii="Times New Roman" w:hAnsi="Times New Roman" w:eastAsia="Arial Unicode MS" w:cs="Times New Roman"/>
                <w14:ligatures w14:val="none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  <w:r>
              <w:rPr>
                <w:rFonts w:ascii="Times New Roman" w:hAnsi="Times New Roman" w:eastAsia="Arial Unicode MS" w:cs="Times New Roman"/>
                <w14:ligatures w14:val="none"/>
              </w:rPr>
            </w:r>
          </w:p>
          <w:p>
            <w:pPr>
              <w:pStyle w:val="829"/>
              <w:tabs>
                <w:tab w:val="left" w:pos="1380" w:leader="none"/>
              </w:tabs>
              <w:rPr>
                <w:sz w:val="27"/>
                <w:szCs w:val="27"/>
              </w:rPr>
            </w:pP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Телефон: 7(4842)57-51-51/56-55-69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br/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E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-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mail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: 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tu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40@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rosim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.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gov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.</w:t>
            </w:r>
            <w:r>
              <w:rPr>
                <w:rFonts w:ascii="Times New Roman" w:hAnsi="Times New Roman" w:eastAsia="Arial Unicode MS" w:cs="Times New Roman"/>
                <w:sz w:val="24"/>
                <w:szCs w:val="24"/>
                <w:lang w:val="fr-CA" w:eastAsia="ar-SA"/>
              </w:rPr>
              <w:t xml:space="preserve">ru</w:t>
            </w: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  <w:p>
            <w:pPr>
              <w:pStyle w:val="829"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7"/>
                <w:szCs w:val="27"/>
              </w:rPr>
            </w:r>
            <w:r>
              <w:rPr>
                <w:rFonts w:eastAsia="Calibri"/>
                <w:sz w:val="27"/>
                <w:szCs w:val="27"/>
              </w:rPr>
            </w:r>
          </w:p>
          <w:p>
            <w:pPr>
              <w:pStyle w:val="829"/>
              <w:jc w:val="both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7"/>
                <w:szCs w:val="27"/>
              </w:rPr>
            </w:r>
            <w:r>
              <w:rPr>
                <w:rFonts w:eastAsia="Calibri"/>
                <w:sz w:val="27"/>
                <w:szCs w:val="27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ук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оводитель</w:t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______________________/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Т.А. Артемова/</w:t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spacing w:after="0" w:line="240" w:lineRule="auto"/>
              <w:tabs>
                <w:tab w:val="left" w:pos="1395" w:leader="none"/>
              </w:tabs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МП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  <w:r>
              <w:rPr>
                <w:rFonts w:ascii="Times New Roman" w:hAnsi="Times New Roman"/>
                <w:b w:val="0"/>
                <w:bCs w:val="0"/>
                <w:sz w:val="27"/>
                <w:szCs w:val="27"/>
                <w:highlight w:val="none"/>
                <w14:ligatures w14:val="none"/>
              </w:rPr>
            </w:r>
          </w:p>
          <w:p>
            <w:pPr>
              <w:ind w:right="-160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rFonts w:ascii="Arial" w:hAnsi="Arial"/>
                <w:color w:val="333333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  <w:t xml:space="preserve">   </w:t>
            </w: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rFonts w:ascii="Arial" w:hAnsi="Arial"/>
                <w:color w:val="333333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rFonts w:ascii="Arial" w:hAnsi="Arial"/>
                <w:color w:val="333333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color w:val="000000"/>
                <w:sz w:val="22"/>
                <w:szCs w:val="22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  <w:t xml:space="preserve">_______________/</w:t>
            </w:r>
            <w:r>
              <w:rPr>
                <w:color w:val="000000"/>
                <w:sz w:val="22"/>
                <w:szCs w:val="22"/>
              </w:rPr>
              <w:t xml:space="preserve">Ф.И.О. </w:t>
            </w: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color w:val="000000"/>
                <w:sz w:val="22"/>
                <w:szCs w:val="22"/>
                <w:highlight w:val="none"/>
              </w:rPr>
            </w:r>
          </w:p>
          <w:p>
            <w:pPr>
              <w:ind w:firstLine="228"/>
              <w:shd w:val="clear" w:color="ffffff" w:themeColor="background1" w:fill="ffffff" w:themeFill="background1"/>
              <w:rPr>
                <w:color w:val="000000"/>
                <w:highlight w:val="none"/>
              </w:rPr>
            </w:pPr>
            <w:r>
              <w:rPr>
                <w:color w:val="000000"/>
                <w:sz w:val="22"/>
                <w:szCs w:val="22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highlight w:val="none"/>
              </w:rPr>
              <w:t xml:space="preserve">МП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</w:tc>
      </w:tr>
    </w:tbl>
    <w:p>
      <w:pPr>
        <w:jc w:val="right"/>
        <w:sectPr>
          <w:footnotePr/>
          <w:endnotePr/>
          <w:type w:val="nextPage"/>
          <w:pgSz w:w="11906" w:h="16838" w:orient="portrait"/>
          <w:pgMar w:top="851" w:right="851" w:bottom="1134" w:left="1418" w:header="709" w:footer="709" w:gutter="0"/>
          <w:cols w:num="1" w:sep="0" w:space="708" w:equalWidth="1"/>
          <w:docGrid w:linePitch="360"/>
        </w:sectPr>
      </w:pPr>
      <w:r/>
      <w:r/>
    </w:p>
    <w:p>
      <w:pPr>
        <w:jc w:val="right"/>
        <w:widowControl w:val="off"/>
        <w:outlineLvl w:val="1"/>
      </w:pPr>
      <w:r>
        <w:t xml:space="preserve">Приложение №1</w:t>
      </w:r>
      <w:r/>
    </w:p>
    <w:p>
      <w:pPr>
        <w:jc w:val="right"/>
        <w:widowControl w:val="off"/>
      </w:pPr>
      <w:r>
        <w:t xml:space="preserve">к государственному контракту</w:t>
      </w:r>
      <w:r/>
    </w:p>
    <w:p>
      <w:pPr>
        <w:jc w:val="right"/>
        <w:widowControl w:val="off"/>
      </w:pPr>
      <w:r>
        <w:t xml:space="preserve">№ ___________________________</w:t>
      </w:r>
      <w:r/>
    </w:p>
    <w:p>
      <w:pPr>
        <w:jc w:val="right"/>
        <w:widowControl w:val="off"/>
      </w:pPr>
      <w:r>
        <w:t xml:space="preserve"> от «____» _______________ 20__ г.</w:t>
      </w:r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center"/>
        <w:widowControl w:val="off"/>
      </w:pPr>
      <w:r>
        <w:rPr>
          <w:b/>
          <w:sz w:val="28"/>
          <w:szCs w:val="28"/>
        </w:rPr>
        <w:t xml:space="preserve">ТЕХНИЧЕСКОЕ ЗАДАНИЕ</w:t>
      </w:r>
      <w:r/>
    </w:p>
    <w:p>
      <w:pPr>
        <w:jc w:val="center"/>
        <w:widowControl w:val="off"/>
      </w:pPr>
      <w:r>
        <w:rPr>
          <w:rFonts w:ascii="Times New Roman" w:hAnsi="Times New Roman" w:eastAsia="Times New Roman" w:cs="Times New Roman"/>
          <w:iCs/>
          <w:lang w:eastAsia="zh-CN"/>
        </w:rPr>
        <w:t xml:space="preserve">на </w:t>
      </w:r>
      <w:r>
        <w:rPr>
          <w:rFonts w:ascii="Times New Roman" w:hAnsi="Times New Roman" w:eastAsia="Times New Roman" w:cs="Times New Roman"/>
          <w:iCs/>
        </w:rPr>
        <w:t xml:space="preserve">оказание </w:t>
      </w:r>
      <w:r>
        <w:rPr>
          <w:rFonts w:ascii="Times New Roman" w:hAnsi="Times New Roman" w:eastAsia="Times New Roman" w:cs="Times New Roman"/>
          <w:iCs/>
          <w:lang w:eastAsia="zh-CN"/>
        </w:rPr>
        <w:t xml:space="preserve">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</w:t>
      </w:r>
      <w:r/>
    </w:p>
    <w:p>
      <w:pPr>
        <w:jc w:val="both"/>
        <w:widowControl w:val="off"/>
      </w:pPr>
      <w:r/>
      <w:r/>
    </w:p>
    <w:p>
      <w:pPr>
        <w:pStyle w:val="829"/>
        <w:ind w:firstLine="540"/>
        <w:jc w:val="both"/>
        <w:rPr>
          <w:iCs/>
          <w:color w:val="000000"/>
          <w:lang w:eastAsia="en-US"/>
        </w:rPr>
      </w:pPr>
      <w:r>
        <w:rPr>
          <w:b/>
          <w:lang w:eastAsia="en-US"/>
        </w:rPr>
        <w:t xml:space="preserve">1. </w:t>
      </w:r>
      <w:r>
        <w:rPr>
          <w:b/>
          <w:lang w:eastAsia="en-US"/>
        </w:rPr>
        <w:t xml:space="preserve">Объект закупки:</w:t>
      </w:r>
      <w:r>
        <w:rPr>
          <w:b/>
          <w:lang w:eastAsia="en-US"/>
        </w:rPr>
        <w:t xml:space="preserve"> </w:t>
      </w:r>
      <w:r>
        <w:rPr>
          <w:bCs/>
          <w:lang w:eastAsia="en-US"/>
        </w:rPr>
        <w:t xml:space="preserve">О</w:t>
      </w:r>
      <w:r>
        <w:rPr>
          <w:lang w:eastAsia="en-US"/>
        </w:rPr>
        <w:t xml:space="preserve">казание медицинских услуг по прохождению диспансеризации федеральными государственными гражданскими служащими (далее – гражданские служащие) </w:t>
      </w:r>
      <w:r>
        <w:rPr>
          <w:lang w:eastAsia="en-US"/>
        </w:rPr>
        <w:t xml:space="preserve">МТУ Росимущества в Калужской, Брянской и Смоленской областях</w:t>
      </w:r>
      <w:r>
        <w:rPr>
          <w:iCs/>
          <w:lang w:eastAsia="en-US"/>
        </w:rPr>
        <w:t xml:space="preserve"> </w:t>
      </w:r>
      <w:r>
        <w:rPr>
          <w:iCs/>
          <w:lang w:eastAsia="en-US"/>
        </w:rPr>
        <w:t xml:space="preserve">в соответствии с </w:t>
      </w:r>
      <w:r>
        <w:rPr>
          <w:iCs/>
          <w:color w:val="000000"/>
          <w:lang w:eastAsia="en-US"/>
        </w:rPr>
        <w:t xml:space="preserve">Порядком</w:t>
      </w:r>
      <w:r>
        <w:rPr>
          <w:iCs/>
          <w:color w:val="000000"/>
          <w:lang w:eastAsia="en-US"/>
        </w:rPr>
        <w:t xml:space="preserve">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</w:t>
      </w:r>
      <w:r>
        <w:rPr>
          <w:iCs/>
          <w:color w:val="000000"/>
          <w:lang w:eastAsia="en-US"/>
        </w:rPr>
        <w:t xml:space="preserve">ции и муниципальными служащими</w:t>
      </w:r>
      <w:r>
        <w:rPr>
          <w:iCs/>
          <w:color w:val="000000"/>
          <w:lang w:eastAsia="en-US"/>
        </w:rPr>
        <w:t xml:space="preserve">,</w:t>
      </w:r>
      <w:r>
        <w:rPr>
          <w:iCs/>
          <w:color w:val="000000"/>
          <w:lang w:eastAsia="en-US"/>
        </w:rPr>
        <w:t xml:space="preserve"> </w:t>
      </w:r>
      <w:r>
        <w:rPr>
          <w:iCs/>
          <w:color w:val="000000"/>
          <w:lang w:eastAsia="en-US"/>
        </w:rPr>
        <w:t xml:space="preserve">утвержденным приказом Министерства здравоохранения Российской Федерации от 14.04.2025 № 201н </w:t>
      </w:r>
      <w:r>
        <w:rPr>
          <w:iCs/>
          <w:color w:val="000000"/>
          <w:lang w:eastAsia="en-US"/>
        </w:rPr>
        <w:t xml:space="preserve">(далее – </w:t>
      </w:r>
      <w:r>
        <w:rPr>
          <w:iCs/>
          <w:color w:val="000000"/>
          <w:lang w:eastAsia="en-US"/>
        </w:rPr>
        <w:t xml:space="preserve">Порядок</w:t>
      </w:r>
      <w:r>
        <w:rPr>
          <w:iCs/>
          <w:color w:val="000000"/>
          <w:lang w:eastAsia="en-US"/>
        </w:rPr>
        <w:t xml:space="preserve"> </w:t>
      </w:r>
      <w:r>
        <w:rPr>
          <w:iCs/>
          <w:color w:val="000000"/>
          <w:lang w:eastAsia="en-US"/>
        </w:rPr>
        <w:br/>
      </w:r>
      <w:r>
        <w:rPr>
          <w:iCs/>
          <w:color w:val="000000"/>
          <w:lang w:eastAsia="en-US"/>
        </w:rPr>
        <w:t xml:space="preserve">№ 201н). </w:t>
      </w:r>
      <w:r>
        <w:rPr>
          <w:iCs/>
          <w:color w:val="000000"/>
          <w:lang w:eastAsia="en-US"/>
        </w:rPr>
      </w:r>
      <w:r>
        <w:rPr>
          <w:iCs/>
          <w:color w:val="000000"/>
          <w:lang w:eastAsia="en-US"/>
        </w:rPr>
      </w:r>
    </w:p>
    <w:p>
      <w:pPr>
        <w:pStyle w:val="829"/>
        <w:ind w:firstLine="709"/>
        <w:jc w:val="both"/>
        <w:rPr>
          <w:bCs/>
          <w:lang w:eastAsia="en-US"/>
        </w:rPr>
      </w:pPr>
      <w:r>
        <w:rPr>
          <w:b/>
          <w:lang w:eastAsia="en-US"/>
        </w:rPr>
        <w:t xml:space="preserve">2</w:t>
      </w:r>
      <w:r>
        <w:rPr>
          <w:b/>
          <w:lang w:eastAsia="en-US"/>
        </w:rPr>
        <w:t xml:space="preserve">.</w:t>
      </w:r>
      <w:r>
        <w:t xml:space="preserve"> </w:t>
      </w:r>
      <w:r>
        <w:rPr>
          <w:b/>
          <w:lang w:eastAsia="en-US"/>
        </w:rPr>
        <w:t xml:space="preserve">Цели оказания услуги:</w:t>
      </w:r>
      <w:r>
        <w:rPr>
          <w:b/>
          <w:bCs/>
          <w:lang w:eastAsia="en-US"/>
        </w:rPr>
        <w:t xml:space="preserve"> </w:t>
      </w:r>
      <w:r>
        <w:rPr>
          <w:bCs/>
          <w:lang w:eastAsia="en-US"/>
        </w:rPr>
        <w:t xml:space="preserve">определение </w:t>
      </w:r>
      <w:r>
        <w:rPr>
          <w:bCs/>
          <w:lang w:eastAsia="en-US"/>
        </w:rPr>
        <w:t xml:space="preserve">раннего (своевременного) выявления состояний, заболеваний и факторов риска их развития, </w:t>
      </w:r>
      <w:r>
        <w:rPr>
          <w:bCs/>
          <w:lang w:eastAsia="en-US"/>
        </w:rPr>
        <w:t xml:space="preserve">препятствующих прохождению государственной гражданской службы Российской Федерации</w:t>
      </w:r>
      <w:r>
        <w:rPr>
          <w:bCs/>
          <w:lang w:eastAsia="en-US"/>
        </w:rPr>
        <w:t xml:space="preserve">,</w:t>
      </w:r>
      <w:r>
        <w:rPr>
          <w:bCs/>
          <w:lang w:eastAsia="en-US"/>
        </w:rPr>
        <w:t xml:space="preserve"> </w:t>
      </w:r>
      <w:r>
        <w:rPr>
          <w:bCs/>
          <w:lang w:eastAsia="en-US"/>
        </w:rPr>
        <w:t xml:space="preserve">определения группы здоровья, необходимых профилактических, лечебных, реабилитационных и оздоровительных мероприятий </w:t>
      </w:r>
      <w:r>
        <w:rPr>
          <w:bCs/>
          <w:lang w:eastAsia="en-US"/>
        </w:rPr>
        <w:br/>
      </w:r>
      <w:r>
        <w:rPr>
          <w:bCs/>
          <w:lang w:eastAsia="en-US"/>
        </w:rPr>
        <w:t xml:space="preserve">для гражданских служащих с выявленными хроническими неинфекционными заболеваниями </w:t>
      </w:r>
      <w:r>
        <w:rPr>
          <w:bCs/>
          <w:lang w:eastAsia="en-US"/>
        </w:rPr>
        <w:br/>
      </w:r>
      <w:r>
        <w:rPr>
          <w:bCs/>
          <w:lang w:eastAsia="en-US"/>
        </w:rPr>
        <w:t xml:space="preserve">и (или) факторами риска их разви</w:t>
      </w:r>
      <w:r>
        <w:rPr>
          <w:bCs/>
          <w:lang w:eastAsia="en-US"/>
        </w:rPr>
        <w:t xml:space="preserve">тия, определения группы диспансерного наблюдения гражданских служащих с выявленными хроническими неинфекционными заболеваниями и иными заболеваниями (состояниями), а также гражданских служащих с высоким и очень высоким суммарным сердечно-сосудистым риском.</w:t>
      </w:r>
      <w:r>
        <w:rPr>
          <w:bCs/>
          <w:lang w:eastAsia="en-US"/>
        </w:rPr>
      </w:r>
      <w:r>
        <w:rPr>
          <w:bCs/>
          <w:lang w:eastAsia="en-US"/>
        </w:rPr>
      </w:r>
    </w:p>
    <w:p>
      <w:pPr>
        <w:ind w:firstLine="709"/>
        <w:jc w:val="both"/>
        <w:rPr>
          <w:lang w:eastAsia="en-US"/>
        </w:rPr>
      </w:pPr>
      <w:r>
        <w:rPr>
          <w:b/>
          <w:bCs/>
          <w:highlight w:val="none"/>
          <w:lang w:eastAsia="en-US"/>
        </w:rPr>
        <w:t xml:space="preserve">3. </w:t>
      </w:r>
      <w:r>
        <w:rPr>
          <w:b/>
          <w:bCs/>
        </w:rPr>
        <w:t xml:space="preserve">Место оказания услуг:</w:t>
      </w:r>
      <w:r>
        <w:t xml:space="preserve"> г. Брянск, по месту нахождения Исполнителя. </w:t>
      </w:r>
      <w:r>
        <w:rPr>
          <w:rFonts w:ascii="Times New Roman" w:hAnsi="Times New Roman" w:eastAsia="Times New Roman" w:cs="Times New Roman"/>
          <w:lang w:eastAsia="ru-RU"/>
        </w:rPr>
        <w:t xml:space="preserve">Услуги оказываются по одному адресу на базе одного медицинского учреждения.</w:t>
      </w:r>
      <w:r>
        <w:rPr>
          <w:lang w:eastAsia="en-US"/>
        </w:rPr>
      </w:r>
      <w:r>
        <w:rPr>
          <w:lang w:eastAsia="en-US"/>
        </w:rPr>
      </w:r>
    </w:p>
    <w:p>
      <w:pPr>
        <w:pStyle w:val="829"/>
        <w:ind w:firstLine="709"/>
        <w:jc w:val="both"/>
        <w:rPr>
          <w:b/>
          <w:bCs/>
        </w:rPr>
      </w:pPr>
      <w:r>
        <w:rPr>
          <w:b/>
        </w:rPr>
        <w:t xml:space="preserve">4</w:t>
      </w:r>
      <w:r>
        <w:rPr>
          <w:b/>
        </w:rPr>
        <w:t xml:space="preserve">. </w:t>
      </w:r>
      <w:r>
        <w:rPr>
          <w:b/>
          <w:bCs/>
        </w:rPr>
        <w:t xml:space="preserve">Требования к качеству, техническим характеристикам услуги, требования </w:t>
        <w:br/>
        <w:t xml:space="preserve">к безопасности и иные показатели, связанные с определением соответствия оказываемой услуги потребностям Заказчика:</w:t>
      </w:r>
      <w:r>
        <w:rPr>
          <w:b/>
          <w:bCs/>
        </w:rPr>
      </w:r>
      <w:r>
        <w:rPr>
          <w:b/>
          <w:bCs/>
        </w:rPr>
      </w:r>
    </w:p>
    <w:p>
      <w:pPr>
        <w:pStyle w:val="829"/>
        <w:ind w:firstLine="709"/>
        <w:jc w:val="right"/>
        <w:rPr>
          <w:b/>
          <w:i/>
        </w:rPr>
      </w:pPr>
      <w:r>
        <w:rPr>
          <w:b/>
          <w:i/>
        </w:rPr>
        <w:t xml:space="preserve">Таблица 1</w:t>
      </w:r>
      <w:r>
        <w:rPr>
          <w:b/>
          <w:i/>
        </w:rPr>
      </w:r>
      <w:r>
        <w:rPr>
          <w:b/>
          <w:i/>
        </w:rPr>
      </w:r>
    </w:p>
    <w:tbl>
      <w:tblPr>
        <w:tblW w:w="1020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09"/>
        <w:gridCol w:w="2835"/>
        <w:gridCol w:w="6662"/>
      </w:tblGrid>
      <w:tr>
        <w:tblPrEx/>
        <w:trPr>
          <w:tblHeader/>
        </w:trPr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№ п/п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Наименование  показателя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Требования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</w:tr>
      <w:tr>
        <w:tblPrEx/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1.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Категория граждан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jc w:val="both"/>
            </w:pPr>
            <w:r>
              <w:t xml:space="preserve">Гражданские служащие </w:t>
            </w:r>
            <w:r>
              <w:rPr>
                <w:lang w:eastAsia="en-US"/>
              </w:rPr>
              <w:t xml:space="preserve">МТУ Росимущества в Калужской, Брянской и Смоленской областях</w:t>
            </w:r>
            <w:r>
              <w:t xml:space="preserve"> </w:t>
            </w:r>
            <w:r>
              <w:rPr>
                <w:iCs/>
              </w:rPr>
              <w:t xml:space="preserve">(г. Брянск)</w:t>
            </w:r>
            <w:r/>
          </w:p>
        </w:tc>
      </w:tr>
      <w:tr>
        <w:tblPrEx/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Общее количество человек (фактическая численность)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  <w:t xml:space="preserve"> человек  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2.1.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в том числе: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jc w:val="both"/>
            </w:pPr>
            <w:r>
              <w:rPr>
                <w:b/>
              </w:rPr>
              <w:t xml:space="preserve">Женщин</w:t>
            </w:r>
            <w:r>
              <w:t xml:space="preserve"> – </w:t>
            </w:r>
            <w:r>
              <w:t xml:space="preserve">11</w:t>
            </w:r>
            <w:r>
              <w:t xml:space="preserve">, </w:t>
            </w:r>
            <w:r>
              <w:t xml:space="preserve">из них</w:t>
            </w:r>
            <w:r>
              <w:t xml:space="preserve">:</w:t>
            </w:r>
            <w:r/>
          </w:p>
          <w:p>
            <w:pPr>
              <w:pStyle w:val="829"/>
              <w:jc w:val="both"/>
              <w:rPr>
                <w:highlight w:val="yellow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</w:rPr>
              <w:t xml:space="preserve"> – после 40 </w:t>
            </w:r>
            <w:r>
              <w:rPr>
                <w:highlight w:val="none"/>
              </w:rPr>
              <w:t xml:space="preserve">до 45 лет </w:t>
            </w:r>
            <w:r>
              <w:rPr>
                <w:highlight w:val="none"/>
              </w:rPr>
              <w:t xml:space="preserve">с маммографией;</w:t>
            </w:r>
            <w:r>
              <w:rPr>
                <w:highlight w:val="none"/>
              </w:rPr>
              <w:t xml:space="preserve"> </w:t>
            </w:r>
            <w:r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29"/>
              <w:jc w:val="both"/>
              <w:rPr>
                <w:highlight w:val="yellow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none"/>
              </w:rPr>
              <w:t xml:space="preserve"> – </w:t>
            </w:r>
            <w:r>
              <w:rPr>
                <w:highlight w:val="none"/>
              </w:rPr>
              <w:t xml:space="preserve">после </w:t>
            </w:r>
            <w:r>
              <w:rPr>
                <w:highlight w:val="none"/>
              </w:rPr>
              <w:t xml:space="preserve">45 </w:t>
            </w:r>
            <w:r>
              <w:rPr>
                <w:highlight w:val="none"/>
              </w:rPr>
              <w:t xml:space="preserve">лет без маммографии; 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pStyle w:val="829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3</w:t>
            </w:r>
            <w:r>
              <w:rPr>
                <w:highlight w:val="white"/>
              </w:rPr>
              <w:t xml:space="preserve"> – после 45 лет с маммографией</w:t>
            </w:r>
            <w:r>
              <w:rPr>
                <w:highlight w:val="white"/>
              </w:rPr>
              <w:t xml:space="preserve">;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both"/>
              <w:rPr>
                <w14:ligatures w14:val="none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none"/>
              </w:rPr>
              <w:t xml:space="preserve"> – до 40 лет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</w:tr>
      <w:tr>
        <w:tblPrEx/>
        <w:trPr>
          <w:trHeight w:val="29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3.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rPr>
                <w:b/>
                <w:i/>
              </w:rPr>
            </w:pPr>
            <w:r>
              <w:rPr>
                <w:b/>
                <w:i/>
              </w:rPr>
              <w:t xml:space="preserve">Особенности проведения диспансеризации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459"/>
              <w:jc w:val="both"/>
              <w:rPr>
                <w:highlight w:val="none"/>
              </w:rPr>
            </w:pPr>
            <w:r>
              <w:rPr>
                <w:lang w:eastAsia="zh-CN"/>
              </w:rPr>
              <w:t xml:space="preserve">Диспансеризация </w:t>
            </w:r>
            <w:r>
              <w:rPr>
                <w:iCs/>
                <w:lang w:eastAsia="zh-CN"/>
              </w:rPr>
              <w:t xml:space="preserve">гражданских</w:t>
            </w:r>
            <w:r>
              <w:rPr>
                <w:lang w:eastAsia="zh-CN"/>
              </w:rPr>
              <w:t xml:space="preserve"> служащих Заказчика проводится отдельно от других посетителей (вне рамок общей очереди). </w:t>
            </w:r>
            <w:r>
              <w:t xml:space="preserve">Также</w:t>
            </w:r>
            <w:r>
              <w:t xml:space="preserve"> для обеспечения минимальных временных затрат на прохождение диспансеризации Исполнителем должны быть разработаны несколько маршрутов (последовательность посещения гражданскими служащими Заказчика медицинских кабинетов</w:t>
            </w:r>
            <w:r>
              <w:t xml:space="preserve"> </w:t>
            </w:r>
            <w:r>
              <w:t xml:space="preserve">и специалистов Исполнителя), а также увеличено количество квалифицированных профильных специалистов на приеме.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29"/>
              <w:ind w:firstLine="459"/>
              <w:jc w:val="both"/>
              <w:widowControl w:val="off"/>
            </w:pPr>
            <w:r>
              <w:rPr>
                <w:lang w:eastAsia="zh-CN"/>
              </w:rPr>
              <w:t xml:space="preserve">Для исполнения Государственного контракта назначается ответственный представитель Исполнителя.</w:t>
            </w:r>
            <w:r/>
          </w:p>
          <w:p>
            <w:pPr>
              <w:pStyle w:val="829"/>
              <w:ind w:firstLine="459"/>
              <w:jc w:val="both"/>
              <w:rPr>
                <w:bCs/>
              </w:rPr>
              <w:outlineLvl w:val="0"/>
            </w:pPr>
            <w:r>
              <w:rPr>
                <w:bCs/>
              </w:rPr>
              <w:t xml:space="preserve">Медицинские документы</w:t>
            </w:r>
            <w:r>
              <w:rPr>
                <w:bCs/>
              </w:rPr>
              <w:t xml:space="preserve">, необходимые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для прохождения диспансеризации, оф</w:t>
            </w:r>
            <w:r>
              <w:rPr>
                <w:bCs/>
              </w:rPr>
              <w:t xml:space="preserve">ормляются Исполнителем в день прохождения диспансеризации. Сотрудники Исполнителя разъясняют гражданским служащим Заказчика порядок прохождения диспансеризации. Для посещения медицинских работников сотрудники Исполнителя выдают на руки гражданским служащим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направление с указанием времени, наименования консультации/обследования, номера кабинета.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459"/>
              <w:jc w:val="both"/>
              <w:rPr>
                <w:bCs/>
              </w:rPr>
              <w:outlineLvl w:val="0"/>
            </w:pPr>
            <w:r>
              <w:rPr>
                <w:bCs/>
              </w:rPr>
              <w:t xml:space="preserve">При проведении </w:t>
            </w:r>
            <w:r>
              <w:rPr>
                <w:bCs/>
              </w:rPr>
              <w:t xml:space="preserve">диспансеризации</w:t>
            </w:r>
            <w:r>
              <w:rPr>
                <w:bCs/>
              </w:rPr>
              <w:t xml:space="preserve"> гражданских служащих Исполнителем</w:t>
            </w:r>
            <w:r>
              <w:rPr>
                <w:bCs/>
              </w:rPr>
              <w:t xml:space="preserve"> на каждого г</w:t>
            </w:r>
            <w:r>
              <w:rPr>
                <w:bCs/>
              </w:rPr>
              <w:t xml:space="preserve">ражданского служащего Заказчика</w:t>
            </w:r>
            <w:r>
              <w:rPr>
                <w:bCs/>
              </w:rPr>
              <w:t xml:space="preserve"> заполняется медицинская карта пациента, получающего медицинскую помощь </w:t>
            </w:r>
            <w:r>
              <w:rPr>
                <w:bCs/>
              </w:rPr>
              <w:br/>
            </w:r>
            <w:r>
              <w:rPr>
                <w:bCs/>
              </w:rPr>
              <w:t xml:space="preserve">в амбулаторных условиях (далее – медицинская карта).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459"/>
              <w:jc w:val="both"/>
              <w:rPr>
                <w:bCs/>
              </w:rPr>
              <w:outlineLvl w:val="0"/>
            </w:pPr>
            <w:r>
              <w:rPr>
                <w:bCs/>
              </w:rPr>
              <w:t xml:space="preserve">Врачи-специалисты, принимающие участие в проведении диспансеризации гражданских служащих, заносят результаты диспансеризации гражданского служащего в медицинскую карту.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459"/>
              <w:jc w:val="both"/>
              <w:rPr>
                <w:lang w:eastAsia="zh-CN"/>
              </w:rPr>
              <w:outlineLvl w:val="0"/>
            </w:pPr>
            <w:r>
              <w:rPr>
                <w:lang w:eastAsia="zh-CN"/>
              </w:rPr>
              <w:t xml:space="preserve">Результаты проведенных лабораторных и функциональных исследований и результаты осмотров врачами-специалистами передаются врачу-терапевту, ответственному за проведение диспансеризации.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bCs/>
              </w:rPr>
              <w:outlineLvl w:val="0"/>
            </w:pPr>
            <w:r>
              <w:t xml:space="preserve">О</w:t>
            </w:r>
            <w:r>
              <w:t xml:space="preserve">смотр врачо</w:t>
            </w:r>
            <w:r>
              <w:t xml:space="preserve">м-терапевтом должен включать также установл</w:t>
            </w:r>
            <w:r>
              <w:t xml:space="preserve">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определение группы здоровья, груп</w:t>
            </w:r>
            <w:r>
              <w:t xml:space="preserve">пы диспансерного наблюдения (с учетом заключений врачей-специалистов 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br/>
            </w:r>
            <w:r>
              <w:t xml:space="preserve"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</w:t>
            </w:r>
            <w:r>
              <w:t xml:space="preserve">таций вне рамок диспансеризации</w:t>
            </w:r>
            <w:r>
              <w:t xml:space="preserve">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lang w:eastAsia="zh-CN"/>
              </w:rPr>
              <w:t xml:space="preserve">После обследования </w:t>
            </w:r>
            <w:r>
              <w:rPr>
                <w:iCs/>
                <w:lang w:eastAsia="zh-CN"/>
              </w:rPr>
              <w:t xml:space="preserve">гражданских </w:t>
            </w:r>
            <w:r>
              <w:rPr>
                <w:lang w:eastAsia="zh-CN"/>
              </w:rPr>
              <w:t xml:space="preserve">служащих Заказчика врач-терапевт с учетом заключений врачей-специалистов, принимающих участие в проведении диспансеризации,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и результатов лабораторных и функциональных исследований определяет соответствующую группу состояния здоровья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в соответствии </w:t>
            </w:r>
            <w:r>
              <w:rPr>
                <w:lang w:eastAsia="zh-CN"/>
              </w:rPr>
              <w:t xml:space="preserve">с </w:t>
            </w:r>
            <w:r>
              <w:rPr>
                <w:iCs/>
                <w:lang w:eastAsia="zh-CN"/>
              </w:rPr>
              <w:t xml:space="preserve">П</w:t>
            </w:r>
            <w:r>
              <w:rPr>
                <w:iCs/>
                <w:lang w:eastAsia="zh-CN"/>
              </w:rPr>
              <w:t xml:space="preserve">орядком</w:t>
            </w:r>
            <w:r>
              <w:rPr>
                <w:iCs/>
                <w:lang w:eastAsia="zh-CN"/>
              </w:rPr>
              <w:t xml:space="preserve"> № 201н</w:t>
            </w:r>
            <w:r>
              <w:rPr>
                <w:iCs/>
                <w:lang w:eastAsia="zh-CN"/>
              </w:rPr>
              <w:t xml:space="preserve">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Для определения по результатам диспансеризации группы здоровья гражданского служащего и планирования тактики его медицинского наблюдения </w:t>
            </w:r>
            <w:r>
              <w:rPr>
                <w:iCs/>
                <w:lang w:eastAsia="zh-CN"/>
              </w:rPr>
              <w:t xml:space="preserve">используются</w:t>
            </w:r>
            <w:r>
              <w:rPr>
                <w:iCs/>
                <w:lang w:eastAsia="zh-CN"/>
              </w:rPr>
              <w:t xml:space="preserve"> следующие критерии: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1) I группа здоровья – гражданские служащие у которых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не установлены хронические неинфекционные заболевания, отсутствуют факторы риска развития таких заболеваний или имеются факторы риска при низком или среднем абсолютном суммарном сердечно-сосудистом риске и которые</w:t>
            </w:r>
            <w:r>
              <w:rPr>
                <w:iCs/>
                <w:lang w:eastAsia="zh-CN"/>
              </w:rPr>
              <w:t xml:space="preserve"> </w:t>
              <w:br/>
            </w:r>
            <w:r>
              <w:rPr>
                <w:iCs/>
                <w:lang w:eastAsia="zh-CN"/>
              </w:rPr>
              <w:t xml:space="preserve">не нуждаются в диспансерном наблюдении по поводу других заболеваний (состояний).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Таким гражданским служащим в рамках диспансеризации проводится краткое пр</w:t>
            </w:r>
            <w:r>
              <w:rPr>
                <w:iCs/>
                <w:lang w:eastAsia="zh-CN"/>
              </w:rPr>
              <w:t xml:space="preserve">офилактическое консультирование.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2) II группа здоровья – гражданские служащие у которых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не установлены хронические неинфекционные заболевания, но имеются факторы риска развития таких заболеваний, как ожирение по индексу массы тела 30 кг/м</w:t>
            </w:r>
            <w:r>
              <w:rPr>
                <w:iCs/>
                <w:vertAlign w:val="superscript"/>
                <w:lang w:eastAsia="zh-CN"/>
              </w:rPr>
              <w:t xml:space="preserve">2</w:t>
            </w:r>
            <w:r>
              <w:rPr>
                <w:iCs/>
                <w:lang w:eastAsia="zh-CN"/>
              </w:rPr>
              <w:t xml:space="preserve"> и более, уровень общего холестерина более 8 ммоль/л, интенсивное курение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по индексу курящего более 20, или высокий или очень высокий абсолютный суммарный сердечно-сосудистый риск, и которые не нуждаются в диспансерном наблюдении по поводу других заболеваний (состояний).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Таким гражданским служащим в рамках диспансеризации проводится углубленное пр</w:t>
            </w:r>
            <w:r>
              <w:rPr>
                <w:iCs/>
                <w:lang w:eastAsia="zh-CN"/>
              </w:rPr>
              <w:t xml:space="preserve">офилактическое консультирование.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3)</w:t>
            </w:r>
            <w:r>
              <w:rPr>
                <w:iCs/>
                <w:lang w:eastAsia="zh-CN"/>
              </w:rPr>
              <w:t xml:space="preserve"> IIIа группа здоровья – гражданские служащие,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гражданские служащие</w:t>
            </w:r>
            <w:r>
              <w:rPr>
                <w:iCs/>
                <w:lang w:eastAsia="zh-CN"/>
              </w:rPr>
              <w:t xml:space="preserve"> </w:t>
            </w:r>
            <w:r>
              <w:rPr>
                <w:iCs/>
                <w:lang w:eastAsia="zh-CN"/>
              </w:rPr>
              <w:t xml:space="preserve">с подозрением на наличие этих заболеваний (состояний), нуждающиеся</w:t>
            </w:r>
            <w:r>
              <w:rPr>
                <w:iCs/>
                <w:lang w:eastAsia="zh-CN"/>
              </w:rPr>
              <w:t xml:space="preserve"> в дополнительном обследовании.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4) IIIб группа здоровья – гражданские служащие,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не имеющие хронических неинфекционных заболеваний,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гражданские служащие с подозрением на наличие этих заболеваний, нуждающиеся </w:t>
            </w:r>
            <w:r>
              <w:rPr>
                <w:iCs/>
                <w:lang w:eastAsia="zh-CN"/>
              </w:rPr>
              <w:br/>
            </w:r>
            <w:r>
              <w:rPr>
                <w:iCs/>
                <w:lang w:eastAsia="zh-CN"/>
              </w:rPr>
              <w:t xml:space="preserve">в дополнительном обследовании.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317"/>
              <w:jc w:val="both"/>
              <w:rPr>
                <w:iCs/>
                <w:lang w:eastAsia="zh-CN"/>
              </w:rPr>
              <w:outlineLvl w:val="0"/>
            </w:pPr>
            <w:r>
              <w:rPr>
                <w:iCs/>
                <w:lang w:eastAsia="zh-CN"/>
              </w:rPr>
              <w:t xml:space="preserve">По результатам дополнительного обследования группа здоровья гражданского служащего может быть изменена.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</w:tc>
      </w:tr>
      <w:tr>
        <w:tblPrEx/>
        <w:trPr>
          <w:trHeight w:val="774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4</w:t>
            </w:r>
            <w:r>
              <w:rPr>
                <w:b/>
                <w:i/>
              </w:rPr>
              <w:t xml:space="preserve">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rPr>
                <w:b/>
                <w:i/>
              </w:rPr>
            </w:pPr>
            <w:r>
              <w:rPr>
                <w:b/>
                <w:i/>
              </w:rPr>
              <w:t xml:space="preserve">График (сроки) прохождения диспансеризации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317"/>
              <w:jc w:val="both"/>
            </w:pPr>
            <w:r>
              <w:t xml:space="preserve">Диспансеризация гражданских служащих должна проводиться в служебное в</w:t>
            </w:r>
            <w:r>
              <w:t xml:space="preserve">ремя, в соответствии </w:t>
            </w:r>
            <w:r>
              <w:br/>
            </w:r>
            <w:r>
              <w:t xml:space="preserve">с утвержде</w:t>
            </w:r>
            <w:r>
              <w:t xml:space="preserve">нным графиком прохождения диспансеризации</w:t>
            </w:r>
            <w:r>
              <w:t xml:space="preserve">.</w:t>
            </w:r>
            <w:r/>
          </w:p>
          <w:p>
            <w:pPr>
              <w:pStyle w:val="829"/>
              <w:ind w:firstLine="317"/>
              <w:jc w:val="both"/>
            </w:pPr>
            <w:r>
              <w:t xml:space="preserve">Для прохождения диспансеризации Заказчик составляет </w:t>
            </w:r>
            <w:r>
              <w:t xml:space="preserve">поименный список гражданских служащих, подлежащих диспансеризации, с указанием пола, возраста, а также года первичного прохождения диспансеризации в соответствии </w:t>
            </w:r>
            <w:r>
              <w:br/>
            </w:r>
            <w:r>
              <w:t xml:space="preserve">с Порядком</w:t>
            </w:r>
            <w:r>
              <w:rPr>
                <w:iCs/>
                <w:lang w:eastAsia="en-US"/>
              </w:rPr>
              <w:t xml:space="preserve"> </w:t>
            </w:r>
            <w:r>
              <w:rPr>
                <w:iCs/>
              </w:rPr>
              <w:t xml:space="preserve">№ 201н</w:t>
            </w:r>
            <w:r>
              <w:t xml:space="preserve"> и направляет его за 2 месяца до начала диспансеризации Исполнителю. </w:t>
            </w:r>
            <w:r/>
          </w:p>
          <w:p>
            <w:pPr>
              <w:pStyle w:val="829"/>
              <w:ind w:firstLine="317"/>
              <w:jc w:val="both"/>
            </w:pPr>
            <w:r>
              <w:t xml:space="preserve">Исполнитель на основании поименного списка гражданских служащих, </w:t>
            </w:r>
            <w:r>
              <w:t xml:space="preserve">подлежащих</w:t>
            </w:r>
            <w:r>
              <w:t xml:space="preserve"> диспансеризации, утверждает совместно с </w:t>
            </w:r>
            <w:r>
              <w:t xml:space="preserve">Заказчиком</w:t>
            </w:r>
            <w:r>
              <w:t xml:space="preserve"> график прохождения диспансеризации. </w:t>
            </w:r>
            <w:r/>
          </w:p>
          <w:p>
            <w:pPr>
              <w:pStyle w:val="829"/>
              <w:ind w:firstLine="317"/>
              <w:jc w:val="both"/>
            </w:pPr>
            <w:r>
              <w:t xml:space="preserve">В случае невозможности прохождения диспансеризации отдельными государственными служащими в установленные графиком сроки Заказчик вправе инициировать изменение этих сроков по согласованию с Исполнителем, осуществляющим ее проведение. </w:t>
            </w:r>
            <w:r/>
          </w:p>
          <w:p>
            <w:pPr>
              <w:pStyle w:val="829"/>
              <w:ind w:firstLine="34"/>
              <w:jc w:val="both"/>
              <w:tabs>
                <w:tab w:val="left" w:pos="4350" w:leader="none"/>
              </w:tabs>
              <w:rPr>
                <w:b/>
              </w:rPr>
            </w:pPr>
            <w:r>
              <w:rPr>
                <w:b/>
              </w:rPr>
              <w:t xml:space="preserve">Период оказания услуги: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29"/>
              <w:ind w:firstLine="34"/>
              <w:jc w:val="both"/>
            </w:pPr>
            <w:r>
              <w:t xml:space="preserve">Дата начала оказания</w:t>
            </w:r>
            <w:r>
              <w:t xml:space="preserve"> услуги: </w:t>
            </w:r>
            <w:r>
              <w:rPr>
                <w:b/>
                <w:bCs/>
              </w:rPr>
              <w:t xml:space="preserve">05</w:t>
            </w:r>
            <w:r>
              <w:rPr>
                <w:b/>
              </w:rPr>
              <w:t xml:space="preserve">.10.</w:t>
            </w:r>
            <w:r>
              <w:rPr>
                <w:b/>
              </w:rPr>
              <w:t xml:space="preserve">2026</w:t>
            </w:r>
            <w:r>
              <w:rPr>
                <w:b/>
              </w:rPr>
              <w:t xml:space="preserve"> </w:t>
            </w:r>
            <w:r/>
          </w:p>
          <w:p>
            <w:pPr>
              <w:pStyle w:val="829"/>
              <w:ind w:firstLine="34"/>
              <w:jc w:val="both"/>
              <w:rPr>
                <w:color w:val="000000"/>
              </w:rPr>
            </w:pPr>
            <w:r>
              <w:t xml:space="preserve">Срок окончания оказания услуги: </w:t>
            </w:r>
            <w:r>
              <w:rPr>
                <w:b/>
                <w:color w:val="000000"/>
              </w:rPr>
              <w:t xml:space="preserve">30.10</w:t>
            </w:r>
            <w:r>
              <w:rPr>
                <w:b/>
                <w:color w:val="000000"/>
              </w:rPr>
              <w:t xml:space="preserve">.</w:t>
            </w:r>
            <w:r>
              <w:rPr>
                <w:b/>
                <w:color w:val="000000"/>
              </w:rPr>
              <w:t xml:space="preserve">202</w:t>
            </w:r>
            <w:r>
              <w:rPr>
                <w:b/>
                <w:color w:val="000000"/>
              </w:rPr>
              <w:t xml:space="preserve">6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829"/>
              <w:jc w:val="both"/>
              <w:rPr>
                <w:b/>
                <w:highlight w:val="none"/>
              </w:rPr>
            </w:pPr>
            <w:r>
              <w:rPr>
                <w:highlight w:val="none"/>
              </w:rPr>
              <w:t xml:space="preserve">Срок сдачи отчетной документации: </w:t>
            </w:r>
            <w:r>
              <w:rPr>
                <w:b/>
                <w:highlight w:val="none"/>
              </w:rPr>
              <w:t xml:space="preserve">не позднее</w:t>
            </w:r>
            <w:r>
              <w:rPr>
                <w:b/>
                <w:highlight w:val="none"/>
              </w:rPr>
              <w:t xml:space="preserve"> </w:t>
            </w:r>
            <w:r>
              <w:rPr>
                <w:b/>
                <w:highlight w:val="none"/>
              </w:rPr>
              <w:t xml:space="preserve">13</w:t>
            </w:r>
            <w:r>
              <w:rPr>
                <w:b/>
                <w:highlight w:val="none"/>
              </w:rPr>
              <w:t xml:space="preserve">.</w:t>
            </w:r>
            <w:r>
              <w:rPr>
                <w:b/>
                <w:highlight w:val="none"/>
              </w:rPr>
              <w:t xml:space="preserve">11</w:t>
            </w:r>
            <w:r>
              <w:rPr>
                <w:b/>
                <w:highlight w:val="none"/>
              </w:rPr>
              <w:t xml:space="preserve">.</w:t>
            </w:r>
            <w:r>
              <w:rPr>
                <w:b/>
                <w:highlight w:val="none"/>
              </w:rPr>
              <w:t xml:space="preserve">202</w:t>
            </w:r>
            <w:r>
              <w:rPr>
                <w:b/>
                <w:highlight w:val="none"/>
              </w:rPr>
              <w:t xml:space="preserve">6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</w:tr>
      <w:tr>
        <w:tblPrEx/>
        <w:trPr>
          <w:trHeight w:val="774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5.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rPr>
                <w:b/>
                <w:i/>
              </w:rPr>
            </w:pPr>
            <w:r>
              <w:rPr>
                <w:b/>
                <w:i/>
              </w:rPr>
              <w:t xml:space="preserve">Требования к оказываемым медицинским услугам, установленные в соответствии с законодательством Российской Федерации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317"/>
              <w:jc w:val="both"/>
            </w:pPr>
            <w:r>
              <w:rPr>
                <w:rFonts w:cs="Times New Roman"/>
                <w:b/>
                <w:bCs/>
                <w:sz w:val="24"/>
                <w:szCs w:val="24"/>
                <w:highlight w:val="none"/>
              </w:rPr>
              <w:t xml:space="preserve">Наличие действующей лицензии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''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Сколково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'') в соответствии с п. 46 ч. 1 ст. 12 Федеральным законом № 99-ФЗ «О лицензировании отдельных видов деятельности» от 04.05.2011 года., включающая вид деятельности: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«терапия», «акушерство и гинекология (за исключением использования вспомогательных репро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дуктивных технологий и искусственного прерывания беременности)», «неврология», «урология», «хирургия», «офтальмология», «оториноларингология» (за исключением кохлеарной имплантации), «эндокринология», «психиатрия», «психиатрия-наркология», «рентгенология»,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 «ультразвуковая диагностика», «клиническая лабораторная диагностика»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 </w:t>
            </w:r>
            <w:r>
              <w:rPr>
                <w:rFonts w:cs="Times New Roman"/>
                <w:sz w:val="24"/>
                <w:szCs w:val="24"/>
                <w:highlight w:val="none"/>
              </w:rPr>
              <w:t xml:space="preserve">подтверждением которой будет являться наличие соответствующей записи в реестре лицензий.</w:t>
            </w:r>
            <w:r>
              <w:t xml:space="preserve"> </w:t>
            </w:r>
            <w:r/>
          </w:p>
          <w:p>
            <w:pPr>
              <w:pStyle w:val="829"/>
              <w:ind w:firstLine="317"/>
              <w:jc w:val="both"/>
            </w:pPr>
            <w:r>
              <w:t xml:space="preserve">В случае отсутствия у </w:t>
            </w:r>
            <w:r>
              <w:t xml:space="preserve">Исполнителя</w:t>
            </w:r>
            <w:r>
              <w:t xml:space="preserve"> лицензии </w:t>
            </w:r>
            <w:r>
              <w:br/>
            </w:r>
            <w:r>
              <w:t xml:space="preserve">на осуществление медицинской деятельности, включающей отдельные виды работы (услуги), необходимые для проведения диспансеризации в полном объеме, такая медицинская организация привлекает на договорной основе медицинские организации, имеющие лицензии </w:t>
            </w:r>
            <w:r>
              <w:br/>
            </w:r>
            <w:r>
              <w:t xml:space="preserve">на осуществление медицинской деятельности, включающие соответствующие работы (услуги).</w:t>
            </w:r>
            <w:r/>
          </w:p>
          <w:p>
            <w:pPr>
              <w:pStyle w:val="829"/>
              <w:ind w:firstLine="317"/>
              <w:jc w:val="both"/>
            </w:pPr>
            <w:r>
              <w:rPr>
                <w:lang w:eastAsia="en-US"/>
              </w:rPr>
              <w:t xml:space="preserve">Исполнитель оказывает услугу по проведению диспансеризации гражданских служащих Заказчика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в соответствии с требованиями </w:t>
            </w:r>
            <w:r>
              <w:rPr>
                <w:iCs/>
                <w:lang w:eastAsia="en-US"/>
              </w:rPr>
              <w:t xml:space="preserve">П</w:t>
            </w:r>
            <w:r>
              <w:rPr>
                <w:iCs/>
                <w:lang w:eastAsia="en-US"/>
              </w:rPr>
              <w:t xml:space="preserve">орядка</w:t>
            </w:r>
            <w:r>
              <w:rPr>
                <w:iCs/>
                <w:lang w:eastAsia="en-US"/>
              </w:rPr>
              <w:t xml:space="preserve"> № 201н</w:t>
            </w:r>
            <w:r>
              <w:rPr>
                <w:iCs/>
                <w:lang w:eastAsia="en-US"/>
              </w:rPr>
              <w:t xml:space="preserve"> </w:t>
            </w:r>
            <w:r>
              <w:rPr>
                <w:iCs/>
                <w:lang w:eastAsia="en-US"/>
              </w:rPr>
              <w:br/>
            </w:r>
            <w:r>
              <w:rPr>
                <w:iCs/>
                <w:lang w:eastAsia="en-US"/>
              </w:rPr>
              <w:t xml:space="preserve">и законодательства Российской Федерации</w:t>
            </w:r>
            <w:r>
              <w:rPr>
                <w:lang w:eastAsia="en-US"/>
              </w:rPr>
              <w:t xml:space="preserve">,</w:t>
            </w:r>
            <w:r>
              <w:rPr>
                <w:lang w:eastAsia="en-US"/>
              </w:rPr>
              <w:t xml:space="preserve"> в том числе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технического задания и государственного контракта</w:t>
            </w:r>
            <w:r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 xml:space="preserve"> </w:t>
            </w:r>
            <w:r/>
          </w:p>
        </w:tc>
      </w:tr>
      <w:tr>
        <w:tblPrEx/>
        <w:trPr>
          <w:trHeight w:val="340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6</w:t>
            </w:r>
            <w:r>
              <w:rPr>
                <w:b/>
                <w:i/>
              </w:rPr>
              <w:t xml:space="preserve">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Требования к качественным и техническим характеристикам услуги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317"/>
              <w:jc w:val="both"/>
              <w:widowControl w:val="off"/>
            </w:pPr>
            <w:r>
              <w:rPr>
                <w:bCs/>
              </w:rPr>
              <w:t xml:space="preserve">Оснащение медицинскими приборами и оборудованием Исполнителя должно быть достаточным для проведения </w:t>
            </w:r>
            <w:r>
              <w:t xml:space="preserve">диспансеризации в полном объеме в одном медицинском учреждении. Площади лечебно-ди</w:t>
            </w:r>
            <w:r>
              <w:t xml:space="preserve">агностических помещений и кабинетов Исполнителя должны соответствовать действующим санитарным и техническим нормам. Каждому врачу-специалисту при осуществлении услуги диспансеризации гражданских служащих Заказчика выделяется отдельное помещение (кабинет). </w:t>
            </w:r>
            <w:r/>
          </w:p>
          <w:p>
            <w:pPr>
              <w:pStyle w:val="829"/>
              <w:ind w:firstLine="317"/>
              <w:jc w:val="both"/>
              <w:widowControl w:val="off"/>
            </w:pPr>
            <w:r>
              <w:t xml:space="preserve">При осуществлении приема гражданских</w:t>
            </w:r>
            <w:r>
              <w:t xml:space="preserve"> служащих Заказчика не допускается использование медицинского помещения</w:t>
            </w:r>
            <w:r>
              <w:t xml:space="preserve"> (кабинета)</w:t>
            </w:r>
            <w:r>
              <w:t xml:space="preserve"> одновременно несколькими врачами-специалистами.</w:t>
            </w:r>
            <w:r/>
          </w:p>
          <w:p>
            <w:pPr>
              <w:pStyle w:val="829"/>
              <w:ind w:firstLine="317"/>
              <w:jc w:val="both"/>
              <w:widowControl w:val="off"/>
            </w:pPr>
            <w:r>
              <w:t xml:space="preserve">В период проведения диспансеризации гражданских служащих Заказчика Исполнитель обеспечивает: </w:t>
            </w:r>
            <w:r/>
          </w:p>
          <w:p>
            <w:pPr>
              <w:ind w:firstLine="317"/>
              <w:jc w:val="both"/>
              <w:rPr>
                <w14:ligatures w14:val="none"/>
              </w:rPr>
            </w:pPr>
            <w:r>
              <w:t xml:space="preserve">1. Прохождение </w:t>
            </w:r>
            <w:r>
              <w:t xml:space="preserve">диспансеризации врачами-специалистами, в том числе путем проведения </w:t>
            </w:r>
            <w:r>
              <w:t xml:space="preserve">лабораторных </w:t>
            </w:r>
            <w:r>
              <w:br/>
            </w:r>
            <w:r>
              <w:t xml:space="preserve">и функциональных</w:t>
            </w:r>
            <w:r>
              <w:t xml:space="preserve"> исследований</w:t>
            </w:r>
            <w:r>
              <w:t xml:space="preserve"> и иных медицинских мероприятий </w:t>
            </w:r>
            <w:r>
              <w:t xml:space="preserve">с учетом современных методов профилактики, диагностики и лечения и по требованиям </w:t>
            </w:r>
            <w:r>
              <w:rPr>
                <w:iCs/>
              </w:rPr>
              <w:t xml:space="preserve">П</w:t>
            </w:r>
            <w:r>
              <w:rPr>
                <w:iCs/>
              </w:rPr>
              <w:t xml:space="preserve">оряд</w:t>
            </w:r>
            <w:r>
              <w:rPr>
                <w:iCs/>
              </w:rPr>
              <w:t xml:space="preserve">к</w:t>
            </w:r>
            <w:r>
              <w:rPr>
                <w:iCs/>
              </w:rPr>
              <w:t xml:space="preserve">а</w:t>
            </w:r>
            <w:r>
              <w:rPr>
                <w:iCs/>
              </w:rPr>
              <w:t xml:space="preserve"> № 201н</w:t>
            </w:r>
            <w:r>
              <w:t xml:space="preserve"> </w:t>
            </w:r>
            <w:r>
              <w:br/>
            </w:r>
            <w:r>
              <w:t xml:space="preserve">в условиях многопрофильной поли</w:t>
            </w:r>
            <w:r>
              <w:t xml:space="preserve">клини</w:t>
            </w:r>
            <w:r>
              <w:t xml:space="preserve">ки по месту нахождения </w:t>
            </w:r>
            <w:r>
              <w:t xml:space="preserve">Исполнителя</w:t>
            </w:r>
            <w:r>
              <w:t xml:space="preserve">: на терр</w:t>
            </w:r>
            <w:r>
              <w:t xml:space="preserve">итории </w:t>
            </w:r>
            <w:r>
              <w:rPr>
                <w:lang w:bidi="ru-RU"/>
              </w:rPr>
              <w:t xml:space="preserve">г</w:t>
            </w:r>
            <w:r>
              <w:rPr>
                <w:lang w:bidi="ru-RU"/>
              </w:rPr>
              <w:t xml:space="preserve">.</w:t>
            </w:r>
            <w:r>
              <w:rPr>
                <w:lang w:bidi="ru-RU"/>
              </w:rPr>
              <w:t xml:space="preserve"> Брянска</w:t>
            </w:r>
            <w:r>
              <w:rPr>
                <w:lang w:bidi="ru-RU"/>
              </w:rPr>
              <w:t xml:space="preserve">.</w:t>
            </w:r>
            <w:r>
              <w:rPr>
                <w:lang w:bidi="ru-RU"/>
              </w:rPr>
              <w:t xml:space="preserve"> </w:t>
            </w:r>
            <w:r>
              <w:t xml:space="preserve">При этом услуги оказываются Исполнителем по одному адресу на базе одного медицинского учреждения.</w:t>
            </w:r>
            <w:r>
              <w:t xml:space="preserve"> 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pStyle w:val="829"/>
              <w:ind w:firstLine="317"/>
              <w:jc w:val="both"/>
            </w:pPr>
            <w:r>
              <w:t xml:space="preserve">2</w:t>
            </w:r>
            <w:r>
              <w:t xml:space="preserve">. Наличие санитарно-эпидемиологического заключения соответствия помещений, где будет проводиться диспансеризация, требованиям, предъявляемым</w:t>
            </w:r>
            <w:r>
              <w:t xml:space="preserve"> </w:t>
            </w:r>
            <w:r>
              <w:t xml:space="preserve">для осуществления медицинской деятельности</w:t>
            </w:r>
            <w:r>
              <w:t xml:space="preserve"> </w:t>
            </w:r>
            <w:r>
              <w:t xml:space="preserve">и деятельности, связанной с источниками ионизирующего излучения.</w:t>
            </w:r>
            <w:r/>
          </w:p>
          <w:p>
            <w:pPr>
              <w:pStyle w:val="829"/>
              <w:ind w:firstLine="317"/>
              <w:jc w:val="both"/>
              <w:rPr>
                <w:lang w:eastAsia="zh-CN"/>
              </w:rPr>
            </w:pPr>
            <w:r>
              <w:t xml:space="preserve">3</w:t>
            </w:r>
            <w:r>
              <w:t xml:space="preserve">. Объем и качество оказанных услуг должны соответствовать</w:t>
            </w:r>
            <w:r>
              <w:t xml:space="preserve"> отраслевым стандартам, настоящим требованиям, действующим нормативным актам </w:t>
            </w:r>
            <w:r>
              <w:br/>
            </w:r>
            <w:r>
              <w:t xml:space="preserve">и ведомственным приказам, ре</w:t>
            </w:r>
            <w:r>
              <w:t xml:space="preserve">гламентирующим порядок, объем и качество проведения диспансеризации гражданских служащих и законо</w:t>
            </w:r>
            <w:r>
              <w:t xml:space="preserve">дательству Российской Федерации.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</w:tc>
      </w:tr>
      <w:tr>
        <w:tblPrEx/>
        <w:trPr>
          <w:trHeight w:val="55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7.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rPr>
                <w:b/>
                <w:i/>
              </w:rPr>
            </w:pPr>
            <w:r>
              <w:rPr>
                <w:b/>
                <w:i/>
              </w:rPr>
              <w:t xml:space="preserve">Требования к результату проведения диспансеризации 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iCs/>
              </w:rPr>
            </w:pPr>
            <w:r>
              <w:t xml:space="preserve">Оформление результатов диспансеризации осуществляется в соответствии с требованиями </w:t>
            </w:r>
            <w:r>
              <w:rPr>
                <w:iCs/>
              </w:rPr>
              <w:t xml:space="preserve">П</w:t>
            </w:r>
            <w:r>
              <w:rPr>
                <w:iCs/>
              </w:rPr>
              <w:t xml:space="preserve">орядка</w:t>
            </w:r>
            <w:r>
              <w:rPr>
                <w:iCs/>
              </w:rPr>
              <w:t xml:space="preserve"> № 201н</w:t>
            </w:r>
            <w:r>
              <w:rPr>
                <w:iCs/>
              </w:rPr>
              <w:t xml:space="preserve">.</w:t>
            </w:r>
            <w:r>
              <w:rPr>
                <w:iCs/>
              </w:rPr>
            </w:r>
            <w:r>
              <w:rPr>
                <w:iCs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В случае выявления у гражданского служащего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процессе диспансеризации медицинских показаний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к проведению осмотров врачами-специалистами, медицинских исследований и мероприятий, не входящих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объем диспансеризации, предусмотренный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"https://login.consultant.ru/link/?req=doc&amp;base=LAW&amp;n=505677&amp;dst=100028&amp;field=134&amp;date=02.03.2026"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3"/>
                <w:color w:val="000000"/>
                <w:u w:val="none"/>
                <w:lang w:eastAsia="zh-CN"/>
              </w:rPr>
              <w:t xml:space="preserve">пунктом 7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iCs/>
                <w:color w:val="000000"/>
                <w:lang w:eastAsia="zh-CN"/>
              </w:rPr>
              <w:t xml:space="preserve">Порядка № 201н</w:t>
            </w:r>
            <w:r>
              <w:rPr>
                <w:color w:val="000000"/>
                <w:lang w:eastAsia="zh-CN"/>
              </w:rPr>
              <w:t xml:space="preserve">, он направляется вне рамок диспансеризации для получения необходимой им медицинской помощи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соответствии с положением об организации оказания медицинской помощи, в соответствии с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"https://login.consultant.ru/link/?req=doc&amp;base=LAW&amp;n=141711&amp;dst=100003&amp;field=134&amp;date=02.03.2026"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3"/>
                <w:color w:val="000000"/>
                <w:u w:val="none"/>
                <w:lang w:eastAsia="zh-CN"/>
              </w:rPr>
              <w:t xml:space="preserve">порядками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оказания медицинской помощи, на основе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"https://login.consultant.ru/link/?req=doc&amp;base=LAW&amp;n=519392&amp;date=02.03.2026"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3"/>
                <w:color w:val="000000"/>
                <w:u w:val="none"/>
                <w:lang w:eastAsia="zh-CN"/>
              </w:rPr>
              <w:t xml:space="preserve">клинических рекомендаций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и с учетом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 HYPERLINK "https://login.consultant.ru/link/?req=doc&amp;base=LAW&amp;n=141711&amp;dst=100005&amp;field=134&amp;date=02.03.2026"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3"/>
                <w:color w:val="000000"/>
                <w:u w:val="none"/>
                <w:lang w:eastAsia="zh-CN"/>
              </w:rPr>
              <w:t xml:space="preserve">стандартов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медицинской помощи в медицинские организации государственной и муниципальной систем здравоохранения (часть 1 статьи 37 Федерального закона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от 21.11.2011 № 323-ФЗ «Об основах охраны здоровья граждан в Российской Федерации» (далее – Закон № 323-ФЗ).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bCs/>
                <w:spacing w:val="-5"/>
                <w:shd w:val="clear" w:color="auto" w:fill="fbfbfb"/>
              </w:rPr>
            </w:pPr>
            <w:r>
              <w:rPr>
                <w:bCs/>
                <w:spacing w:val="-5"/>
                <w:shd w:val="clear" w:color="auto" w:fill="fbfbfb"/>
              </w:rPr>
              <w:t xml:space="preserve">Дополнительные консультации, дополнительные обследования и лечение в амбулаторно-поликлинических </w:t>
            </w:r>
            <w:r>
              <w:rPr>
                <w:bCs/>
                <w:spacing w:val="-5"/>
                <w:shd w:val="clear" w:color="auto" w:fill="fbfbfb"/>
              </w:rPr>
              <w:br/>
            </w:r>
            <w:r>
              <w:rPr>
                <w:bCs/>
                <w:spacing w:val="-5"/>
                <w:shd w:val="clear" w:color="auto" w:fill="fbfbfb"/>
              </w:rPr>
              <w:t xml:space="preserve">и стационарных условиях не входят в объем оказания услуг по диспансеризации.</w:t>
            </w:r>
            <w:r>
              <w:rPr>
                <w:bCs/>
                <w:spacing w:val="-5"/>
                <w:shd w:val="clear" w:color="auto" w:fill="fbfbfb"/>
              </w:rPr>
            </w:r>
            <w:r>
              <w:rPr>
                <w:bCs/>
                <w:spacing w:val="-5"/>
                <w:shd w:val="clear" w:color="auto" w:fill="fbfbfb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При проведении диспансеризации информация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о результатах диспансеризации и проводимых в рамках диспансеризации осмотров врачами-специалистами, лаб</w:t>
            </w:r>
            <w:r>
              <w:rPr>
                <w:color w:val="000000"/>
                <w:lang w:eastAsia="zh-CN"/>
              </w:rPr>
              <w:t xml:space="preserve">ораторных и функциональных исследований и иных медицинских мероприятий формируется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и предоставляется в единую государственную информационную </w:t>
            </w:r>
            <w:r>
              <w:rPr>
                <w:color w:val="000000"/>
                <w:lang w:eastAsia="zh-CN"/>
              </w:rPr>
              <w:t xml:space="preserve">систему в сфере здравоохранения</w:t>
            </w:r>
            <w:r>
              <w:rPr>
                <w:color w:val="000000"/>
                <w:lang w:eastAsia="zh-CN"/>
              </w:rPr>
              <w:t xml:space="preserve">, в том числе с целью обеспечения предоставления гражданам услуг </w:t>
            </w:r>
            <w:r>
              <w:rPr>
                <w:color w:val="000000"/>
                <w:lang w:eastAsia="zh-CN"/>
              </w:rPr>
              <w:br/>
            </w:r>
            <w:r>
              <w:rPr>
                <w:color w:val="000000"/>
                <w:lang w:eastAsia="zh-CN"/>
              </w:rPr>
              <w:t xml:space="preserve">в сфере здравоохранения в электронной форме посредством федеральной государственной информационной системы </w:t>
            </w:r>
            <w:r>
              <w:rPr>
                <w:color w:val="000000"/>
                <w:lang w:eastAsia="zh-CN"/>
              </w:rPr>
              <w:t xml:space="preserve">«</w:t>
            </w:r>
            <w:r>
              <w:rPr>
                <w:color w:val="000000"/>
                <w:lang w:eastAsia="zh-CN"/>
              </w:rPr>
              <w:t xml:space="preserve">Единый портал государственных и муниципальных услуг (функций)</w:t>
            </w:r>
            <w:r>
              <w:rPr>
                <w:color w:val="000000"/>
                <w:lang w:eastAsia="zh-CN"/>
              </w:rPr>
              <w:t xml:space="preserve">»</w:t>
            </w:r>
            <w:r>
              <w:rPr>
                <w:color w:val="000000"/>
                <w:lang w:eastAsia="zh-CN"/>
              </w:rPr>
              <w:t xml:space="preserve">, и иных информационных систем, </w:t>
            </w:r>
            <w:r>
              <w:rPr>
                <w:color w:val="000000"/>
                <w:lang w:eastAsia="zh-CN"/>
              </w:rPr>
              <w:t xml:space="preserve">предусмотренных </w:t>
            </w:r>
            <w:r>
              <w:rPr>
                <w:color w:val="000000"/>
                <w:lang w:eastAsia="zh-CN"/>
              </w:rPr>
              <w:fldChar w:fldCharType="begin"/>
            </w:r>
            <w:r>
              <w:rPr>
                <w:color w:val="000000"/>
                <w:lang w:eastAsia="zh-CN"/>
              </w:rPr>
              <w:instrText xml:space="preserve">HYPERLINK https://login.consultant.ru/link/?req=doc&amp;base=LAW&amp;n=510750&amp;dst=249 </w:instrText>
            </w:r>
            <w:r>
              <w:rPr>
                <w:color w:val="000000"/>
                <w:lang w:eastAsia="zh-CN"/>
              </w:rPr>
              <w:fldChar w:fldCharType="separate"/>
            </w:r>
            <w:r>
              <w:rPr>
                <w:rStyle w:val="1063"/>
                <w:color w:val="000000"/>
                <w:u w:val="none"/>
                <w:lang w:eastAsia="zh-CN"/>
              </w:rPr>
              <w:t xml:space="preserve">частью 5 статьи 91</w:t>
            </w:r>
            <w:r>
              <w:rPr>
                <w:color w:val="000000"/>
                <w:lang w:eastAsia="zh-CN"/>
              </w:rPr>
              <w:fldChar w:fldCharType="end"/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color w:val="000000"/>
                <w:lang w:eastAsia="zh-CN"/>
              </w:rPr>
              <w:t xml:space="preserve">Закон</w:t>
            </w:r>
            <w:r>
              <w:rPr>
                <w:color w:val="000000"/>
                <w:lang w:eastAsia="zh-CN"/>
              </w:rPr>
              <w:t xml:space="preserve">а</w:t>
            </w:r>
            <w:r>
              <w:rPr>
                <w:color w:val="000000"/>
                <w:lang w:eastAsia="zh-CN"/>
              </w:rPr>
              <w:t xml:space="preserve"> № 323-ФЗ</w:t>
            </w:r>
            <w:r>
              <w:rPr>
                <w:color w:val="000000"/>
                <w:lang w:eastAsia="zh-CN"/>
              </w:rPr>
              <w:t xml:space="preserve">.</w:t>
            </w:r>
            <w:r>
              <w:rPr>
                <w:color w:val="000000"/>
                <w:lang w:eastAsia="zh-CN"/>
              </w:rPr>
              <w:t xml:space="preserve"> Указанное требование </w:t>
            </w:r>
            <w:r>
              <w:rPr>
                <w:color w:val="000000"/>
                <w:lang w:eastAsia="zh-CN"/>
              </w:rPr>
              <w:t xml:space="preserve">не </w:t>
            </w:r>
            <w:r>
              <w:rPr>
                <w:color w:val="000000"/>
                <w:lang w:eastAsia="zh-CN"/>
              </w:rPr>
              <w:t xml:space="preserve">распространяе</w:t>
            </w:r>
            <w:r>
              <w:rPr>
                <w:color w:val="000000"/>
                <w:lang w:eastAsia="zh-CN"/>
              </w:rPr>
              <w:t xml:space="preserve">тся на медицинские организации, </w:t>
            </w:r>
            <w:r>
              <w:rPr>
                <w:color w:val="000000"/>
                <w:lang w:eastAsia="zh-CN"/>
              </w:rPr>
              <w:t xml:space="preserve">подведомственны</w:t>
            </w:r>
            <w:r>
              <w:rPr>
                <w:color w:val="000000"/>
                <w:lang w:eastAsia="zh-CN"/>
              </w:rPr>
              <w:t xml:space="preserve">х федеральным органам исполнительной власти, в которых федеральными законами предусмотрена военная служба или приравненная к ней служба, а также медицинских организаций, подведомственных федеральным органам исполнительной власти, руководство деятельностью </w:t>
            </w:r>
            <w:r>
              <w:rPr>
                <w:color w:val="000000"/>
                <w:lang w:eastAsia="zh-CN"/>
              </w:rPr>
              <w:t xml:space="preserve">которых осуществляет Президент Российской Федерации.</w:t>
            </w:r>
            <w:r>
              <w:rPr>
                <w:color w:val="000000"/>
                <w:lang w:eastAsia="zh-CN"/>
              </w:rPr>
            </w:r>
            <w:r>
              <w:rPr>
                <w:color w:val="000000"/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По </w:t>
            </w:r>
            <w:r>
              <w:rPr>
                <w:lang w:eastAsia="zh-CN"/>
              </w:rPr>
              <w:t xml:space="preserve">результатам</w:t>
            </w:r>
            <w:r>
              <w:rPr>
                <w:lang w:eastAsia="zh-CN"/>
              </w:rPr>
              <w:t xml:space="preserve"> прохождения диспансеризации </w:t>
            </w:r>
            <w:r>
              <w:rPr>
                <w:iCs/>
                <w:lang w:eastAsia="zh-CN"/>
              </w:rPr>
              <w:t xml:space="preserve">гражданских</w:t>
            </w:r>
            <w:r>
              <w:rPr>
                <w:lang w:eastAsia="zh-CN"/>
              </w:rPr>
              <w:t xml:space="preserve"> служащих Заказчика Исполнитель оформляет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на каждого гражданского служащего </w:t>
            </w:r>
            <w:r>
              <w:rPr>
                <w:bCs/>
                <w:lang w:eastAsia="zh-CN"/>
              </w:rPr>
              <w:t xml:space="preserve">Заключение медицинской организации о наличии (отсутствии) заболевания, препятствующего поступлению </w:t>
            </w:r>
            <w:r>
              <w:rPr>
                <w:bCs/>
                <w:lang w:eastAsia="zh-CN"/>
              </w:rPr>
              <w:br/>
            </w:r>
            <w:r>
              <w:rPr>
                <w:bCs/>
                <w:lang w:eastAsia="zh-CN"/>
              </w:rPr>
              <w:t xml:space="preserve">на государственную гражданскую службу Российской Федерации и муниципальную службу или ее прохождению (учетная форма № 001-ГС/у, утвержденная приказом </w:t>
            </w:r>
            <w:r>
              <w:rPr>
                <w:bCs/>
                <w:lang w:eastAsia="zh-CN"/>
              </w:rPr>
              <w:t xml:space="preserve">Министерства здравоохранения Российской Федерации</w:t>
            </w:r>
            <w:r>
              <w:rPr>
                <w:bCs/>
                <w:lang w:eastAsia="zh-CN"/>
              </w:rPr>
              <w:t xml:space="preserve"> </w:t>
            </w:r>
            <w:r>
              <w:rPr>
                <w:bCs/>
                <w:lang w:eastAsia="zh-CN"/>
              </w:rPr>
              <w:br/>
            </w:r>
            <w:r>
              <w:rPr>
                <w:bCs/>
                <w:lang w:eastAsia="zh-CN"/>
              </w:rPr>
              <w:t xml:space="preserve">от 14.04.2025 № 201н) (далее – Заключение) </w:t>
            </w:r>
            <w:r>
              <w:rPr>
                <w:lang w:eastAsia="zh-CN"/>
              </w:rPr>
              <w:t xml:space="preserve">и </w:t>
            </w:r>
            <w:r>
              <w:rPr>
                <w:b/>
                <w:lang w:eastAsia="zh-CN"/>
              </w:rPr>
              <w:t xml:space="preserve">не </w:t>
            </w:r>
            <w:r>
              <w:rPr>
                <w:b/>
                <w:lang w:eastAsia="zh-CN"/>
              </w:rPr>
              <w:t xml:space="preserve">позднее </w:t>
            </w:r>
            <w:r>
              <w:rPr>
                <w:b/>
                <w:lang w:eastAsia="zh-CN"/>
              </w:rPr>
              <w:t xml:space="preserve">13</w:t>
            </w:r>
            <w:r>
              <w:rPr>
                <w:b/>
                <w:lang w:eastAsia="zh-CN"/>
              </w:rPr>
              <w:t xml:space="preserve">.</w:t>
            </w:r>
            <w:r>
              <w:rPr>
                <w:b/>
                <w:lang w:eastAsia="zh-CN"/>
              </w:rPr>
              <w:t xml:space="preserve">11</w:t>
            </w:r>
            <w:r>
              <w:rPr>
                <w:b/>
                <w:lang w:eastAsia="zh-CN"/>
              </w:rPr>
              <w:t xml:space="preserve">.</w:t>
            </w:r>
            <w:r>
              <w:rPr>
                <w:b/>
                <w:lang w:eastAsia="zh-CN"/>
              </w:rPr>
              <w:t xml:space="preserve">202</w:t>
            </w:r>
            <w:r>
              <w:rPr>
                <w:b/>
                <w:lang w:eastAsia="zh-CN"/>
              </w:rPr>
              <w:t xml:space="preserve">6</w:t>
            </w:r>
            <w:r>
              <w:rPr>
                <w:b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передает Заказчику</w:t>
            </w:r>
            <w:r>
              <w:rPr>
                <w:lang w:eastAsia="zh-CN"/>
              </w:rPr>
              <w:t xml:space="preserve"> на бумажном носителе</w:t>
            </w:r>
            <w:r>
              <w:rPr>
                <w:lang w:eastAsia="zh-CN"/>
              </w:rPr>
              <w:t xml:space="preserve">.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Также Исполнитель по просьбе гражданского служащего выдает ему </w:t>
            </w:r>
            <w:r>
              <w:rPr>
                <w:lang w:eastAsia="zh-CN"/>
              </w:rPr>
              <w:t xml:space="preserve">второй экземпляр </w:t>
            </w:r>
            <w:r>
              <w:rPr>
                <w:lang w:eastAsia="zh-CN"/>
              </w:rPr>
              <w:t xml:space="preserve">З</w:t>
            </w:r>
            <w:r>
              <w:rPr>
                <w:lang w:eastAsia="zh-CN"/>
              </w:rPr>
              <w:t xml:space="preserve">аключения</w:t>
            </w:r>
            <w:r>
              <w:rPr>
                <w:lang w:eastAsia="zh-CN"/>
              </w:rPr>
              <w:t xml:space="preserve"> на бумажном носителе и (или) в форме электронного документа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в соответствии с пунктом 3 статьи 78 Закона № 323-ФЗ.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В случае, если гражданскому служащему по результатам диспансеризации выдано заключение о наличии у него заболевания, препятствующего прохождению государственной гражданской службы Российской Федерации, Исполнитель направляет его копию Заказчику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в 10-дневный срок со дня его оформления.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lang w:eastAsia="zh-CN"/>
              </w:rPr>
            </w:pPr>
            <w:r>
              <w:rPr>
                <w:lang w:eastAsia="zh-CN"/>
              </w:rPr>
              <w:t xml:space="preserve">Если на Исполнителя не распространяется требование абзаца второго пункта 10 Порядка № 201н, он </w:t>
            </w:r>
            <w:r>
              <w:rPr>
                <w:lang w:eastAsia="zh-CN"/>
              </w:rPr>
              <w:t xml:space="preserve">обязан</w:t>
            </w:r>
            <w:r>
              <w:rPr>
                <w:lang w:eastAsia="zh-CN"/>
              </w:rPr>
              <w:t xml:space="preserve"> выдать гражданскому служащему Заказчика выписку из медицинской карты, содержащую сведения</w:t>
            </w:r>
            <w:r>
              <w:rPr>
                <w:lang w:eastAsia="zh-CN"/>
              </w:rPr>
              <w:t xml:space="preserve">:</w:t>
            </w:r>
            <w:r>
              <w:rPr>
                <w:lang w:eastAsia="zh-CN"/>
              </w:rPr>
              <w:t xml:space="preserve"> о результатах осмотров врачами-специалистами, проведенных в рамках диспансеризации</w:t>
            </w:r>
            <w:r>
              <w:rPr>
                <w:lang w:eastAsia="zh-CN"/>
              </w:rPr>
              <w:t xml:space="preserve">;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группу состояния здоровья</w:t>
            </w:r>
            <w:r>
              <w:rPr>
                <w:lang w:eastAsia="zh-CN"/>
              </w:rPr>
              <w:t xml:space="preserve">;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результаты лабораторных и функциональных исследований, выполненных в процессе диспансеризации</w:t>
            </w:r>
            <w:r>
              <w:rPr>
                <w:lang w:eastAsia="zh-CN"/>
              </w:rPr>
              <w:t xml:space="preserve">;</w:t>
            </w:r>
            <w:r>
              <w:rPr>
                <w:lang w:eastAsia="zh-CN"/>
              </w:rPr>
              <w:t xml:space="preserve"> снимки маммографии и флюорографии.</w:t>
            </w:r>
            <w:r>
              <w:rPr>
                <w:lang w:eastAsia="zh-CN"/>
              </w:rPr>
              <w:t xml:space="preserve">   </w:t>
            </w:r>
            <w:r>
              <w:rPr>
                <w:lang w:eastAsia="zh-CN"/>
              </w:rPr>
              <w:t xml:space="preserve">В случае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если </w:t>
            </w:r>
            <w:r>
              <w:rPr>
                <w:lang w:eastAsia="zh-CN"/>
              </w:rPr>
              <w:t xml:space="preserve">указанные документы не были выданы </w:t>
            </w:r>
            <w:r>
              <w:rPr>
                <w:lang w:eastAsia="zh-CN"/>
              </w:rPr>
              <w:t xml:space="preserve">гражданскому служащему непосредственно</w:t>
            </w:r>
            <w:r>
              <w:rPr>
                <w:lang w:eastAsia="zh-CN"/>
              </w:rPr>
              <w:t xml:space="preserve">,</w:t>
            </w:r>
            <w:r>
              <w:rPr>
                <w:lang w:eastAsia="zh-CN"/>
              </w:rPr>
              <w:t xml:space="preserve"> Исполнитель должен направить 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t xml:space="preserve">их Заказчику </w:t>
            </w:r>
            <w:r>
              <w:rPr>
                <w:b/>
                <w:lang w:eastAsia="zh-CN"/>
              </w:rPr>
              <w:t xml:space="preserve">не позднее</w:t>
            </w:r>
            <w:r>
              <w:rPr>
                <w:lang w:eastAsia="zh-CN"/>
              </w:rPr>
              <w:t xml:space="preserve"> </w:t>
            </w:r>
            <w:r>
              <w:rPr>
                <w:b/>
                <w:lang w:eastAsia="zh-CN"/>
              </w:rPr>
              <w:t xml:space="preserve">13</w:t>
            </w:r>
            <w:r>
              <w:rPr>
                <w:b/>
                <w:lang w:eastAsia="zh-CN"/>
              </w:rPr>
              <w:t xml:space="preserve">.</w:t>
            </w:r>
            <w:r>
              <w:rPr>
                <w:b/>
                <w:lang w:eastAsia="zh-CN"/>
              </w:rPr>
              <w:t xml:space="preserve">11</w:t>
            </w:r>
            <w:r>
              <w:rPr>
                <w:b/>
                <w:lang w:eastAsia="zh-CN"/>
              </w:rPr>
              <w:t xml:space="preserve">.2026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в индивидуально запечатанных конвертах</w:t>
            </w:r>
            <w:r>
              <w:rPr>
                <w:lang w:eastAsia="zh-CN"/>
              </w:rPr>
              <w:t xml:space="preserve">, отдельно для каждого гражданского служащего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(с указанием на конверте фамилии, имени, отчества (при наличии), даты рождения)</w:t>
            </w:r>
            <w:r>
              <w:rPr>
                <w:lang w:eastAsia="zh-CN"/>
              </w:rPr>
              <w:t xml:space="preserve">.  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iCs/>
                <w:lang w:eastAsia="zh-CN"/>
              </w:rPr>
            </w:pPr>
            <w:r>
              <w:rPr>
                <w:lang w:eastAsia="zh-CN"/>
              </w:rPr>
              <w:t xml:space="preserve">Кроме этого, Исполнитель</w:t>
            </w:r>
            <w:r>
              <w:rPr>
                <w:lang w:eastAsia="zh-CN"/>
              </w:rPr>
              <w:t xml:space="preserve"> по результатам диспансеризации </w:t>
            </w:r>
            <w:r>
              <w:rPr>
                <w:iCs/>
                <w:lang w:eastAsia="zh-CN"/>
              </w:rPr>
              <w:t xml:space="preserve">направляет Заказчику в письменном виде отчет о проведенной диспансеризации гражданских служащих Заказч</w:t>
            </w:r>
            <w:r>
              <w:rPr>
                <w:iCs/>
                <w:lang w:eastAsia="zh-CN"/>
              </w:rPr>
              <w:t xml:space="preserve">ика, содержащий сведения об объеме оказанных Услуг в соответствии с Государственным контрактом, включая количество гражданских служащих, фактически прошедших диспансеризацию, их фамилию, имя, отчество и стоимость оказанных услуг в отношении каждого из них.</w:t>
            </w:r>
            <w:r>
              <w:rPr>
                <w:iCs/>
                <w:lang w:eastAsia="zh-CN"/>
              </w:rPr>
            </w:r>
            <w:r>
              <w:rPr>
                <w:iCs/>
                <w:lang w:eastAsia="zh-CN"/>
              </w:rPr>
            </w:r>
          </w:p>
          <w:p>
            <w:pPr>
              <w:pStyle w:val="829"/>
              <w:ind w:firstLine="459"/>
              <w:jc w:val="both"/>
              <w:tabs>
                <w:tab w:val="left" w:pos="720" w:leader="none"/>
              </w:tabs>
              <w:rPr>
                <w:bCs/>
                <w:lang w:eastAsia="zh-CN" w:bidi="ru-RU"/>
              </w:rPr>
            </w:pPr>
            <w:r>
              <w:rPr>
                <w:lang w:eastAsia="zh-CN" w:bidi="ru-RU"/>
              </w:rPr>
              <w:t xml:space="preserve">Место предоставления отчетной документации: по месту нахождения Заказчика силами Исполнителя (г. Брянск, </w:t>
            </w:r>
            <w:r>
              <w:t xml:space="preserve">пл. Карла Маркса, д. 2</w:t>
            </w:r>
            <w:r/>
            <w:r>
              <w:t xml:space="preserve">)</w:t>
            </w:r>
            <w:r>
              <w:rPr>
                <w:lang w:eastAsia="zh-CN" w:bidi="ru-RU"/>
              </w:rPr>
              <w:t xml:space="preserve">.</w:t>
            </w:r>
            <w:r>
              <w:rPr>
                <w:bCs/>
                <w:lang w:eastAsia="zh-CN" w:bidi="ru-RU"/>
              </w:rPr>
            </w:r>
            <w:r>
              <w:rPr>
                <w:bCs/>
                <w:lang w:eastAsia="zh-CN" w:bidi="ru-RU"/>
              </w:rPr>
            </w:r>
          </w:p>
        </w:tc>
      </w:tr>
      <w:tr>
        <w:tblPrEx/>
        <w:trPr>
          <w:trHeight w:val="3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8.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rPr>
                <w:i/>
              </w:rPr>
            </w:pPr>
            <w:r>
              <w:rPr>
                <w:b/>
                <w:bCs/>
                <w:i/>
              </w:rPr>
              <w:t xml:space="preserve">Требования безопасности при предоставлении услуги</w:t>
            </w:r>
            <w:r>
              <w:rPr>
                <w:i/>
              </w:rPr>
              <w:t xml:space="preserve"> 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829"/>
              <w:keepNext/>
              <w:widowControl w:val="off"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459"/>
              <w:jc w:val="both"/>
            </w:pPr>
            <w:r>
              <w:t xml:space="preserve">Исполнитель обязан</w:t>
            </w:r>
            <w:r>
              <w:t xml:space="preserve"> обеспечивать соответствие р</w:t>
            </w:r>
            <w:r>
              <w:t xml:space="preserve">езультатов услуг требованиям качества, безопасности жизни и здоровья, а также иным требованиям лицензирования, безопасности (санитарным нормам и правилам, государственным стандартам и т.п.), установленным действующим законодательством Российской Федерации </w:t>
            </w:r>
            <w:r>
              <w:br/>
            </w:r>
            <w:r>
              <w:t xml:space="preserve">и требованиям, установленным Порядком</w:t>
            </w:r>
            <w:r>
              <w:t xml:space="preserve"> № 201н</w:t>
            </w:r>
            <w:r>
              <w:t xml:space="preserve">.</w:t>
            </w:r>
            <w:r/>
          </w:p>
          <w:p>
            <w:pPr>
              <w:pStyle w:val="829"/>
              <w:ind w:firstLine="459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Оснащение и оборудование лечебно-диагностических отделений и кабинетов </w:t>
            </w:r>
            <w:r>
              <w:rPr>
                <w:lang w:eastAsia="zh-CN"/>
              </w:rPr>
              <w:t xml:space="preserve">Исполнителя </w:t>
            </w:r>
            <w:r>
              <w:rPr>
                <w:lang w:eastAsia="zh-CN"/>
              </w:rPr>
              <w:t xml:space="preserve">должно быть </w:t>
            </w:r>
            <w:r>
              <w:rPr>
                <w:lang w:eastAsia="zh-CN"/>
              </w:rPr>
              <w:t xml:space="preserve">достаточным для проведения осмотра врачами-специалистами с использованием лабораторных и функциональных исследований в объ</w:t>
            </w:r>
            <w:r>
              <w:rPr>
                <w:lang w:eastAsia="zh-CN"/>
              </w:rPr>
              <w:t xml:space="preserve">е</w:t>
            </w:r>
            <w:r>
              <w:rPr>
                <w:lang w:eastAsia="zh-CN"/>
              </w:rPr>
              <w:t xml:space="preserve">ме, предусмотренном Порядком № 201н.</w:t>
            </w:r>
            <w:r>
              <w:rPr>
                <w:lang w:eastAsia="zh-CN"/>
              </w:rPr>
            </w:r>
            <w:r>
              <w:rPr>
                <w:lang w:eastAsia="zh-CN"/>
              </w:rPr>
            </w:r>
          </w:p>
          <w:p>
            <w:pPr>
              <w:pStyle w:val="829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</w:t>
            </w:r>
            <w:r>
              <w:rPr>
                <w:lang w:eastAsia="en-US"/>
              </w:rPr>
              <w:t xml:space="preserve">оставляемые Исполнителем и Заказчиком друг другу техническая, финансовая, коммерческая и иная информация, персональные данные гражданских служащих Заказчика, связанные с предметом настоящей закупки и Государственного контракта, считаются конфиденциальными.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9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случае разглашения</w:t>
            </w:r>
            <w:r>
              <w:rPr>
                <w:lang w:eastAsia="en-US"/>
              </w:rPr>
              <w:t xml:space="preserve"> указанной информации и данных Исполнитель и Заказчик несут ответственность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в соответствии с действующим законодательством (кроме случаев, прямо предусмотренных законодательством Российской Федерации).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9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Персональные данные гражданских служащих Заказчика подлежат защите в соответствии с Федеральным законом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от 27</w:t>
            </w:r>
            <w:r>
              <w:rPr>
                <w:lang w:eastAsia="en-US"/>
              </w:rPr>
              <w:t xml:space="preserve">.07.</w:t>
            </w:r>
            <w:r>
              <w:rPr>
                <w:lang w:eastAsia="en-US"/>
              </w:rPr>
              <w:t xml:space="preserve">2006 № 152-ФЗ «О персональных данных».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9"/>
              <w:ind w:firstLine="459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Диспансеризация гражданских служащих проводится при наличии информированного добровольного согласия </w:t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на медицинское вмешательство, данного с соблюдением требований, установленных </w:t>
            </w:r>
            <w:r>
              <w:rPr>
                <w:color w:val="000000"/>
                <w:lang w:eastAsia="en-US"/>
              </w:rPr>
              <w:fldChar w:fldCharType="begin"/>
            </w:r>
            <w:r>
              <w:rPr>
                <w:color w:val="000000"/>
                <w:lang w:eastAsia="en-US"/>
              </w:rPr>
              <w:instrText xml:space="preserve">HYPERLINK "https://login.consultant.ru/link/?r</w:instrText>
            </w:r>
            <w:r>
              <w:rPr>
                <w:color w:val="000000"/>
                <w:lang w:eastAsia="en-US"/>
              </w:rPr>
              <w:instrText xml:space="preserve">eq=doc&amp;base=LAW&amp;n=495712&amp;date=09.07.2025&amp;dst=100252&amp;field=134" \o "Федеральный закон от 21.11.2011 N 323-ФЗ (ред. от 28.12.2024) \"Об основах охраны здоровья граждан в Российской Федерации\" (с изм. и доп., вступ. в силу с 01.07.2025) {КонсультантПлюс}" \h</w:instrText>
            </w:r>
            <w:r>
              <w:rPr>
                <w:color w:val="000000"/>
                <w:lang w:eastAsia="en-US"/>
              </w:rPr>
              <w:fldChar w:fldCharType="separate"/>
            </w:r>
            <w:r>
              <w:rPr>
                <w:rStyle w:val="1063"/>
                <w:color w:val="000000"/>
                <w:u w:val="none"/>
                <w:lang w:eastAsia="en-US"/>
              </w:rPr>
              <w:t xml:space="preserve">статьей 20</w:t>
            </w:r>
            <w:r>
              <w:rPr>
                <w:color w:val="000000"/>
                <w:lang w:eastAsia="en-US"/>
              </w:rPr>
              <w:fldChar w:fldCharType="end"/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Закона № 323-ФЗ</w:t>
            </w:r>
            <w:r>
              <w:rPr>
                <w:lang w:eastAsia="en-US"/>
              </w:rPr>
              <w:t xml:space="preserve">, гражданского служащего, в служебное время в течение календарного года в сроки, установленные графиком прохождения диспансеризации гражданскими служащими, утвержденным Заказчиком</w:t>
            </w:r>
            <w:r>
              <w:rPr>
                <w:lang w:eastAsia="en-US"/>
              </w:rPr>
              <w:t xml:space="preserve">.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  <w:p>
            <w:pPr>
              <w:pStyle w:val="829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>
          <w:trHeight w:val="1561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29"/>
              <w:jc w:val="center"/>
              <w:rPr>
                <w:b/>
                <w:i/>
              </w:rPr>
            </w:pPr>
            <w:r>
              <w:rPr>
                <w:b/>
                <w:bCs/>
              </w:rPr>
              <w:t xml:space="preserve">9.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keepNext/>
              <w:widowControl w:val="off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  <w:p>
            <w:pPr>
              <w:pStyle w:val="829"/>
              <w:keepNext/>
              <w:widowControl w:val="off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Срок и (или) объем предоставления гарантий качества услуги</w:t>
            </w: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317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317"/>
              <w:jc w:val="both"/>
            </w:pPr>
            <w:r>
              <w:rPr>
                <w:bCs/>
              </w:rPr>
              <w:t xml:space="preserve">Требования к сроку и (или) объему предоставления гарантий качества услуг</w:t>
            </w:r>
            <w:r>
              <w:t xml:space="preserve">: определяются существующими</w:t>
            </w:r>
            <w:r>
              <w:t xml:space="preserve"> </w:t>
            </w:r>
            <w:r>
              <w:br/>
            </w:r>
            <w:r>
              <w:t xml:space="preserve">в Российской Федерации отраслевыми стандартами диагностики и лечения, требованиями настоящего Технического задания и Государственного контракта.</w:t>
            </w:r>
            <w:r/>
          </w:p>
          <w:p>
            <w:pPr>
              <w:pStyle w:val="829"/>
              <w:ind w:firstLine="0"/>
              <w:jc w:val="both"/>
            </w:pPr>
            <w:r/>
            <w:r/>
          </w:p>
        </w:tc>
      </w:tr>
      <w:tr>
        <w:tblPrEx/>
        <w:trPr>
          <w:trHeight w:val="328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  <w:p>
            <w:pPr>
              <w:pStyle w:val="829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10. </w:t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29"/>
              <w:keepNext/>
              <w:widowControl w:val="off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  <w:p>
            <w:pPr>
              <w:pStyle w:val="829"/>
              <w:keepNext/>
              <w:widowControl w:val="off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Особые требования</w:t>
            </w:r>
            <w:r>
              <w:rPr>
                <w:b/>
                <w:bCs/>
                <w:i/>
              </w:rPr>
            </w:r>
            <w:r>
              <w:rPr>
                <w:b/>
                <w:bCs/>
                <w:i/>
              </w:rPr>
            </w:r>
          </w:p>
        </w:tc>
        <w:tc>
          <w:tcPr>
            <w:tcW w:w="6662" w:type="dxa"/>
            <w:vAlign w:val="top"/>
            <w:textDirection w:val="lrTb"/>
            <w:noWrap w:val="false"/>
          </w:tcPr>
          <w:p>
            <w:pPr>
              <w:pStyle w:val="829"/>
              <w:ind w:firstLine="317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317"/>
              <w:jc w:val="both"/>
              <w:rPr>
                <w:bCs/>
              </w:rPr>
            </w:pPr>
            <w:r>
              <w:rPr>
                <w:bCs/>
              </w:rPr>
              <w:t xml:space="preserve">До начала диспансеризации Исполнитель предоставляет Заказчику контейнеры для забора биоматериала (анализ мочи и кала) в количестве, предусмотренном графиком прохождения диспансеризации (исходя из числа гражданских </w:t>
            </w:r>
            <w:r>
              <w:rPr>
                <w:bCs/>
              </w:rPr>
              <w:t xml:space="preserve">служащих).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29"/>
              <w:ind w:firstLine="317"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829"/>
        <w:jc w:val="both"/>
        <w:spacing w:after="60" w:line="259" w:lineRule="auto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spacing w:after="60" w:line="259" w:lineRule="auto"/>
        <w:rPr>
          <w:b/>
          <w:bCs/>
          <w:highlight w:val="none"/>
          <w14:ligatures w14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Характеристики оказываемой услуги</w:t>
      </w:r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p>
      <w:pPr>
        <w:jc w:val="both"/>
        <w:spacing w:after="60" w:line="259" w:lineRule="auto"/>
        <w:rPr>
          <w:b/>
          <w:bCs/>
          <w:highlight w:val="none"/>
          <w14:ligatures w14:val="none"/>
        </w:rPr>
      </w:pPr>
      <w:r>
        <w:rPr>
          <w:b/>
          <w:highlight w:val="none"/>
        </w:rPr>
        <w:t xml:space="preserve">Код по ОКПД2: </w:t>
      </w:r>
      <w:r>
        <w:rPr>
          <w:b w:val="0"/>
          <w:bCs w:val="0"/>
          <w:highlight w:val="none"/>
        </w:rPr>
        <w:t xml:space="preserve">86.21.10.120</w:t>
      </w:r>
      <w:r>
        <w:rPr>
          <w:b w:val="0"/>
          <w:bCs w:val="0"/>
          <w:highlight w:val="none"/>
        </w:rPr>
        <w:t xml:space="preserve"> </w:t>
      </w:r>
      <w:hyperlink r:id="rId17" w:tooltip="https://calculator.consultant.ru/okpd2/code?id=86.21.10.120" w:history="1">
        <w:r>
          <w:rPr>
            <w:b w:val="0"/>
            <w:bCs w:val="0"/>
            <w:highlight w:val="none"/>
          </w:rPr>
          <w:t xml:space="preserve">«Услуги, предоставляемые врачами общей врачебной практики, по проведению диагностических процедур и постановке диагноза»</w:t>
        </w:r>
      </w:hyperlink>
      <w:r>
        <w:rPr>
          <w:b/>
          <w:bCs/>
          <w:highlight w:val="none"/>
          <w14:ligatures w14:val="none"/>
        </w:rPr>
      </w:r>
      <w:r>
        <w:rPr>
          <w:b/>
          <w:bCs/>
          <w:highlight w:val="none"/>
          <w14:ligatures w14:val="none"/>
        </w:rPr>
      </w:r>
    </w:p>
    <w:tbl>
      <w:tblPr>
        <w:tblW w:w="10915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1701"/>
        <w:gridCol w:w="2268"/>
        <w:gridCol w:w="992"/>
        <w:gridCol w:w="712"/>
        <w:gridCol w:w="1010"/>
        <w:gridCol w:w="1255"/>
      </w:tblGrid>
      <w:tr>
        <w:tblPrEx/>
        <w:trPr>
          <w:trHeight w:val="236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КТРУ 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Наименование </w:t>
            </w:r>
            <w:r>
              <w:rPr>
                <w:sz w:val="20"/>
                <w:szCs w:val="20"/>
                <w:highlight w:val="none"/>
              </w:rPr>
              <w:t xml:space="preserve">услуг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29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29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29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29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  <w:p>
            <w:pPr>
              <w:pStyle w:val="829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W w:w="4961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Характеристики </w:t>
            </w:r>
            <w:r>
              <w:rPr>
                <w:sz w:val="20"/>
                <w:szCs w:val="20"/>
                <w:highlight w:val="none"/>
              </w:rPr>
              <w:t xml:space="preserve">услуг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Инструкция по заполнению характеристик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1053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Наименование характеристики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Значение характеристики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изм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473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86.21.10.120-00000004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Государственные</w:t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-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1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Человек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472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Женщины после 40 лет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01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gridSpan w:val="2"/>
            <w:tcW w:w="3969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jc w:val="center"/>
              <w:spacing w:after="172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b/>
                <w:color w:val="000000"/>
                <w:sz w:val="20"/>
                <w:szCs w:val="20"/>
                <w:highlight w:val="none"/>
              </w:rPr>
              <w:t xml:space="preserve">Дополнительная характеристика*</w:t>
            </w:r>
            <w:r>
              <w:rPr>
                <w:b/>
                <w:color w:val="000000"/>
                <w:sz w:val="20"/>
                <w:szCs w:val="20"/>
                <w:highlight w:val="none"/>
              </w:rPr>
            </w:r>
            <w:r>
              <w:rPr>
                <w:b/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601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sz w:val="20"/>
                <w:szCs w:val="20"/>
                <w:highlight w:val="none"/>
              </w:rPr>
              <w:t xml:space="preserve">Уточняющая половозрастная группа служа</w:t>
            </w:r>
            <w:r>
              <w:rPr>
                <w:sz w:val="20"/>
                <w:szCs w:val="20"/>
                <w:highlight w:val="none"/>
              </w:rPr>
              <w:t xml:space="preserve">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Женщины 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о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т 45 лет и старше без маммографи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и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1039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86.21.10.120-00000003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Государственные</w:t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-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5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Человек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044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Женщины до 40 лет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86.21.10.120-00000004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Государственные</w:t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-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2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Женщины после 40 лет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gridSpan w:val="2"/>
            <w:tcW w:w="3969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jc w:val="center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b/>
                <w:color w:val="000000"/>
                <w:sz w:val="20"/>
                <w:szCs w:val="20"/>
                <w:highlight w:val="none"/>
              </w:rPr>
              <w:t xml:space="preserve">Дополнительная характеристика*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</w:r>
          </w:p>
        </w:tc>
        <w:tc>
          <w:tcPr>
            <w:tcW w:w="1701" w:type="dxa"/>
            <w:vAlign w:val="top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sz w:val="20"/>
                <w:szCs w:val="20"/>
                <w:highlight w:val="none"/>
              </w:rPr>
              <w:t xml:space="preserve">Уточняющая половозрастная группа служа</w:t>
            </w:r>
            <w:r>
              <w:rPr>
                <w:sz w:val="20"/>
                <w:szCs w:val="20"/>
                <w:highlight w:val="none"/>
              </w:rPr>
              <w:t xml:space="preserve">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Женщины после 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40 до 45 лет с маммографие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й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  <w:r>
              <w:rPr>
                <w:sz w:val="20"/>
                <w:szCs w:val="20"/>
                <w:lang w:eastAsia="zh-CN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86.21.10.120-00000004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Услуга по проведению диспансеризации государственных гражданских и муниципальных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Категория служащих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Государственные</w:t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99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-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712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3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010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 xml:space="preserve">Человек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  <w:tc>
          <w:tcPr>
            <w:tcW w:w="1255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  <w:lang w:eastAsia="zh-CN"/>
              </w:rPr>
              <w:t xml:space="preserve">Значение характеристики не может изменяться участником закупки</w:t>
            </w:r>
            <w:r>
              <w:rPr>
                <w:sz w:val="20"/>
                <w:szCs w:val="20"/>
                <w:highlight w:val="none"/>
              </w:rPr>
            </w:r>
            <w:r>
              <w:rPr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  <w:t xml:space="preserve">Половозрастная группа служащих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  <w:t xml:space="preserve">Женщины после 40 лет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3969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ind w:right="341"/>
              <w:jc w:val="center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b/>
                <w:color w:val="000000"/>
                <w:sz w:val="20"/>
                <w:szCs w:val="20"/>
                <w:highlight w:val="none"/>
              </w:rPr>
              <w:t xml:space="preserve">Дополнительная характеристика*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95"/>
        </w:trPr>
        <w:tc>
          <w:tcPr>
            <w:tcW w:w="127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spacing w:after="172"/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  <w:lang w:eastAsia="zh-CN"/>
              </w:rPr>
            </w:r>
            <w:r>
              <w:rPr>
                <w:sz w:val="20"/>
                <w:szCs w:val="20"/>
                <w:highlight w:val="none"/>
              </w:rPr>
              <w:t xml:space="preserve">Уточняющая половозрастная группа служа</w:t>
            </w:r>
            <w:r>
              <w:rPr>
                <w:sz w:val="20"/>
                <w:szCs w:val="20"/>
                <w:highlight w:val="none"/>
              </w:rPr>
              <w:t xml:space="preserve">щих</w:t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000000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tcW w:w="2268" w:type="dxa"/>
            <w:vAlign w:val="top"/>
            <w:vMerge w:val="restart"/>
            <w:textDirection w:val="lrTb"/>
            <w:noWrap w:val="false"/>
          </w:tcPr>
          <w:p>
            <w:pPr>
              <w:pStyle w:val="829"/>
              <w:ind w:right="341"/>
              <w:spacing w:after="172"/>
              <w:rPr>
                <w:color w:val="000000"/>
                <w:sz w:val="20"/>
                <w:szCs w:val="20"/>
                <w:highlight w:val="none"/>
              </w:rPr>
            </w:pP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Женщины 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о</w:t>
            </w:r>
            <w:r>
              <w:rPr>
                <w:color w:val="000000"/>
                <w:sz w:val="20"/>
                <w:szCs w:val="20"/>
                <w:highlight w:val="none"/>
              </w:rPr>
              <w:t xml:space="preserve">т 45 лет и старше с маммографией</w:t>
            </w:r>
            <w:r>
              <w:rPr>
                <w:color w:val="000000"/>
                <w:sz w:val="20"/>
                <w:szCs w:val="20"/>
                <w:highlight w:val="none"/>
              </w:rPr>
            </w:r>
            <w:r>
              <w:rPr>
                <w:color w:val="000000"/>
                <w:sz w:val="20"/>
                <w:szCs w:val="20"/>
                <w:highlight w:val="none"/>
              </w:rPr>
            </w:r>
          </w:p>
        </w:tc>
        <w:tc>
          <w:tcP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1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01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5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jc w:val="both"/>
        <w:spacing w:after="60" w:line="259" w:lineRule="auto"/>
        <w:rPr>
          <w:b/>
          <w:bCs/>
          <w:highlight w:val="yellow"/>
        </w:rPr>
      </w:pPr>
      <w:r>
        <w:rPr>
          <w:b/>
          <w:bCs/>
          <w:highlight w:val="yellow"/>
        </w:rPr>
      </w:r>
      <w:r>
        <w:rPr>
          <w:b/>
          <w:bCs/>
          <w:highlight w:val="yellow"/>
        </w:rPr>
      </w:r>
      <w:r>
        <w:rPr>
          <w:b/>
          <w:bCs/>
          <w:highlight w:val="yellow"/>
        </w:rPr>
      </w:r>
    </w:p>
    <w:p>
      <w:pPr>
        <w:pStyle w:val="829"/>
        <w:jc w:val="both"/>
        <w:spacing w:after="60" w:line="259" w:lineRule="auto"/>
        <w:rPr>
          <w:b/>
          <w:bCs/>
        </w:rPr>
      </w:pPr>
      <w:r>
        <w:rPr>
          <w:b/>
        </w:rPr>
      </w:r>
      <w:r>
        <w:rPr>
          <w:bCs/>
          <w:lang w:eastAsia="en-US"/>
        </w:rPr>
        <w:t xml:space="preserve">* </w:t>
      </w:r>
      <w:r>
        <w:rPr>
          <w:bCs/>
          <w:lang w:eastAsia="en-US"/>
        </w:rPr>
        <w:t xml:space="preserve">Характеристика необходима в целях соблюдения требований п. 7</w:t>
      </w:r>
      <w:r>
        <w:t xml:space="preserve"> </w:t>
      </w:r>
      <w:r>
        <w:rPr>
          <w:bCs/>
          <w:lang w:eastAsia="en-US"/>
        </w:rPr>
        <w:t xml:space="preserve">Приказ Минздрава России от 14.04.2025 N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</w:t>
      </w:r>
      <w:r>
        <w:rPr>
          <w:bCs/>
          <w:lang w:eastAsia="en-US"/>
        </w:rPr>
        <w:t xml:space="preserve">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организации".</w:t>
      </w:r>
      <w:r>
        <w:rPr>
          <w:b/>
          <w:bCs/>
        </w:rPr>
      </w:r>
      <w:r>
        <w:rPr>
          <w:b/>
          <w:bCs/>
        </w:rPr>
      </w:r>
    </w:p>
    <w:p>
      <w:pPr>
        <w:pStyle w:val="829"/>
        <w:jc w:val="both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829"/>
        <w:jc w:val="both"/>
        <w:rPr>
          <w:b/>
        </w:rPr>
      </w:pPr>
      <w:r>
        <w:rPr>
          <w:b/>
        </w:rPr>
        <w:t xml:space="preserve">Объем и перечень оказываемых услуг:</w:t>
      </w:r>
      <w:r>
        <w:rPr>
          <w:b/>
        </w:rPr>
      </w:r>
      <w:r>
        <w:rPr>
          <w:b/>
        </w:rPr>
      </w:r>
    </w:p>
    <w:tbl>
      <w:tblPr>
        <w:tblW w:w="11057" w:type="dxa"/>
        <w:tblInd w:w="-601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1134"/>
        <w:gridCol w:w="1134"/>
        <w:gridCol w:w="1134"/>
        <w:gridCol w:w="1134"/>
        <w:gridCol w:w="1134"/>
        <w:gridCol w:w="1136"/>
      </w:tblGrid>
      <w:tr>
        <w:tblPrEx/>
        <w:trPr>
          <w:trHeight w:val="23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Наименование услуги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sz w:val="16"/>
                <w:szCs w:val="16"/>
              </w:rPr>
              <w:t xml:space="preserve">. до 40 лет</w:t>
            </w:r>
            <w:r>
              <w:rPr>
                <w:b/>
                <w:sz w:val="16"/>
                <w:szCs w:val="16"/>
              </w:rPr>
              <w:t xml:space="preserve"> (чел</w:t>
            </w:r>
            <w:r>
              <w:rPr>
                <w:b/>
                <w:sz w:val="16"/>
                <w:szCs w:val="16"/>
              </w:rPr>
              <w:t xml:space="preserve">.)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после 40 до 45 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лет с маммог.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(чел.)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от 45 лет и старше без маммог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(чел.)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Жен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от 45 лет и старше с маммог</w:t>
            </w:r>
            <w:r>
              <w:rPr>
                <w:b/>
                <w:sz w:val="16"/>
                <w:szCs w:val="16"/>
              </w:rPr>
              <w:t xml:space="preserve">.</w:t>
            </w:r>
            <w:r>
              <w:rPr>
                <w:b/>
                <w:sz w:val="16"/>
                <w:szCs w:val="16"/>
              </w:rPr>
              <w:t xml:space="preserve"> (чел.)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Общее кол-во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1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2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3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  <w:highlight w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:highlight w:val="none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4</w:t>
            </w:r>
            <w:r>
              <w:rPr>
                <w:b/>
                <w:bCs/>
                <w:sz w:val="18"/>
                <w:szCs w:val="18"/>
                <w:highlight w:val="none"/>
                <w14:ligatures w14:val="none"/>
              </w:rPr>
            </w:r>
            <w:r>
              <w:rPr>
                <w:b/>
                <w:bCs/>
                <w:sz w:val="18"/>
                <w:szCs w:val="18"/>
                <w:highlight w:val="none"/>
                <w14:ligatures w14:val="none"/>
              </w:rPr>
            </w:r>
          </w:p>
          <w:p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5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6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  <w:bCs/>
                <w:sz w:val="18"/>
                <w:szCs w:val="18"/>
                <w14:ligatures w14:val="none"/>
              </w:rPr>
            </w:pPr>
            <w:r>
              <w:rPr>
                <w:b/>
                <w:bCs/>
                <w:sz w:val="18"/>
                <w:szCs w:val="18"/>
              </w:rPr>
              <w:t xml:space="preserve">7</w:t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  <w:r>
              <w:rPr>
                <w:b/>
                <w:bCs/>
                <w:sz w:val="18"/>
                <w:szCs w:val="18"/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Осмотр врачами-специалистами: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  <w:tr>
        <w:tblPrEx/>
        <w:trPr>
          <w:trHeight w:val="5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Врач-терапевт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11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Врач-невролог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Врач-хирург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Врач-офтальмолог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Врач-ото</w:t>
            </w:r>
            <w:r>
              <w:rPr>
                <w:sz w:val="18"/>
                <w:szCs w:val="18"/>
              </w:rPr>
              <w:t xml:space="preserve">риноларинголог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Врач-эндокринолог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Врач-психиатр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Врач-психиатр-нарколог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Врач-акушер-гинеколог (для женщин)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11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>
          <w:trHeight w:val="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Врач-уролог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(для мужчин)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-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-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-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2.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90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</w:r>
            <w:r>
              <w:rPr>
                <w:b/>
                <w:bCs/>
                <w:sz w:val="18"/>
                <w:szCs w:val="18"/>
                <w:highlight w:val="yellow"/>
              </w:rPr>
            </w:r>
            <w:r>
              <w:rPr>
                <w:b/>
                <w:bCs/>
                <w:sz w:val="18"/>
                <w:szCs w:val="18"/>
                <w:highlight w:val="yellow"/>
              </w:rPr>
            </w:r>
          </w:p>
          <w:p>
            <w:pPr>
              <w:pStyle w:val="829"/>
              <w:jc w:val="center"/>
              <w:rPr>
                <w:b/>
                <w:bCs/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18"/>
                <w:szCs w:val="18"/>
                <w:highlight w:val="white"/>
              </w:rPr>
              <w:t xml:space="preserve">Л</w:t>
            </w:r>
            <w:r>
              <w:rPr>
                <w:b/>
                <w:bCs/>
                <w:sz w:val="18"/>
                <w:szCs w:val="18"/>
                <w:highlight w:val="white"/>
              </w:rPr>
              <w:t xml:space="preserve">абораторн</w:t>
            </w:r>
            <w:r>
              <w:rPr>
                <w:b/>
                <w:bCs/>
                <w:sz w:val="18"/>
                <w:szCs w:val="18"/>
                <w:highlight w:val="white"/>
              </w:rPr>
              <w:t xml:space="preserve">ые и функциональные исследования и иные медицинские мероприятия:</w:t>
            </w:r>
            <w:r>
              <w:rPr>
                <w:b/>
                <w:bCs/>
                <w:sz w:val="18"/>
                <w:szCs w:val="18"/>
                <w:highlight w:val="white"/>
              </w:rPr>
            </w:r>
            <w:r>
              <w:rPr>
                <w:b/>
                <w:bCs/>
                <w:sz w:val="18"/>
                <w:szCs w:val="18"/>
                <w:highlight w:val="whit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(клинический) анализ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11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Общий (клинический) анализ мочи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холестерина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глюкозы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общего билирубина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общего белка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Определение активности амилазы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креатинина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мочевой кислоты в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холестерина липопротеидов низкой плотности сыворотки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уровня триглицеридов сыворотки крови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Электрокардиография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Флюорография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(1 раз в год)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Регистрация электрокардиограммы и расшифровка, описание и интерпретация электрокардиографических данных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vMerge w:val="continue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before="24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Исследование кала на скрытую кровь иммунохимическим методом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(для граждан в возрасте от 45 лет и старше)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1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3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4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before="24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</w:t>
            </w: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Онкомаркер специфический CA-125 (женщинам после 40 лет)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:lang w:val="en-US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sz w:val="18"/>
                <w:szCs w:val="18"/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3</w:t>
            </w:r>
            <w:r>
              <w:rPr>
                <w:sz w:val="18"/>
                <w:szCs w:val="18"/>
                <w:highlight w:val="yellow"/>
                <w14:ligatures w14:val="none"/>
              </w:rPr>
            </w:r>
            <w:r>
              <w:rPr>
                <w:sz w:val="18"/>
                <w:szCs w:val="18"/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:lang w:val="en-US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sz w:val="18"/>
                <w:szCs w:val="18"/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6</w:t>
            </w:r>
            <w:r>
              <w:rPr>
                <w:sz w:val="18"/>
                <w:szCs w:val="18"/>
                <w:highlight w:val="yellow"/>
                <w14:ligatures w14:val="none"/>
              </w:rPr>
            </w:r>
            <w:r>
              <w:rPr>
                <w:sz w:val="18"/>
                <w:szCs w:val="18"/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>
          <w:trHeight w:val="2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Онкомаркер специфический PSA (мужчинам после 40 лет)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Цитологическое исследование мазка из цервикального канала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left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none"/>
                <w14:ligatures w14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  <w:p>
            <w:pPr>
              <w:jc w:val="center"/>
              <w:rPr>
                <w:highlight w:val="yellow"/>
              </w:rPr>
            </w:pPr>
            <w:r>
              <w:rPr>
                <w:highlight w:val="none"/>
              </w:rPr>
              <w:t xml:space="preserve">1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3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white"/>
              </w:rPr>
              <w:t xml:space="preserve">1</w:t>
            </w:r>
            <w:r>
              <w:rPr>
                <w:highlight w:val="white"/>
              </w:rPr>
              <w:t xml:space="preserve">1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829"/>
              <w:jc w:val="center"/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2.19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center"/>
            <w:textDirection w:val="lrTb"/>
            <w:noWrap w:val="false"/>
          </w:tcPr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Маммография обеих молочных желез в двух проекциях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(для женщин в возрасте от 40 лет и старше, при первичном прохождении диспансеризации, далее 1 раз в 2 года)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white"/>
                <w14:ligatures w14:val="none"/>
              </w:rPr>
            </w:pPr>
            <w:r>
              <w:rPr>
                <w:highlight w:val="white"/>
                <w:lang w:val="en-US"/>
              </w:rPr>
              <w:t xml:space="preserve">-</w:t>
            </w:r>
            <w:r>
              <w:rPr>
                <w:highlight w:val="white"/>
                <w14:ligatures w14:val="none"/>
              </w:rPr>
            </w:r>
            <w:r>
              <w:rPr>
                <w:highlight w:val="white"/>
                <w14:ligatures w14:val="none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2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-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  <w:lang w:val="en-US"/>
              </w:rPr>
              <w:t xml:space="preserve">3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jc w:val="center"/>
              <w:rPr>
                <w:highlight w:val="yellow"/>
                <w14:ligatures w14:val="none"/>
              </w:rPr>
            </w:pPr>
            <w:r>
              <w:rPr>
                <w:highlight w:val="none"/>
              </w:rPr>
              <w:t xml:space="preserve">5</w:t>
            </w:r>
            <w:r>
              <w:rPr>
                <w:highlight w:val="yellow"/>
                <w14:ligatures w14:val="none"/>
              </w:rPr>
            </w:r>
            <w:r>
              <w:rPr>
                <w:highlight w:val="yellow"/>
                <w14:ligatures w14:val="none"/>
              </w:rPr>
            </w:r>
          </w:p>
        </w:tc>
      </w:tr>
      <w:tr>
        <w:tblPrEx/>
        <w:trPr>
          <w:trHeight w:val="293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5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sz w:val="22"/>
                <w:szCs w:val="22"/>
                <w:highlight w:val="none"/>
                <w14:ligatures w14:val="none"/>
              </w:rPr>
            </w:pPr>
            <w:r>
              <w:rPr>
                <w:sz w:val="22"/>
                <w:szCs w:val="22"/>
              </w:rPr>
              <w:t xml:space="preserve">Также всем </w:t>
            </w:r>
            <w:r>
              <w:rPr>
                <w:sz w:val="22"/>
                <w:szCs w:val="22"/>
                <w:lang w:eastAsia="en-US"/>
              </w:rPr>
              <w:t xml:space="preserve">гражданским служащим Заказчика проводят:</w:t>
            </w:r>
            <w:r>
              <w:rPr>
                <w:sz w:val="22"/>
                <w:szCs w:val="22"/>
                <w:highlight w:val="none"/>
                <w14:ligatures w14:val="none"/>
              </w:rPr>
            </w:r>
            <w:r>
              <w:rPr>
                <w:sz w:val="22"/>
                <w:szCs w:val="22"/>
                <w:highlight w:val="none"/>
                <w14:ligatures w14:val="none"/>
              </w:rPr>
            </w:r>
          </w:p>
          <w:p>
            <w:pPr>
              <w:pStyle w:val="1057"/>
              <w:numPr>
                <w:ilvl w:val="0"/>
                <w:numId w:val="34"/>
              </w:numPr>
              <w:jc w:val="both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  <w:highlight w:val="none"/>
                <w:lang w:eastAsia="en-US"/>
              </w:rPr>
              <w:t xml:space="preserve">измерение артериального давления на периферических артериях;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1057"/>
              <w:numPr>
                <w:ilvl w:val="0"/>
                <w:numId w:val="34"/>
              </w:numPr>
              <w:jc w:val="both"/>
              <w:rPr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врача;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1057"/>
              <w:numPr>
                <w:ilvl w:val="0"/>
                <w:numId w:val="34"/>
              </w:numPr>
              <w:jc w:val="both"/>
              <w:rPr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  <w:t xml:space="preserve">антропометрические исследования (измерение роста стоя, массы тела, окружности талии), расчет индекса массы тела;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pStyle w:val="1057"/>
              <w:numPr>
                <w:ilvl w:val="0"/>
                <w:numId w:val="34"/>
              </w:numPr>
              <w:jc w:val="both"/>
              <w:rPr>
                <w:sz w:val="22"/>
                <w:szCs w:val="22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2"/>
                <w:szCs w:val="22"/>
                <w:lang w:eastAsia="en-US"/>
              </w:rPr>
              <w:t xml:space="preserve">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40 лет, не имеющих заболеваний, связанных с атеросклерозом, сахарного диабета </w:t>
            </w:r>
            <w:r>
              <w:rPr>
                <w:sz w:val="22"/>
                <w:szCs w:val="22"/>
                <w:lang w:eastAsia="en-US"/>
              </w:rPr>
              <w:t xml:space="preserve">второго типа и хронического заболевания почек.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  <w:p>
            <w:pPr>
              <w:ind w:left="0" w:firstLine="0"/>
              <w:jc w:val="both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</w:tr>
    </w:tbl>
    <w:p>
      <w:pPr>
        <w:pStyle w:val="829"/>
        <w:ind w:left="0"/>
      </w:pPr>
      <w:r/>
      <w:r/>
    </w:p>
    <w:p>
      <w:pPr>
        <w:jc w:val="both"/>
        <w:widowControl w:val="off"/>
      </w:pPr>
      <w:r/>
      <w:r/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Исполнитель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rFonts w:ascii="Calibri" w:hAnsi="Calibri" w:eastAsia="Droid Sans Fallback" w:cs="Droid Sans Devanagari"/>
                <w:color w:val="000000"/>
                <w:sz w:val="22"/>
                <w:szCs w:val="22"/>
                <w:lang w:eastAsia="zh-CN" w:bidi="hi-IN"/>
              </w:rPr>
              <w:br/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руководителя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rFonts w:ascii="Arial" w:hAnsi="Arial"/>
                <w:color w:val="333333"/>
              </w:rPr>
            </w:pP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</w:p>
          <w:p>
            <w:pPr>
              <w:rPr>
                <w:rFonts w:ascii="Arial" w:hAnsi="Arial"/>
                <w:color w:val="333333"/>
              </w:rPr>
            </w:pP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right"/>
        <w:widowControl w:val="off"/>
        <w:outlineLvl w:val="1"/>
      </w:pPr>
      <w:r>
        <w:t xml:space="preserve">Приложение №2</w:t>
      </w:r>
      <w:r/>
    </w:p>
    <w:p>
      <w:pPr>
        <w:jc w:val="right"/>
        <w:widowControl w:val="off"/>
      </w:pPr>
      <w:r>
        <w:t xml:space="preserve">к государственному контракту</w:t>
      </w:r>
      <w:r/>
    </w:p>
    <w:p>
      <w:pPr>
        <w:jc w:val="right"/>
        <w:widowControl w:val="off"/>
      </w:pPr>
      <w:r>
        <w:t xml:space="preserve">№ ___________________________</w:t>
      </w:r>
      <w:r/>
    </w:p>
    <w:p>
      <w:pPr>
        <w:jc w:val="right"/>
        <w:widowControl w:val="off"/>
      </w:pPr>
      <w:r>
        <w:t xml:space="preserve"> от «____» _______________ 20__ г.</w:t>
      </w:r>
      <w:r/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pPr>
        <w:jc w:val="center"/>
        <w:widowControl w:val="off"/>
        <w:rPr>
          <w:highlight w:val="none"/>
        </w:rPr>
      </w:pPr>
      <w:r/>
      <w:bookmarkStart w:id="0" w:name="Par434"/>
      <w:r/>
      <w:bookmarkEnd w:id="0"/>
      <w:r>
        <w:t xml:space="preserve">СПЕЦИФИКАЦИЯ</w:t>
      </w:r>
      <w:r>
        <w:rPr>
          <w:vertAlign w:val="superscript"/>
        </w:rPr>
        <w:footnoteReference w:id="9"/>
      </w:r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widowControl w:val="off"/>
      </w:pPr>
      <w:r/>
      <w:r/>
    </w:p>
    <w:tbl>
      <w:tblPr>
        <w:tblStyle w:val="899"/>
        <w:tblW w:w="5000" w:type="pct"/>
        <w:jc w:val="center"/>
        <w:tblLook w:val="04A0" w:firstRow="1" w:lastRow="0" w:firstColumn="1" w:lastColumn="0" w:noHBand="0" w:noVBand="1"/>
      </w:tblPr>
      <w:tblGrid>
        <w:gridCol w:w="4233"/>
        <w:gridCol w:w="2553"/>
        <w:gridCol w:w="2097"/>
        <w:gridCol w:w="1396"/>
      </w:tblGrid>
      <w:tr>
        <w:tblPrEx/>
        <w:trPr>
          <w:jc w:val="center"/>
          <w:trHeight w:val="70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Вид услуги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Количество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Цена за единицу услуги в руб.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567" w:leader="none"/>
                <w:tab w:val="left" w:pos="851" w:leader="none"/>
              </w:tabs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Общая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 цена услуги в руб.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ind w:left="-15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женщины до 40 лет</w:t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5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ind w:left="-15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женщины после 40 до 45 лет (с маммографией)</w:t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  <w:r>
              <w:rPr>
                <w:rFonts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2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женщины после 45 лет (с маммографией)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3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tcW w:w="2059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Оказание медицинских услуг по прохождению диспансеризации федеральными государственными гражданскими служащими МТУ Росимущества в Калужской, Брянской и Смоленской областях/ 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  <w:t xml:space="preserve">женщины после 45 лет (без маммографии)</w:t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  <w:r>
              <w:rPr>
                <w:rFonts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tcW w:w="1242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  <w:t xml:space="preserve">1</w:t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val="en-US" w:eastAsia="ru-RU"/>
              </w:rPr>
            </w:r>
          </w:p>
        </w:tc>
        <w:tc>
          <w:tcPr>
            <w:tcW w:w="1020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W w:w="4321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  <w:tc>
          <w:tcPr>
            <w:tcW w:w="679" w:type="pct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="Arial Unicode MS" w:cs="Times New Roman"/>
                <w:sz w:val="24"/>
                <w:szCs w:val="24"/>
                <w:lang w:eastAsia="ru-RU"/>
              </w:rPr>
            </w:pP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  <w:r>
              <w:rPr>
                <w:rFonts w:eastAsia="Arial Unicode MS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line="317" w:lineRule="exact"/>
        <w:shd w:val="clear" w:color="auto" w:fill="ffffff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5159"/>
        <w:gridCol w:w="5046"/>
      </w:tblGrid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Исполнитель</w:t>
            </w:r>
            <w:r>
              <w:rPr>
                <w:b/>
                <w:bCs/>
              </w:rPr>
              <w:t xml:space="preserve">: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15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Руководитель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руководителя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5046" w:type="dxa"/>
            <w:textDirection w:val="lrTb"/>
            <w:noWrap w:val="false"/>
          </w:tcPr>
          <w:p>
            <w:pPr>
              <w:rPr>
                <w:rFonts w:ascii="Arial" w:hAnsi="Arial"/>
                <w:color w:val="333333"/>
              </w:rPr>
            </w:pP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  <w:r>
              <w:rPr>
                <w:rFonts w:ascii="Arial" w:hAnsi="Arial"/>
                <w:color w:val="333333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_______________/Ф.И.О.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м.п.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jc w:val="both"/>
        <w:spacing w:line="317" w:lineRule="exact"/>
        <w:shd w:val="clear" w:color="auto" w:fill="ffffff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  <w:r>
        <w:rPr>
          <w:b/>
          <w:sz w:val="22"/>
          <w:szCs w:val="22"/>
          <w:lang w:eastAsia="ar-SA"/>
        </w:rPr>
      </w:r>
    </w:p>
    <w:p>
      <w:pPr>
        <w:jc w:val="right"/>
        <w:spacing w:line="317" w:lineRule="exact"/>
        <w:shd w:val="clear" w:color="auto" w:fill="ffffff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  <w:r>
        <w:rPr>
          <w:sz w:val="22"/>
          <w:szCs w:val="22"/>
          <w:lang w:eastAsia="ar-SA"/>
        </w:rPr>
      </w:r>
    </w:p>
    <w:sectPr>
      <w:footnotePr/>
      <w:endnotePr/>
      <w:type w:val="nextPage"/>
      <w:pgSz w:w="11906" w:h="16838" w:orient="portrait"/>
      <w:pgMar w:top="567" w:right="567" w:bottom="567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Droid Sans Fallback">
    <w:panose1 w:val="020B0502000000000001"/>
  </w:font>
  <w:font w:name="Droid Sans Devanagari">
    <w:panose1 w:val="020B06060308040202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606020202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25"/>
      </w:pPr>
      <w:r>
        <w:rPr>
          <w:rStyle w:val="1027"/>
        </w:rPr>
        <w:footnoteRef/>
      </w:r>
      <w:r>
        <w:t xml:space="preserve"> Должность, фамилия, имя и отчество (последнее -при наличии) уполномоченного представителя Заказчика.</w:t>
      </w:r>
      <w:r/>
    </w:p>
  </w:footnote>
  <w:footnote w:id="3">
    <w:p>
      <w:pPr>
        <w:pStyle w:val="1025"/>
      </w:pPr>
      <w:r>
        <w:rPr>
          <w:rStyle w:val="1027"/>
        </w:rPr>
        <w:footnoteRef/>
      </w:r>
      <w:r>
        <w:t xml:space="preserve"> Название и реквизиты документа, удостоверяющего полномочия представителя.</w:t>
      </w:r>
      <w:r/>
    </w:p>
  </w:footnote>
  <w:footnote w:id="4">
    <w:p>
      <w:pPr>
        <w:pStyle w:val="1025"/>
      </w:pPr>
      <w:r>
        <w:rPr>
          <w:rStyle w:val="1027"/>
        </w:rPr>
        <w:footnoteRef/>
      </w:r>
      <w:r>
        <w:t xml:space="preserve"> Полное наименование организации-исполнителя с указанием ее организационно-правовой формы.</w:t>
      </w:r>
      <w:r/>
    </w:p>
  </w:footnote>
  <w:footnote w:id="5">
    <w:p>
      <w:pPr>
        <w:pStyle w:val="1025"/>
      </w:pPr>
      <w:r>
        <w:rPr>
          <w:rStyle w:val="1027"/>
        </w:rPr>
        <w:footnoteRef/>
      </w:r>
      <w:r>
        <w:t xml:space="preserve"> Фамилия, имя и отчество (последнее - при наличии) уполномоченного представителя Исполнителя.</w:t>
      </w:r>
      <w:r/>
    </w:p>
  </w:footnote>
  <w:footnote w:id="6">
    <w:p>
      <w:pPr>
        <w:pStyle w:val="1025"/>
      </w:pPr>
      <w:r>
        <w:rPr>
          <w:rStyle w:val="1027"/>
        </w:rPr>
        <w:footnoteRef/>
      </w:r>
      <w:r>
        <w:t xml:space="preserve"> Название и реквизиты документа, удостоверяющего  полномочия представителя.</w:t>
      </w:r>
      <w:r/>
    </w:p>
  </w:footnote>
  <w:footnote w:id="7">
    <w:p>
      <w:pPr>
        <w:pStyle w:val="1025"/>
      </w:pPr>
      <w:r>
        <w:rPr>
          <w:rStyle w:val="1027"/>
        </w:rPr>
        <w:footnoteRef/>
      </w:r>
      <w:r>
        <w:t xml:space="preserve"> 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/>
    </w:p>
  </w:footnote>
  <w:footnote w:id="8">
    <w:p>
      <w:pPr>
        <w:pStyle w:val="1025"/>
      </w:pPr>
      <w:r>
        <w:rPr>
          <w:rStyle w:val="1027"/>
        </w:rPr>
        <w:footnoteRef/>
      </w:r>
      <w:r>
        <w:t xml:space="preserve">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  <w:r/>
    </w:p>
  </w:footnote>
  <w:footnote w:id="9">
    <w:p>
      <w:pPr>
        <w:pStyle w:val="1025"/>
        <w:rPr>
          <w14:ligatures w14:val="none"/>
        </w:rPr>
      </w:pPr>
      <w:r>
        <w:rPr>
          <w:rStyle w:val="1027"/>
        </w:rPr>
        <w:footnoteRef/>
      </w:r>
      <w:r>
        <w:t xml:space="preserve"> </w:t>
      </w:r>
      <w:r>
        <w:t xml:space="preserve">Заполняется по результ</w:t>
      </w:r>
      <w:r>
        <w:t xml:space="preserve">атам </w:t>
      </w:r>
      <w:r>
        <w:rPr>
          <w:lang w:eastAsia="en-US"/>
        </w:rPr>
        <w:t xml:space="preserve">закупочной сессии на ЕАТ</w:t>
      </w:r>
      <w:r>
        <w:t xml:space="preserve"> </w:t>
      </w:r>
      <w:r>
        <w:rPr>
          <w14:ligatures w14:val="none"/>
        </w:rPr>
      </w:r>
      <w:r>
        <w:rPr>
          <w14:ligatures w14:val="non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4" w:hanging="504"/>
      </w:pPr>
    </w:lvl>
    <w:lvl w:ilvl="1">
      <w:start w:val="2"/>
      <w:numFmt w:val="decimal"/>
      <w:isLgl w:val="false"/>
      <w:suff w:val="tab"/>
      <w:lvlText w:val="%1.%2."/>
      <w:lvlJc w:val="left"/>
      <w:pPr>
        <w:ind w:left="1213" w:hanging="504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</w:lvl>
  </w:abstractNum>
  <w:abstractNum w:abstractNumId="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2547" w:hanging="4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1841" w:hanging="360"/>
      </w:pPr>
      <w:rPr>
        <w:rFonts w:hint="default" w:ascii="Symbol" w:hAnsi="Symbol"/>
      </w:rPr>
    </w:lvl>
    <w:lvl w:ilvl="2">
      <w:start w:val="1"/>
      <w:numFmt w:val="decimal"/>
      <w:isLgl/>
      <w:suff w:val="tab"/>
      <w:lvlText w:val="%1.%2.%3."/>
      <w:lvlJc w:val="left"/>
      <w:pPr>
        <w:ind w:left="2977" w:hanging="720"/>
      </w:pPr>
    </w:lvl>
    <w:lvl w:ilvl="3">
      <w:start w:val="1"/>
      <w:numFmt w:val="decimal"/>
      <w:isLgl/>
      <w:suff w:val="tab"/>
      <w:lvlText w:val="%1.%2.%3.%4."/>
      <w:lvlJc w:val="left"/>
      <w:pPr>
        <w:ind w:left="3753" w:hanging="720"/>
      </w:pPr>
    </w:lvl>
    <w:lvl w:ilvl="4">
      <w:start w:val="1"/>
      <w:numFmt w:val="decimal"/>
      <w:isLgl/>
      <w:suff w:val="tab"/>
      <w:lvlText w:val="%1.%2.%3.%4.%5."/>
      <w:lvlJc w:val="left"/>
      <w:pPr>
        <w:ind w:left="4889" w:hanging="1080"/>
      </w:pPr>
    </w:lvl>
    <w:lvl w:ilvl="5">
      <w:start w:val="1"/>
      <w:numFmt w:val="decimal"/>
      <w:isLgl/>
      <w:suff w:val="tab"/>
      <w:lvlText w:val="%1.%2.%3.%4.%5.%6."/>
      <w:lvlJc w:val="left"/>
      <w:pPr>
        <w:ind w:left="5665" w:hanging="1080"/>
      </w:pPr>
    </w:lvl>
    <w:lvl w:ilvl="6">
      <w:start w:val="1"/>
      <w:numFmt w:val="decimal"/>
      <w:isLgl/>
      <w:suff w:val="tab"/>
      <w:lvlText w:val="%1.%2.%3.%4.%5.%6.%7."/>
      <w:lvlJc w:val="left"/>
      <w:pPr>
        <w:ind w:left="6801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7577" w:hanging="144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8713" w:hanging="180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2.%2."/>
      <w:lvlJc w:val="left"/>
      <w:pPr>
        <w:ind w:left="1440" w:hanging="360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72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440"/>
        <w:tabs>
          <w:tab w:val="num" w:pos="0" w:leader="none"/>
        </w:tabs>
      </w:pPr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89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1481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2213" w:hanging="372"/>
      </w:pPr>
    </w:lvl>
    <w:lvl w:ilvl="2">
      <w:start w:val="1"/>
      <w:numFmt w:val="lowerRoman"/>
      <w:isLgl w:val="false"/>
      <w:suff w:val="tab"/>
      <w:lvlText w:val="%3."/>
      <w:lvlJc w:val="right"/>
      <w:pPr>
        <w:ind w:left="292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4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6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8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0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2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41" w:hanging="180"/>
      </w:pPr>
    </w:lvl>
  </w:abstractNum>
  <w:abstractNum w:abstractNumId="17">
    <w:multiLevelType w:val="hybridMultilevel"/>
    <w:lvl w:ilvl="0">
      <w:start w:val="5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4896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</w:lvl>
    <w:lvl w:ilvl="1">
      <w:start w:val="1"/>
      <w:numFmt w:val="decimal"/>
      <w:isLgl w:val="false"/>
      <w:suff w:val="tab"/>
      <w:lvlText w:val="%1.%2."/>
      <w:lvlJc w:val="left"/>
      <w:pPr>
        <w:ind w:left="2547" w:hanging="420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450" w:hanging="450"/>
      </w:pPr>
    </w:lvl>
    <w:lvl w:ilvl="2">
      <w:start w:val="3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453" w:hanging="450"/>
      </w:pPr>
    </w:lvl>
    <w:lvl w:ilvl="2">
      <w:start w:val="6"/>
      <w:numFmt w:val="decimal"/>
      <w:isLgl w:val="false"/>
      <w:suff w:val="tab"/>
      <w:lvlText w:val="%1.%2.%3."/>
      <w:lvlJc w:val="left"/>
      <w:pPr>
        <w:ind w:left="72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32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9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01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64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9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8"/>
  </w:num>
  <w:num w:numId="5">
    <w:abstractNumId w:val="20"/>
  </w:num>
  <w:num w:numId="6">
    <w:abstractNumId w:val="18"/>
  </w:num>
  <w:num w:numId="7">
    <w:abstractNumId w:val="11"/>
  </w:num>
  <w:num w:numId="8">
    <w:abstractNumId w:val="9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0"/>
  </w:num>
  <w:num w:numId="16">
    <w:abstractNumId w:val="5"/>
  </w:num>
  <w:num w:numId="17">
    <w:abstractNumId w:val="4"/>
  </w:num>
  <w:num w:numId="18">
    <w:abstractNumId w:val="14"/>
  </w:num>
  <w:num w:numId="19">
    <w:abstractNumId w:val="10"/>
  </w:num>
  <w:num w:numId="20">
    <w:abstractNumId w:val="7"/>
  </w:num>
  <w:num w:numId="21">
    <w:abstractNumId w:val="19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10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1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2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3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5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0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1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8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829" w:default="1">
    <w:name w:val="Normal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0">
    <w:name w:val="Heading 1"/>
    <w:basedOn w:val="829"/>
    <w:next w:val="829"/>
    <w:link w:val="87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31">
    <w:name w:val="Heading 2"/>
    <w:basedOn w:val="829"/>
    <w:next w:val="829"/>
    <w:link w:val="8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32">
    <w:name w:val="Heading 3"/>
    <w:basedOn w:val="829"/>
    <w:next w:val="829"/>
    <w:link w:val="8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33">
    <w:name w:val="Heading 4"/>
    <w:basedOn w:val="829"/>
    <w:next w:val="829"/>
    <w:link w:val="8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4">
    <w:name w:val="Heading 5"/>
    <w:basedOn w:val="829"/>
    <w:next w:val="829"/>
    <w:link w:val="88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835">
    <w:name w:val="Heading 6"/>
    <w:basedOn w:val="829"/>
    <w:next w:val="829"/>
    <w:link w:val="88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6">
    <w:name w:val="Heading 7"/>
    <w:basedOn w:val="829"/>
    <w:next w:val="829"/>
    <w:link w:val="8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7">
    <w:name w:val="Heading 8"/>
    <w:basedOn w:val="829"/>
    <w:next w:val="829"/>
    <w:link w:val="8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8">
    <w:name w:val="Heading 9"/>
    <w:basedOn w:val="829"/>
    <w:next w:val="829"/>
    <w:link w:val="88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table" w:styleId="842" w:customStyle="1">
    <w:name w:val="Таблица простая 11"/>
    <w:basedOn w:val="84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3" w:customStyle="1">
    <w:name w:val="Таблица простая 21"/>
    <w:basedOn w:val="84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 w:customStyle="1">
    <w:name w:val="Таблица простая 31"/>
    <w:basedOn w:val="84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5" w:customStyle="1">
    <w:name w:val="Таблица простая 41"/>
    <w:basedOn w:val="84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Таблица простая 51"/>
    <w:basedOn w:val="84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7" w:customStyle="1">
    <w:name w:val="Таблица-сетка 1 светлая1"/>
    <w:basedOn w:val="84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Таблица-сетка 21"/>
    <w:basedOn w:val="84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Таблица-сетка 31"/>
    <w:basedOn w:val="84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Таблица-сетка 41"/>
    <w:basedOn w:val="84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1" w:customStyle="1">
    <w:name w:val="Таблица-сетка 5 темная1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2" w:customStyle="1">
    <w:name w:val="Таблица-сетка 6 цветная1"/>
    <w:basedOn w:val="84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3" w:customStyle="1">
    <w:name w:val="Таблица-сетка 7 цветная1"/>
    <w:basedOn w:val="84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Список-таблица 1 светлая1"/>
    <w:basedOn w:val="84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Список-таблица 21"/>
    <w:basedOn w:val="84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6" w:customStyle="1">
    <w:name w:val="Список-таблица 31"/>
    <w:basedOn w:val="84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Список-таблица 41"/>
    <w:basedOn w:val="84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Список-таблица 5 темная1"/>
    <w:basedOn w:val="84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Список-таблица 6 цветная1"/>
    <w:basedOn w:val="84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0" w:customStyle="1">
    <w:name w:val="Список-таблица 7 цветная1"/>
    <w:basedOn w:val="84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861" w:customStyle="1">
    <w:name w:val="Heading 1 Char"/>
    <w:basedOn w:val="839"/>
    <w:uiPriority w:val="9"/>
    <w:rPr>
      <w:rFonts w:ascii="Arial" w:hAnsi="Arial" w:eastAsia="Arial" w:cs="Arial"/>
      <w:sz w:val="40"/>
      <w:szCs w:val="40"/>
    </w:rPr>
  </w:style>
  <w:style w:type="character" w:styleId="862" w:customStyle="1">
    <w:name w:val="Heading 2 Char"/>
    <w:basedOn w:val="839"/>
    <w:uiPriority w:val="9"/>
    <w:rPr>
      <w:rFonts w:ascii="Arial" w:hAnsi="Arial" w:eastAsia="Arial" w:cs="Arial"/>
      <w:sz w:val="34"/>
    </w:rPr>
  </w:style>
  <w:style w:type="character" w:styleId="863" w:customStyle="1">
    <w:name w:val="Heading 3 Char"/>
    <w:basedOn w:val="839"/>
    <w:uiPriority w:val="9"/>
    <w:rPr>
      <w:rFonts w:ascii="Arial" w:hAnsi="Arial" w:eastAsia="Arial" w:cs="Arial"/>
      <w:sz w:val="30"/>
      <w:szCs w:val="30"/>
    </w:rPr>
  </w:style>
  <w:style w:type="character" w:styleId="864" w:customStyle="1">
    <w:name w:val="Heading 4 Char"/>
    <w:basedOn w:val="839"/>
    <w:uiPriority w:val="9"/>
    <w:rPr>
      <w:rFonts w:ascii="Arial" w:hAnsi="Arial" w:eastAsia="Arial" w:cs="Arial"/>
      <w:b/>
      <w:bCs/>
      <w:sz w:val="26"/>
      <w:szCs w:val="26"/>
    </w:rPr>
  </w:style>
  <w:style w:type="character" w:styleId="865" w:customStyle="1">
    <w:name w:val="Heading 5 Char"/>
    <w:basedOn w:val="839"/>
    <w:uiPriority w:val="9"/>
    <w:rPr>
      <w:rFonts w:ascii="Arial" w:hAnsi="Arial" w:eastAsia="Arial" w:cs="Arial"/>
      <w:b/>
      <w:bCs/>
      <w:sz w:val="24"/>
      <w:szCs w:val="24"/>
    </w:rPr>
  </w:style>
  <w:style w:type="character" w:styleId="866" w:customStyle="1">
    <w:name w:val="Heading 6 Char"/>
    <w:basedOn w:val="839"/>
    <w:uiPriority w:val="9"/>
    <w:rPr>
      <w:rFonts w:ascii="Arial" w:hAnsi="Arial" w:eastAsia="Arial" w:cs="Arial"/>
      <w:b/>
      <w:bCs/>
      <w:sz w:val="22"/>
      <w:szCs w:val="22"/>
    </w:rPr>
  </w:style>
  <w:style w:type="character" w:styleId="867" w:customStyle="1">
    <w:name w:val="Heading 7 Char"/>
    <w:basedOn w:val="83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8" w:customStyle="1">
    <w:name w:val="Heading 8 Char"/>
    <w:basedOn w:val="839"/>
    <w:uiPriority w:val="9"/>
    <w:rPr>
      <w:rFonts w:ascii="Arial" w:hAnsi="Arial" w:eastAsia="Arial" w:cs="Arial"/>
      <w:i/>
      <w:iCs/>
      <w:sz w:val="22"/>
      <w:szCs w:val="22"/>
    </w:rPr>
  </w:style>
  <w:style w:type="character" w:styleId="869" w:customStyle="1">
    <w:name w:val="Heading 9 Char"/>
    <w:basedOn w:val="839"/>
    <w:uiPriority w:val="9"/>
    <w:rPr>
      <w:rFonts w:ascii="Arial" w:hAnsi="Arial" w:eastAsia="Arial" w:cs="Arial"/>
      <w:i/>
      <w:iCs/>
      <w:sz w:val="21"/>
      <w:szCs w:val="21"/>
    </w:rPr>
  </w:style>
  <w:style w:type="character" w:styleId="870" w:customStyle="1">
    <w:name w:val="Title Char"/>
    <w:basedOn w:val="839"/>
    <w:uiPriority w:val="10"/>
    <w:rPr>
      <w:sz w:val="48"/>
      <w:szCs w:val="48"/>
    </w:rPr>
  </w:style>
  <w:style w:type="character" w:styleId="871" w:customStyle="1">
    <w:name w:val="Subtitle Char"/>
    <w:basedOn w:val="839"/>
    <w:uiPriority w:val="11"/>
    <w:rPr>
      <w:sz w:val="24"/>
      <w:szCs w:val="24"/>
    </w:rPr>
  </w:style>
  <w:style w:type="character" w:styleId="872" w:customStyle="1">
    <w:name w:val="Quote Char"/>
    <w:uiPriority w:val="29"/>
    <w:rPr>
      <w:i/>
    </w:rPr>
  </w:style>
  <w:style w:type="character" w:styleId="873" w:customStyle="1">
    <w:name w:val="Intense Quote Char"/>
    <w:uiPriority w:val="30"/>
    <w:rPr>
      <w:i/>
    </w:rPr>
  </w:style>
  <w:style w:type="character" w:styleId="874" w:customStyle="1">
    <w:name w:val="Header Char"/>
    <w:basedOn w:val="839"/>
    <w:uiPriority w:val="99"/>
  </w:style>
  <w:style w:type="character" w:styleId="875" w:customStyle="1">
    <w:name w:val="Caption Char"/>
    <w:uiPriority w:val="99"/>
  </w:style>
  <w:style w:type="character" w:styleId="876" w:customStyle="1">
    <w:name w:val="Footnote Text Char"/>
    <w:uiPriority w:val="99"/>
    <w:rPr>
      <w:sz w:val="18"/>
    </w:rPr>
  </w:style>
  <w:style w:type="character" w:styleId="877" w:customStyle="1">
    <w:name w:val="Endnote Text Char"/>
    <w:uiPriority w:val="99"/>
    <w:rPr>
      <w:sz w:val="20"/>
    </w:rPr>
  </w:style>
  <w:style w:type="character" w:styleId="878" w:customStyle="1">
    <w:name w:val="Заголовок 1 Знак"/>
    <w:basedOn w:val="839"/>
    <w:link w:val="830"/>
    <w:uiPriority w:val="9"/>
    <w:rPr>
      <w:rFonts w:ascii="Arial" w:hAnsi="Arial" w:eastAsia="Arial" w:cs="Arial"/>
      <w:sz w:val="40"/>
      <w:szCs w:val="40"/>
    </w:rPr>
  </w:style>
  <w:style w:type="character" w:styleId="879" w:customStyle="1">
    <w:name w:val="Заголовок 2 Знак"/>
    <w:basedOn w:val="839"/>
    <w:link w:val="831"/>
    <w:uiPriority w:val="9"/>
    <w:rPr>
      <w:rFonts w:ascii="Arial" w:hAnsi="Arial" w:eastAsia="Arial" w:cs="Arial"/>
      <w:sz w:val="34"/>
    </w:rPr>
  </w:style>
  <w:style w:type="character" w:styleId="880" w:customStyle="1">
    <w:name w:val="Заголовок 3 Знак"/>
    <w:basedOn w:val="839"/>
    <w:link w:val="832"/>
    <w:uiPriority w:val="9"/>
    <w:rPr>
      <w:rFonts w:ascii="Arial" w:hAnsi="Arial" w:eastAsia="Arial" w:cs="Arial"/>
      <w:sz w:val="30"/>
      <w:szCs w:val="30"/>
    </w:rPr>
  </w:style>
  <w:style w:type="character" w:styleId="881" w:customStyle="1">
    <w:name w:val="Заголовок 4 Знак"/>
    <w:basedOn w:val="839"/>
    <w:link w:val="833"/>
    <w:uiPriority w:val="9"/>
    <w:rPr>
      <w:rFonts w:ascii="Arial" w:hAnsi="Arial" w:eastAsia="Arial" w:cs="Arial"/>
      <w:b/>
      <w:bCs/>
      <w:sz w:val="26"/>
      <w:szCs w:val="26"/>
    </w:rPr>
  </w:style>
  <w:style w:type="character" w:styleId="882" w:customStyle="1">
    <w:name w:val="Заголовок 5 Знак"/>
    <w:basedOn w:val="839"/>
    <w:link w:val="834"/>
    <w:uiPriority w:val="9"/>
    <w:rPr>
      <w:rFonts w:ascii="Arial" w:hAnsi="Arial" w:eastAsia="Arial" w:cs="Arial"/>
      <w:b/>
      <w:bCs/>
      <w:sz w:val="24"/>
      <w:szCs w:val="24"/>
    </w:rPr>
  </w:style>
  <w:style w:type="character" w:styleId="883" w:customStyle="1">
    <w:name w:val="Заголовок 6 Знак"/>
    <w:basedOn w:val="839"/>
    <w:link w:val="835"/>
    <w:uiPriority w:val="9"/>
    <w:rPr>
      <w:rFonts w:ascii="Arial" w:hAnsi="Arial" w:eastAsia="Arial" w:cs="Arial"/>
      <w:b/>
      <w:bCs/>
      <w:sz w:val="22"/>
      <w:szCs w:val="22"/>
    </w:rPr>
  </w:style>
  <w:style w:type="character" w:styleId="884" w:customStyle="1">
    <w:name w:val="Заголовок 7 Знак"/>
    <w:basedOn w:val="839"/>
    <w:link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85" w:customStyle="1">
    <w:name w:val="Заголовок 8 Знак"/>
    <w:basedOn w:val="839"/>
    <w:link w:val="837"/>
    <w:uiPriority w:val="9"/>
    <w:rPr>
      <w:rFonts w:ascii="Arial" w:hAnsi="Arial" w:eastAsia="Arial" w:cs="Arial"/>
      <w:i/>
      <w:iCs/>
      <w:sz w:val="22"/>
      <w:szCs w:val="22"/>
    </w:rPr>
  </w:style>
  <w:style w:type="character" w:styleId="886" w:customStyle="1">
    <w:name w:val="Заголовок 9 Знак"/>
    <w:basedOn w:val="839"/>
    <w:link w:val="838"/>
    <w:uiPriority w:val="9"/>
    <w:rPr>
      <w:rFonts w:ascii="Arial" w:hAnsi="Arial" w:eastAsia="Arial" w:cs="Arial"/>
      <w:i/>
      <w:iCs/>
      <w:sz w:val="21"/>
      <w:szCs w:val="21"/>
    </w:rPr>
  </w:style>
  <w:style w:type="character" w:styleId="887" w:customStyle="1">
    <w:name w:val="Заголовок Знак1"/>
    <w:basedOn w:val="839"/>
    <w:link w:val="1050"/>
    <w:uiPriority w:val="10"/>
    <w:rPr>
      <w:sz w:val="48"/>
      <w:szCs w:val="48"/>
    </w:rPr>
  </w:style>
  <w:style w:type="paragraph" w:styleId="888">
    <w:name w:val="Subtitle"/>
    <w:basedOn w:val="829"/>
    <w:next w:val="829"/>
    <w:link w:val="889"/>
    <w:uiPriority w:val="11"/>
    <w:qFormat/>
    <w:pPr>
      <w:spacing w:before="200" w:after="200"/>
    </w:pPr>
  </w:style>
  <w:style w:type="character" w:styleId="889" w:customStyle="1">
    <w:name w:val="Подзаголовок Знак"/>
    <w:basedOn w:val="839"/>
    <w:link w:val="888"/>
    <w:uiPriority w:val="11"/>
    <w:rPr>
      <w:sz w:val="24"/>
      <w:szCs w:val="24"/>
    </w:rPr>
  </w:style>
  <w:style w:type="paragraph" w:styleId="890">
    <w:name w:val="Quote"/>
    <w:basedOn w:val="829"/>
    <w:next w:val="829"/>
    <w:link w:val="891"/>
    <w:uiPriority w:val="29"/>
    <w:qFormat/>
    <w:pPr>
      <w:ind w:left="720" w:right="720"/>
    </w:pPr>
    <w:rPr>
      <w:i/>
    </w:rPr>
  </w:style>
  <w:style w:type="character" w:styleId="891" w:customStyle="1">
    <w:name w:val="Цитата 2 Знак"/>
    <w:link w:val="890"/>
    <w:uiPriority w:val="29"/>
    <w:rPr>
      <w:i/>
    </w:rPr>
  </w:style>
  <w:style w:type="paragraph" w:styleId="892">
    <w:name w:val="Intense Quote"/>
    <w:basedOn w:val="829"/>
    <w:next w:val="829"/>
    <w:link w:val="8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93" w:customStyle="1">
    <w:name w:val="Выделенная цитата Знак"/>
    <w:link w:val="892"/>
    <w:uiPriority w:val="30"/>
    <w:rPr>
      <w:i/>
    </w:rPr>
  </w:style>
  <w:style w:type="paragraph" w:styleId="894">
    <w:name w:val="Header"/>
    <w:basedOn w:val="829"/>
    <w:link w:val="89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95" w:customStyle="1">
    <w:name w:val="Верхний колонтитул Знак"/>
    <w:basedOn w:val="839"/>
    <w:link w:val="894"/>
    <w:uiPriority w:val="99"/>
  </w:style>
  <w:style w:type="paragraph" w:styleId="896">
    <w:name w:val="Footer"/>
    <w:basedOn w:val="829"/>
    <w:link w:val="89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897" w:customStyle="1">
    <w:name w:val="Footer Char"/>
    <w:basedOn w:val="839"/>
    <w:uiPriority w:val="99"/>
  </w:style>
  <w:style w:type="character" w:styleId="898" w:customStyle="1">
    <w:name w:val="Нижний колонтитул Знак"/>
    <w:link w:val="896"/>
    <w:uiPriority w:val="99"/>
  </w:style>
  <w:style w:type="table" w:styleId="899">
    <w:name w:val="Table Grid"/>
    <w:basedOn w:val="84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0" w:customStyle="1">
    <w:name w:val="Table Grid Light"/>
    <w:basedOn w:val="84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01" w:customStyle="1">
    <w:name w:val="Таблица простая 11"/>
    <w:basedOn w:val="840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2" w:customStyle="1">
    <w:name w:val="Таблица простая 21"/>
    <w:basedOn w:val="840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3" w:customStyle="1">
    <w:name w:val="Таблица простая 31"/>
    <w:basedOn w:val="84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04" w:customStyle="1">
    <w:name w:val="Таблица простая 41"/>
    <w:basedOn w:val="84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Таблица простая 51"/>
    <w:basedOn w:val="840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6" w:customStyle="1">
    <w:name w:val="Таблица-сетка 1 светлая1"/>
    <w:basedOn w:val="840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Grid Table 1 Light - Accent 1"/>
    <w:basedOn w:val="840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Grid Table 1 Light - Accent 2"/>
    <w:basedOn w:val="84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Grid Table 1 Light - Accent 3"/>
    <w:basedOn w:val="84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 w:customStyle="1">
    <w:name w:val="Grid Table 1 Light - Accent 4"/>
    <w:basedOn w:val="84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Grid Table 1 Light - Accent 5"/>
    <w:basedOn w:val="840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Grid Table 1 Light - Accent 6"/>
    <w:basedOn w:val="84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Таблица-сетка 21"/>
    <w:basedOn w:val="84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2 - Accent 1"/>
    <w:basedOn w:val="840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2 - Accent 2"/>
    <w:basedOn w:val="84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2 - Accent 3"/>
    <w:basedOn w:val="84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2 - Accent 4"/>
    <w:basedOn w:val="84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2 - Accent 5"/>
    <w:basedOn w:val="840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2 - Accent 6"/>
    <w:basedOn w:val="84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Таблица-сетка 31"/>
    <w:basedOn w:val="840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3 - Accent 1"/>
    <w:basedOn w:val="840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3 - Accent 2"/>
    <w:basedOn w:val="840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Grid Table 3 - Accent 3"/>
    <w:basedOn w:val="840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Grid Table 3 - Accent 4"/>
    <w:basedOn w:val="840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Grid Table 3 - Accent 5"/>
    <w:basedOn w:val="840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Grid Table 3 - Accent 6"/>
    <w:basedOn w:val="840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Таблица-сетка 41"/>
    <w:basedOn w:val="840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28" w:customStyle="1">
    <w:name w:val="Grid Table 4 - Accent 1"/>
    <w:basedOn w:val="840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929" w:customStyle="1">
    <w:name w:val="Grid Table 4 - Accent 2"/>
    <w:basedOn w:val="840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930" w:customStyle="1">
    <w:name w:val="Grid Table 4 - Accent 3"/>
    <w:basedOn w:val="840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931" w:customStyle="1">
    <w:name w:val="Grid Table 4 - Accent 4"/>
    <w:basedOn w:val="840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932" w:customStyle="1">
    <w:name w:val="Grid Table 4 - Accent 5"/>
    <w:basedOn w:val="840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933" w:customStyle="1">
    <w:name w:val="Grid Table 4 - Accent 6"/>
    <w:basedOn w:val="840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934" w:customStyle="1">
    <w:name w:val="Таблица-сетка 5 темная1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35" w:customStyle="1">
    <w:name w:val="Grid Table 5 Dark- Accent 1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936" w:customStyle="1">
    <w:name w:val="Grid Table 5 Dark - Accent 2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937" w:customStyle="1">
    <w:name w:val="Grid Table 5 Dark - Accent 3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938" w:customStyle="1">
    <w:name w:val="Grid Table 5 Dark- Accent 4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39" w:customStyle="1">
    <w:name w:val="Grid Table 5 Dark - Accent 5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40" w:customStyle="1">
    <w:name w:val="Grid Table 5 Dark - Accent 6"/>
    <w:basedOn w:val="840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41" w:customStyle="1">
    <w:name w:val="Таблица-сетка 6 цветная1"/>
    <w:basedOn w:val="840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42" w:customStyle="1">
    <w:name w:val="Grid Table 6 Colorful - Accent 1"/>
    <w:basedOn w:val="840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43" w:customStyle="1">
    <w:name w:val="Grid Table 6 Colorful - Accent 2"/>
    <w:basedOn w:val="84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44" w:customStyle="1">
    <w:name w:val="Grid Table 6 Colorful - Accent 3"/>
    <w:basedOn w:val="840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45" w:customStyle="1">
    <w:name w:val="Grid Table 6 Colorful - Accent 4"/>
    <w:basedOn w:val="84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46" w:customStyle="1">
    <w:name w:val="Grid Table 6 Colorful - Accent 5"/>
    <w:basedOn w:val="840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47" w:customStyle="1">
    <w:name w:val="Grid Table 6 Colorful - Accent 6"/>
    <w:basedOn w:val="840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48" w:customStyle="1">
    <w:name w:val="Таблица-сетка 7 цветная1"/>
    <w:basedOn w:val="840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Grid Table 7 Colorful - Accent 1"/>
    <w:basedOn w:val="840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Grid Table 7 Colorful - Accent 2"/>
    <w:basedOn w:val="840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Grid Table 7 Colorful - Accent 3"/>
    <w:basedOn w:val="840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Grid Table 7 Colorful - Accent 4"/>
    <w:basedOn w:val="840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Grid Table 7 Colorful - Accent 5"/>
    <w:basedOn w:val="840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Grid Table 7 Colorful - Accent 6"/>
    <w:basedOn w:val="840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Список-таблица 1 светлая1"/>
    <w:basedOn w:val="840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 w:customStyle="1">
    <w:name w:val="List Table 1 Light - Accent 1"/>
    <w:basedOn w:val="840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 w:customStyle="1">
    <w:name w:val="List Table 1 Light - Accent 2"/>
    <w:basedOn w:val="840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 w:customStyle="1">
    <w:name w:val="List Table 1 Light - Accent 3"/>
    <w:basedOn w:val="840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1 Light - Accent 4"/>
    <w:basedOn w:val="840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List Table 1 Light - Accent 5"/>
    <w:basedOn w:val="840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1 Light - Accent 6"/>
    <w:basedOn w:val="840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Список-таблица 21"/>
    <w:basedOn w:val="840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63" w:customStyle="1">
    <w:name w:val="List Table 2 - Accent 1"/>
    <w:basedOn w:val="840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64" w:customStyle="1">
    <w:name w:val="List Table 2 - Accent 2"/>
    <w:basedOn w:val="840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65" w:customStyle="1">
    <w:name w:val="List Table 2 - Accent 3"/>
    <w:basedOn w:val="840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66" w:customStyle="1">
    <w:name w:val="List Table 2 - Accent 4"/>
    <w:basedOn w:val="840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67" w:customStyle="1">
    <w:name w:val="List Table 2 - Accent 5"/>
    <w:basedOn w:val="840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68" w:customStyle="1">
    <w:name w:val="List Table 2 - Accent 6"/>
    <w:basedOn w:val="840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69" w:customStyle="1">
    <w:name w:val="Список-таблица 31"/>
    <w:basedOn w:val="84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0" w:customStyle="1">
    <w:name w:val="List Table 3 - Accent 1"/>
    <w:basedOn w:val="840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1" w:customStyle="1">
    <w:name w:val="List Table 3 - Accent 2"/>
    <w:basedOn w:val="840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2" w:customStyle="1">
    <w:name w:val="List Table 3 - Accent 3"/>
    <w:basedOn w:val="840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3" w:customStyle="1">
    <w:name w:val="List Table 3 - Accent 4"/>
    <w:basedOn w:val="840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4" w:customStyle="1">
    <w:name w:val="List Table 3 - Accent 5"/>
    <w:basedOn w:val="840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 w:customStyle="1">
    <w:name w:val="List Table 3 - Accent 6"/>
    <w:basedOn w:val="840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6" w:customStyle="1">
    <w:name w:val="Список-таблица 41"/>
    <w:basedOn w:val="840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 w:customStyle="1">
    <w:name w:val="List Table 4 - Accent 1"/>
    <w:basedOn w:val="840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 w:customStyle="1">
    <w:name w:val="List Table 4 - Accent 2"/>
    <w:basedOn w:val="840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 w:customStyle="1">
    <w:name w:val="List Table 4 - Accent 3"/>
    <w:basedOn w:val="840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 w:customStyle="1">
    <w:name w:val="List Table 4 - Accent 4"/>
    <w:basedOn w:val="840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 w:customStyle="1">
    <w:name w:val="List Table 4 - Accent 5"/>
    <w:basedOn w:val="840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 w:customStyle="1">
    <w:name w:val="List Table 4 - Accent 6"/>
    <w:basedOn w:val="840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 w:customStyle="1">
    <w:name w:val="Список-таблица 5 темная1"/>
    <w:basedOn w:val="840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4" w:customStyle="1">
    <w:name w:val="List Table 5 Dark - Accent 1"/>
    <w:basedOn w:val="840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5" w:customStyle="1">
    <w:name w:val="List Table 5 Dark - Accent 2"/>
    <w:basedOn w:val="840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6" w:customStyle="1">
    <w:name w:val="List Table 5 Dark - Accent 3"/>
    <w:basedOn w:val="840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7" w:customStyle="1">
    <w:name w:val="List Table 5 Dark - Accent 4"/>
    <w:basedOn w:val="840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8" w:customStyle="1">
    <w:name w:val="List Table 5 Dark - Accent 5"/>
    <w:basedOn w:val="840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89" w:customStyle="1">
    <w:name w:val="List Table 5 Dark - Accent 6"/>
    <w:basedOn w:val="840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90" w:customStyle="1">
    <w:name w:val="Список-таблица 6 цветная1"/>
    <w:basedOn w:val="840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91" w:customStyle="1">
    <w:name w:val="List Table 6 Colorful - Accent 1"/>
    <w:basedOn w:val="840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92" w:customStyle="1">
    <w:name w:val="List Table 6 Colorful - Accent 2"/>
    <w:basedOn w:val="840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93" w:customStyle="1">
    <w:name w:val="List Table 6 Colorful - Accent 3"/>
    <w:basedOn w:val="840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94" w:customStyle="1">
    <w:name w:val="List Table 6 Colorful - Accent 4"/>
    <w:basedOn w:val="840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95" w:customStyle="1">
    <w:name w:val="List Table 6 Colorful - Accent 5"/>
    <w:basedOn w:val="840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96" w:customStyle="1">
    <w:name w:val="List Table 6 Colorful - Accent 6"/>
    <w:basedOn w:val="840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97" w:customStyle="1">
    <w:name w:val="Список-таблица 7 цветная1"/>
    <w:basedOn w:val="840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List Table 7 Colorful - Accent 1"/>
    <w:basedOn w:val="840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List Table 7 Colorful - Accent 2"/>
    <w:basedOn w:val="840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List Table 7 Colorful - Accent 3"/>
    <w:basedOn w:val="840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List Table 7 Colorful - Accent 4"/>
    <w:basedOn w:val="840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List Table 7 Colorful - Accent 5"/>
    <w:basedOn w:val="840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List Table 7 Colorful - Accent 6"/>
    <w:basedOn w:val="840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Lined - Accent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05" w:customStyle="1">
    <w:name w:val="Lined - Accent 1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06" w:customStyle="1">
    <w:name w:val="Lined - Accent 2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07" w:customStyle="1">
    <w:name w:val="Lined - Accent 3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08" w:customStyle="1">
    <w:name w:val="Lined - Accent 4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09" w:customStyle="1">
    <w:name w:val="Lined - Accent 5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10" w:customStyle="1">
    <w:name w:val="Lined - Accent 6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11" w:customStyle="1">
    <w:name w:val="Bordered &amp; Lined - Accent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12" w:customStyle="1">
    <w:name w:val="Bordered &amp; Lined - Accent 1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1013" w:customStyle="1">
    <w:name w:val="Bordered &amp; Lined - Accent 2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014" w:customStyle="1">
    <w:name w:val="Bordered &amp; Lined - Accent 3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015" w:customStyle="1">
    <w:name w:val="Bordered &amp; Lined - Accent 4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016" w:customStyle="1">
    <w:name w:val="Bordered &amp; Lined - Accent 5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1017" w:customStyle="1">
    <w:name w:val="Bordered &amp; Lined - Accent 6"/>
    <w:basedOn w:val="84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018" w:customStyle="1">
    <w:name w:val="Bordered"/>
    <w:basedOn w:val="840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19" w:customStyle="1">
    <w:name w:val="Bordered - Accent 1"/>
    <w:basedOn w:val="840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1020" w:customStyle="1">
    <w:name w:val="Bordered - Accent 2"/>
    <w:basedOn w:val="840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021" w:customStyle="1">
    <w:name w:val="Bordered - Accent 3"/>
    <w:basedOn w:val="840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022" w:customStyle="1">
    <w:name w:val="Bordered - Accent 4"/>
    <w:basedOn w:val="840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023" w:customStyle="1">
    <w:name w:val="Bordered - Accent 5"/>
    <w:basedOn w:val="840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1024" w:customStyle="1">
    <w:name w:val="Bordered - Accent 6"/>
    <w:basedOn w:val="840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1025">
    <w:name w:val="footnote text"/>
    <w:basedOn w:val="829"/>
    <w:link w:val="1026"/>
    <w:uiPriority w:val="99"/>
    <w:unhideWhenUsed/>
    <w:pPr>
      <w:spacing w:after="40"/>
    </w:pPr>
    <w:rPr>
      <w:sz w:val="18"/>
    </w:rPr>
  </w:style>
  <w:style w:type="character" w:styleId="1026" w:customStyle="1">
    <w:name w:val="Текст сноски Знак"/>
    <w:link w:val="1025"/>
    <w:uiPriority w:val="99"/>
    <w:rPr>
      <w:sz w:val="18"/>
    </w:rPr>
  </w:style>
  <w:style w:type="character" w:styleId="1027">
    <w:name w:val="footnote reference"/>
    <w:basedOn w:val="839"/>
    <w:uiPriority w:val="99"/>
    <w:unhideWhenUsed/>
    <w:rPr>
      <w:vertAlign w:val="superscript"/>
    </w:rPr>
  </w:style>
  <w:style w:type="paragraph" w:styleId="1028">
    <w:name w:val="endnote text"/>
    <w:basedOn w:val="829"/>
    <w:link w:val="1029"/>
    <w:uiPriority w:val="99"/>
    <w:semiHidden/>
    <w:unhideWhenUsed/>
    <w:rPr>
      <w:sz w:val="20"/>
    </w:rPr>
  </w:style>
  <w:style w:type="character" w:styleId="1029" w:customStyle="1">
    <w:name w:val="Текст концевой сноски Знак"/>
    <w:link w:val="1028"/>
    <w:uiPriority w:val="99"/>
    <w:rPr>
      <w:sz w:val="20"/>
    </w:rPr>
  </w:style>
  <w:style w:type="character" w:styleId="1030">
    <w:name w:val="endnote reference"/>
    <w:basedOn w:val="839"/>
    <w:uiPriority w:val="99"/>
    <w:semiHidden/>
    <w:unhideWhenUsed/>
    <w:rPr>
      <w:vertAlign w:val="superscript"/>
    </w:rPr>
  </w:style>
  <w:style w:type="paragraph" w:styleId="1031">
    <w:name w:val="toc 1"/>
    <w:basedOn w:val="829"/>
    <w:next w:val="829"/>
    <w:uiPriority w:val="39"/>
    <w:unhideWhenUsed/>
    <w:pPr>
      <w:spacing w:after="57"/>
    </w:pPr>
  </w:style>
  <w:style w:type="paragraph" w:styleId="1032">
    <w:name w:val="toc 2"/>
    <w:basedOn w:val="829"/>
    <w:next w:val="829"/>
    <w:uiPriority w:val="39"/>
    <w:unhideWhenUsed/>
    <w:pPr>
      <w:ind w:left="283"/>
      <w:spacing w:after="57"/>
    </w:pPr>
  </w:style>
  <w:style w:type="paragraph" w:styleId="1033">
    <w:name w:val="toc 3"/>
    <w:basedOn w:val="829"/>
    <w:next w:val="829"/>
    <w:uiPriority w:val="39"/>
    <w:unhideWhenUsed/>
    <w:pPr>
      <w:ind w:left="567"/>
      <w:spacing w:after="57"/>
    </w:pPr>
  </w:style>
  <w:style w:type="paragraph" w:styleId="1034">
    <w:name w:val="toc 4"/>
    <w:basedOn w:val="829"/>
    <w:next w:val="829"/>
    <w:uiPriority w:val="39"/>
    <w:unhideWhenUsed/>
    <w:pPr>
      <w:ind w:left="850"/>
      <w:spacing w:after="57"/>
    </w:pPr>
  </w:style>
  <w:style w:type="paragraph" w:styleId="1035">
    <w:name w:val="toc 5"/>
    <w:basedOn w:val="829"/>
    <w:next w:val="829"/>
    <w:uiPriority w:val="39"/>
    <w:unhideWhenUsed/>
    <w:pPr>
      <w:ind w:left="1134"/>
      <w:spacing w:after="57"/>
    </w:pPr>
  </w:style>
  <w:style w:type="paragraph" w:styleId="1036">
    <w:name w:val="toc 6"/>
    <w:basedOn w:val="829"/>
    <w:next w:val="829"/>
    <w:uiPriority w:val="39"/>
    <w:unhideWhenUsed/>
    <w:pPr>
      <w:ind w:left="1417"/>
      <w:spacing w:after="57"/>
    </w:pPr>
  </w:style>
  <w:style w:type="paragraph" w:styleId="1037">
    <w:name w:val="toc 7"/>
    <w:basedOn w:val="829"/>
    <w:next w:val="829"/>
    <w:uiPriority w:val="39"/>
    <w:unhideWhenUsed/>
    <w:pPr>
      <w:ind w:left="1701"/>
      <w:spacing w:after="57"/>
    </w:pPr>
  </w:style>
  <w:style w:type="paragraph" w:styleId="1038">
    <w:name w:val="toc 8"/>
    <w:basedOn w:val="829"/>
    <w:next w:val="829"/>
    <w:uiPriority w:val="39"/>
    <w:unhideWhenUsed/>
    <w:pPr>
      <w:ind w:left="1984"/>
      <w:spacing w:after="57"/>
    </w:pPr>
  </w:style>
  <w:style w:type="paragraph" w:styleId="1039">
    <w:name w:val="toc 9"/>
    <w:basedOn w:val="829"/>
    <w:next w:val="829"/>
    <w:uiPriority w:val="39"/>
    <w:unhideWhenUsed/>
    <w:pPr>
      <w:ind w:left="2268"/>
      <w:spacing w:after="57"/>
    </w:pPr>
  </w:style>
  <w:style w:type="paragraph" w:styleId="1040">
    <w:name w:val="TOC Heading"/>
    <w:uiPriority w:val="39"/>
    <w:unhideWhenUsed/>
  </w:style>
  <w:style w:type="paragraph" w:styleId="1041">
    <w:name w:val="table of figures"/>
    <w:basedOn w:val="829"/>
    <w:next w:val="829"/>
    <w:uiPriority w:val="99"/>
    <w:unhideWhenUsed/>
  </w:style>
  <w:style w:type="character" w:styleId="1042" w:customStyle="1">
    <w:name w:val="ConsNormal Знак"/>
    <w:link w:val="1056"/>
    <w:qFormat/>
    <w:rPr>
      <w:rFonts w:ascii="Arial" w:hAnsi="Arial" w:eastAsia="Times New Roman" w:cs="Arial"/>
      <w:sz w:val="20"/>
      <w:szCs w:val="20"/>
      <w:lang w:eastAsia="ru-RU"/>
    </w:rPr>
  </w:style>
  <w:style w:type="character" w:styleId="1043" w:customStyle="1">
    <w:name w:val="Заголовок Знак"/>
    <w:basedOn w:val="839"/>
    <w:qFormat/>
    <w:rPr>
      <w:rFonts w:ascii="Times New Roman" w:hAnsi="Times New Roman" w:eastAsia="Arial Unicode MS" w:cs="Tahoma"/>
      <w:sz w:val="28"/>
      <w:szCs w:val="28"/>
      <w:lang w:eastAsia="ar-SA"/>
    </w:rPr>
  </w:style>
  <w:style w:type="character" w:styleId="1044" w:customStyle="1">
    <w:name w:val="Основной текст Знак"/>
    <w:basedOn w:val="839"/>
    <w:link w:val="1051"/>
    <w:uiPriority w:val="99"/>
    <w:semiHidden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5" w:customStyle="1">
    <w:name w:val="Без интервала Знак"/>
    <w:link w:val="1058"/>
    <w:uiPriority w:val="1"/>
    <w:qFormat/>
    <w:rPr>
      <w:rFonts w:ascii="Calibri" w:hAnsi="Calibri" w:eastAsia="Calibri" w:cs="Times New Roman"/>
    </w:rPr>
  </w:style>
  <w:style w:type="character" w:styleId="1046" w:customStyle="1">
    <w:name w:val="Абзац списка Знак"/>
    <w:link w:val="1057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47">
    <w:name w:val="annotation reference"/>
    <w:uiPriority w:val="99"/>
    <w:semiHidden/>
    <w:unhideWhenUsed/>
    <w:qFormat/>
    <w:rPr>
      <w:rFonts w:ascii="Times New Roman" w:hAnsi="Times New Roman" w:cs="Times New Roman"/>
      <w:sz w:val="16"/>
      <w:szCs w:val="16"/>
    </w:rPr>
  </w:style>
  <w:style w:type="character" w:styleId="1048">
    <w:name w:val="Hyperlink"/>
    <w:basedOn w:val="839"/>
    <w:uiPriority w:val="99"/>
    <w:unhideWhenUsed/>
    <w:rPr>
      <w:color w:val="0563c1" w:themeColor="hyperlink"/>
      <w:u w:val="single"/>
    </w:rPr>
  </w:style>
  <w:style w:type="character" w:styleId="1049" w:customStyle="1">
    <w:name w:val="Unresolved Mention"/>
    <w:basedOn w:val="839"/>
    <w:uiPriority w:val="99"/>
    <w:semiHidden/>
    <w:unhideWhenUsed/>
    <w:qFormat/>
    <w:rPr>
      <w:color w:val="605e5c"/>
      <w:shd w:val="clear" w:color="auto" w:fill="e1dfdd"/>
    </w:rPr>
  </w:style>
  <w:style w:type="paragraph" w:styleId="1050">
    <w:name w:val="Title"/>
    <w:basedOn w:val="829"/>
    <w:next w:val="1051"/>
    <w:link w:val="887"/>
    <w:qFormat/>
    <w:pPr>
      <w:keepNext/>
      <w:spacing w:before="240" w:after="120"/>
    </w:pPr>
    <w:rPr>
      <w:rFonts w:eastAsia="Arial Unicode MS" w:cs="Tahoma"/>
      <w:sz w:val="28"/>
      <w:szCs w:val="28"/>
      <w:lang w:eastAsia="ar-SA"/>
    </w:rPr>
  </w:style>
  <w:style w:type="paragraph" w:styleId="1051">
    <w:name w:val="Body Text"/>
    <w:basedOn w:val="829"/>
    <w:link w:val="1044"/>
    <w:uiPriority w:val="99"/>
    <w:semiHidden/>
    <w:unhideWhenUsed/>
    <w:pPr>
      <w:spacing w:after="120"/>
    </w:pPr>
  </w:style>
  <w:style w:type="paragraph" w:styleId="1052">
    <w:name w:val="List"/>
    <w:basedOn w:val="1051"/>
    <w:rPr>
      <w:rFonts w:cs="Droid Sans Devanagari"/>
    </w:rPr>
  </w:style>
  <w:style w:type="paragraph" w:styleId="1053">
    <w:name w:val="Caption"/>
    <w:basedOn w:val="829"/>
    <w:link w:val="875"/>
    <w:qFormat/>
    <w:pPr>
      <w:spacing w:before="120" w:after="120"/>
      <w:suppressLineNumbers/>
    </w:pPr>
    <w:rPr>
      <w:rFonts w:cs="Droid Sans Devanagari"/>
      <w:i/>
      <w:iCs/>
    </w:rPr>
  </w:style>
  <w:style w:type="paragraph" w:styleId="1054">
    <w:name w:val="index heading"/>
    <w:basedOn w:val="829"/>
    <w:qFormat/>
    <w:pPr>
      <w:suppressLineNumbers/>
    </w:pPr>
    <w:rPr>
      <w:rFonts w:cs="Droid Sans Devanagari"/>
    </w:rPr>
  </w:style>
  <w:style w:type="paragraph" w:styleId="1055" w:customStyle="1">
    <w:name w:val="ConsNonformat"/>
    <w:qFormat/>
    <w:pPr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056" w:customStyle="1">
    <w:name w:val="ConsNormal"/>
    <w:link w:val="1042"/>
    <w:qFormat/>
    <w:pPr>
      <w:ind w:firstLine="720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57">
    <w:name w:val="List Paragraph"/>
    <w:basedOn w:val="829"/>
    <w:link w:val="1046"/>
    <w:uiPriority w:val="34"/>
    <w:qFormat/>
    <w:pPr>
      <w:contextualSpacing/>
      <w:ind w:left="720"/>
    </w:pPr>
  </w:style>
  <w:style w:type="paragraph" w:styleId="1058">
    <w:name w:val="No Spacing"/>
    <w:link w:val="1045"/>
    <w:uiPriority w:val="1"/>
    <w:qFormat/>
    <w:rPr>
      <w:rFonts w:cs="Times New Roman"/>
    </w:rPr>
  </w:style>
  <w:style w:type="paragraph" w:styleId="1059" w:customStyle="1">
    <w:name w:val="No Spacing1"/>
    <w:qFormat/>
    <w:rPr>
      <w:rFonts w:ascii="Calibri" w:hAnsi="Calibri" w:eastAsia="Droid Sans Fallback" w:cs="Droid Sans Devanagari"/>
      <w:color w:val="000000"/>
      <w:szCs w:val="20"/>
      <w:lang w:eastAsia="zh-CN" w:bidi="hi-IN"/>
    </w:rPr>
  </w:style>
  <w:style w:type="paragraph" w:styleId="1060" w:customStyle="1">
    <w:name w:val="Normal (Web)1"/>
    <w:basedOn w:val="829"/>
    <w:qFormat/>
  </w:style>
  <w:style w:type="paragraph" w:styleId="1061" w:customStyle="1">
    <w:name w:val="ConsPlusNormal"/>
    <w:pPr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1062" w:customStyle="1">
    <w:name w:val="Без интервала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1063" w:customStyle="1">
    <w:name w:val="Гиперссылка"/>
    <w:next w:val="881"/>
    <w:link w:val="869"/>
    <w:rPr>
      <w:color w:val="0000ff"/>
      <w:u w:val="single"/>
    </w:rPr>
  </w:style>
  <w:style w:type="paragraph" w:styleId="1064" w:customStyle="1">
    <w:name w:val="Обычный1"/>
    <w:uiPriority w:val="99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login.consultant.ru/link/?req=doc&amp;base=LAW&amp;n=505677&amp;dst=100028" TargetMode="External"/><Relationship Id="rId11" Type="http://schemas.openxmlformats.org/officeDocument/2006/relationships/hyperlink" Target="https://login.consultant.ru/link/?req=doc&amp;base=LAW&amp;n=141711&amp;dst=100003" TargetMode="External"/><Relationship Id="rId12" Type="http://schemas.openxmlformats.org/officeDocument/2006/relationships/hyperlink" Target="https://login.consultant.ru/link/?req=doc&amp;base=LAW&amp;n=519392" TargetMode="External"/><Relationship Id="rId13" Type="http://schemas.openxmlformats.org/officeDocument/2006/relationships/hyperlink" Target="https://login.consultant.ru/link/?req=doc&amp;base=LAW&amp;n=141711&amp;dst=100005" TargetMode="External"/><Relationship Id="rId14" Type="http://schemas.openxmlformats.org/officeDocument/2006/relationships/hyperlink" Target="https://login.consultant.ru/link/?req=doc&amp;base=LAW&amp;n=523556&amp;dst=249" TargetMode="External"/><Relationship Id="rId15" Type="http://schemas.openxmlformats.org/officeDocument/2006/relationships/hyperlink" Target="consultantplus://offline/ref=C2BD2A4F80E25365165831C7AD37DAABB91DE38CFA470C4ADEA47DD40Do6r2H" TargetMode="External"/><Relationship Id="rId16" Type="http://schemas.openxmlformats.org/officeDocument/2006/relationships/hyperlink" Target="file://C:\D:\%D0%A1%D0%B5%D1%82%D0%B5%D0%B2%D0%B0%D1%8F%20%D0%BF%D0%B0%D0%BF%D0%BA%D0%B0\AFONCH~1\AppData\Local\Temp\%D0%A2%D0%B8%D0%BF%D0%BE%D0%B2%D0%BE%D0%B9%20%D0%BA%D0%BE%D0%BD%D1%82%D1%80%D0%B0%D0%BA%D1%82%20(%D0%B2%D1%8B%D0%BF%D0%BE%D0%BB%D0%BD%D0%B5%D0%BD%D0%B8%D0%B5%20%D1%80%D0%B0%D0%B1%D0%BE%D1%82).doc" TargetMode="External"/><Relationship Id="rId17" Type="http://schemas.openxmlformats.org/officeDocument/2006/relationships/hyperlink" Target="https://calculator.consultant.ru/okpd2/code?id=86.21.10.12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882B4-617A-475C-8CD9-9D5931FE9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org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Алина</dc:creator>
  <dc:language>ru-RU</dc:language>
  <cp:lastModifiedBy>natalya.girina</cp:lastModifiedBy>
  <cp:revision>102</cp:revision>
  <dcterms:created xsi:type="dcterms:W3CDTF">2024-11-17T14:08:00Z</dcterms:created>
  <dcterms:modified xsi:type="dcterms:W3CDTF">2026-08-12T06:32:08Z</dcterms:modified>
</cp:coreProperties>
</file>