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  <w:outlineLvl w:val="0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оказание услуг по сбору, транспортированию и утилизации списанного имущества Межрегионального управления № 153 ФМБА России,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утратившего потребительские свойства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1.Предмет закупки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казание услуг по сбору, транспортированию и утилизации списанного имуще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ства Межрегионального управления № 153 ФМБА России, утратившего потребительские свойства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Услуги)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Заказчик</w:t>
      </w:r>
      <w:r>
        <w:rPr>
          <w:rFonts w:ascii="Times New Roman" w:hAnsi="Times New Roman" w:cs="Times New Roman"/>
          <w:sz w:val="24"/>
          <w:szCs w:val="24"/>
        </w:rPr>
        <w:t xml:space="preserve">: Межрегиональное управление № 153 ФМБА России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Место оказания услуги</w:t>
      </w:r>
      <w:r>
        <w:rPr>
          <w:rFonts w:ascii="Times New Roman" w:hAnsi="Times New Roman" w:cs="Times New Roman"/>
          <w:sz w:val="24"/>
          <w:szCs w:val="24"/>
        </w:rPr>
        <w:t xml:space="preserve">: г. Нижний Новгород и </w:t>
      </w:r>
      <w:r>
        <w:rPr>
          <w:rFonts w:ascii="Times New Roman" w:hAnsi="Times New Roman" w:cs="Times New Roman"/>
          <w:sz w:val="24"/>
          <w:szCs w:val="24"/>
        </w:rPr>
        <w:t xml:space="preserve">(или</w:t>
      </w:r>
      <w:r>
        <w:rPr>
          <w:rFonts w:ascii="Times New Roman" w:hAnsi="Times New Roman" w:cs="Times New Roman"/>
          <w:sz w:val="24"/>
          <w:szCs w:val="24"/>
        </w:rPr>
        <w:t xml:space="preserve">) Нижегородская область.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Срок оказания услуги: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25.08.2026.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Перечень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имущества подлежащий утилизации: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Таблица №1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743"/>
        <w:gridCol w:w="4453"/>
        <w:gridCol w:w="1893"/>
        <w:gridCol w:w="1692"/>
        <w:gridCol w:w="1181"/>
      </w:tblGrid>
      <w:tr>
        <w:trPr/>
        <w:tc>
          <w:tcPr>
            <w:tcW w:w="74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ffffff" w:fill="ffffff"/>
            <w:tcW w:w="445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ffffff" w:fill="ffffff"/>
            <w:tcW w:w="18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Код ФККО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6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Класс опасности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ffffff" w:fill="ffffff"/>
            <w:tcW w:w="118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Кол-во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(шт.)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616"/>
        </w:trPr>
        <w:tc>
          <w:tcPr>
            <w:tcW w:w="74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445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Комплект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индивидуальной 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мед.гр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 защиты КИМГЗ-РН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W w:w="1893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4 91 105 11 52 4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692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IV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W w:w="1181" w:type="dxa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616"/>
        </w:trPr>
        <w:tc>
          <w:tcPr>
            <w:tcW w:w="74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445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Комплект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индивидуальной 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мед.гр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 защиты КИМГЗ-Х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W w:w="1893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4 91 105 11 52 4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692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IV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W w:w="1181" w:type="dxa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616"/>
        </w:trPr>
        <w:tc>
          <w:tcPr>
            <w:tcW w:w="74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445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Огнетушители ОП-2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893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4 89 221 11 52 4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692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IV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W w:w="1181" w:type="dxa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57"/>
        </w:trPr>
        <w:tc>
          <w:tcPr>
            <w:tcW w:w="74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445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Огнетушители ОП-8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893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4 89 221 11 52 4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692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IV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W w:w="1181" w:type="dxa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W w:w="7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445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ИТОГО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8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18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</w:t>
      </w:r>
      <w:r>
        <w:rPr>
          <w:rFonts w:ascii="Times New Roman" w:hAnsi="Times New Roman" w:cs="Times New Roman"/>
          <w:b/>
          <w:sz w:val="24"/>
          <w:szCs w:val="24"/>
        </w:rPr>
        <w:t xml:space="preserve">. Условия оказания услуг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.1. Оказание услуг включает в себя расходы Исполнителя по сбору, вывозу и утилизации имущества.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.2. Передача Исполнителю списанного имущ</w:t>
      </w:r>
      <w:r>
        <w:rPr>
          <w:rFonts w:ascii="Times New Roman" w:hAnsi="Times New Roman" w:cs="Times New Roman"/>
          <w:sz w:val="24"/>
          <w:szCs w:val="24"/>
        </w:rPr>
        <w:t xml:space="preserve">ества осуществляется по Акту приема-передачи списанного имущества. Акт приема-передачи списанного имущества подписывается Исполнителем и представителем Заказчика в 2 (двух) экземплярах в день приема-передачи имущества.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.3. Сбор, погрузка списанного имущес</w:t>
      </w:r>
      <w:r>
        <w:rPr>
          <w:rFonts w:ascii="Times New Roman" w:hAnsi="Times New Roman" w:cs="Times New Roman"/>
          <w:sz w:val="24"/>
          <w:szCs w:val="24"/>
        </w:rPr>
        <w:t xml:space="preserve">тва и утилизация осуществляется </w:t>
      </w:r>
      <w:r>
        <w:rPr>
          <w:rFonts w:ascii="Times New Roman" w:hAnsi="Times New Roman" w:cs="Times New Roman"/>
          <w:sz w:val="24"/>
          <w:szCs w:val="24"/>
        </w:rPr>
        <w:t xml:space="preserve">согласно перечня</w:t>
      </w:r>
      <w:r>
        <w:rPr>
          <w:rFonts w:ascii="Times New Roman" w:hAnsi="Times New Roman" w:cs="Times New Roman"/>
          <w:sz w:val="24"/>
          <w:szCs w:val="24"/>
        </w:rPr>
        <w:t xml:space="preserve"> имущества (Таблица №1) и осуществляется силами Исполнителя на транспорте Исполнителя в соответствии с требованиями безопасности. Исполнитель собственными силами осуществляет вывоз списанного имущества.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С момента передачи списанного имущества ответственность по сбору, перевозке, а также ее сохранности до момента утилизации переходит к Исполнителю.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.4. Исполнитель обеспечивает соблюдение норм техники безопасности, охраны труда при работе со </w:t>
      </w:r>
      <w:r>
        <w:rPr>
          <w:rFonts w:ascii="Times New Roman" w:hAnsi="Times New Roman" w:cs="Times New Roman"/>
          <w:sz w:val="24"/>
          <w:szCs w:val="24"/>
        </w:rPr>
        <w:t xml:space="preserve">списанным</w:t>
      </w:r>
      <w:r>
        <w:rPr>
          <w:rFonts w:ascii="Times New Roman" w:hAnsi="Times New Roman" w:cs="Times New Roman"/>
          <w:sz w:val="24"/>
          <w:szCs w:val="24"/>
        </w:rPr>
        <w:t xml:space="preserve">  имуществом</w:t>
      </w:r>
      <w:r>
        <w:rPr>
          <w:rFonts w:ascii="Times New Roman" w:hAnsi="Times New Roman" w:cs="Times New Roman"/>
          <w:sz w:val="24"/>
          <w:szCs w:val="24"/>
        </w:rPr>
        <w:t xml:space="preserve">  Заказчика во время их сбора и вывоза.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</w:t>
      </w:r>
      <w:r>
        <w:rPr>
          <w:rFonts w:ascii="Times New Roman" w:hAnsi="Times New Roman" w:cs="Times New Roman"/>
          <w:b/>
          <w:sz w:val="24"/>
          <w:szCs w:val="24"/>
        </w:rPr>
        <w:t xml:space="preserve">.Источник финансирования</w:t>
      </w:r>
      <w:r>
        <w:rPr>
          <w:rFonts w:ascii="Times New Roman" w:hAnsi="Times New Roman" w:cs="Times New Roman"/>
          <w:sz w:val="24"/>
          <w:szCs w:val="24"/>
        </w:rPr>
        <w:t xml:space="preserve"> - федеральный бюджет в пределах выделенных лимитов бюджетных обязательств на 2026 год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</w:t>
      </w:r>
      <w:r>
        <w:rPr>
          <w:rFonts w:ascii="Times New Roman" w:hAnsi="Times New Roman" w:cs="Times New Roman"/>
          <w:b/>
          <w:sz w:val="24"/>
          <w:szCs w:val="24"/>
        </w:rPr>
        <w:t xml:space="preserve">. Порядок оплаты</w:t>
      </w:r>
      <w:r>
        <w:rPr>
          <w:rFonts w:ascii="Times New Roman" w:hAnsi="Times New Roman" w:cs="Times New Roman"/>
          <w:sz w:val="24"/>
          <w:szCs w:val="24"/>
        </w:rPr>
        <w:t xml:space="preserve">: Оплата оказанных услуг осуществляется по безналичному расчету на основани</w:t>
      </w:r>
      <w:r>
        <w:rPr>
          <w:rFonts w:ascii="Times New Roman" w:hAnsi="Times New Roman" w:cs="Times New Roman"/>
          <w:sz w:val="24"/>
          <w:szCs w:val="24"/>
        </w:rPr>
        <w:t xml:space="preserve">и переданных исполнителем платежных документов (счета, акта оказанных услуг (УПД) путем перечисления денежных средств на расчетный счет Исполнителя в срок не более 7 </w:t>
      </w:r>
      <w:r>
        <w:rPr>
          <w:rFonts w:ascii="Times New Roman" w:hAnsi="Times New Roman" w:cs="Times New Roman"/>
          <w:sz w:val="24"/>
          <w:szCs w:val="24"/>
        </w:rPr>
        <w:t xml:space="preserve">рабочих  дней</w:t>
      </w:r>
      <w:r>
        <w:rPr>
          <w:rFonts w:ascii="Times New Roman" w:hAnsi="Times New Roman" w:cs="Times New Roman"/>
          <w:sz w:val="24"/>
          <w:szCs w:val="24"/>
        </w:rPr>
        <w:t xml:space="preserve"> с даты подписания документа о приемке выполненных услуг.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9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Перечень нормативно-правовых актов, используемых Исполнителем при оказании услуг: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Федеральный закон от 24.06.1998 № 89-ФЗ «Об отходах производства и потребления»;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Федеральный закон от 30.03.1999 № 52-ФЗ «О санитарно-эпидемиологическом благополучии на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селения»;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Федеральный закон от 10.01.2002 № 7-ФЗ «Об охране окружающей среды»;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contextualSpacing/>
        <w:jc w:val="both"/>
        <w:spacing w:after="0" w:line="240" w:lineRule="auto"/>
        <w:widowControl w:val="off"/>
        <w:tabs>
          <w:tab w:val="left" w:pos="567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Федеральный закон от 04.05.2011 № 99-ФЗ «О лицензировании отдельных видов деятельности»;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contextualSpacing/>
        <w:jc w:val="both"/>
        <w:spacing w:after="0" w:line="240" w:lineRule="auto"/>
        <w:widowControl w:val="off"/>
        <w:tabs>
          <w:tab w:val="left" w:pos="567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Положение о лицензировании деятельности по сбору, транспортированию, обработке, ут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илизации, обезвреживанию, размещению отходов I - IV классов опасности, утвержденное Постановлением Правительства РФ от 26.12.2020 N 2290 "О лицензировании деятельности по сбору, транспортированию, обработке, утилизации, обезвреживанию, размещению отходов I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- IV классов опасности";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- Постановление Главного государственного санитарного врача Российской Федерации от 28.01.2021 № 3 «Об утверждении санитарных правил и норм СанПиН 2.1.3684-21 «Санитарно-эпидемиологические требования к содержанию территорий городс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ческих) мероприятий»;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contextualSpacing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10.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Требование к Исполнителю: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right="41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.1. Сбор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и  утилизация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отходов должны осуществляться в соответствии с действующими требованиями санитарно-эпидемиологического и природоохранного законодательства Российской Федерации.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right="41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.2. Исполнитель должен иметь собственную лицензию на право осуществления деятельности по сбору, транспортированию и утилизации отходов I-IV класса опасности, выданной в соответствии с Федеральным законом №99-ФЗ от 04.05.2011г «О лицензировании отдельных в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идов деятельности», Постановлением Правительства РФ от 26 декабря 2020г №2290 «О лицензировании деятельности по сбору, транспортированию,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обработке, утилизации, обезвреживанию, размещению отходов I-IV классов опасности».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right="41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Лицензия Исполнителя должна содержат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ь виды работ:</w:t>
      </w:r>
      <w:r>
        <w:rPr>
          <w:rFonts w:ascii="Times New Roman" w:hAnsi="Times New Roman" w:eastAsia="Calibri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highlight w:val="none"/>
          <w:lang w:eastAsia="ru-RU"/>
        </w:rPr>
      </w:r>
    </w:p>
    <w:p>
      <w:pPr>
        <w:ind w:right="41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-сбор отходов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ru-RU"/>
        </w:rPr>
        <w:t xml:space="preserve">IV к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ru-RU"/>
        </w:rPr>
        <w:t xml:space="preserve">ласса опасности;</w:t>
      </w:r>
      <w:r>
        <w:rPr>
          <w:rFonts w:ascii="Times New Roman" w:hAnsi="Times New Roman" w:eastAsia="Calibri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highlight w:val="none"/>
          <w:lang w:eastAsia="ru-RU"/>
        </w:rPr>
      </w:r>
    </w:p>
    <w:p>
      <w:pPr>
        <w:ind w:right="41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highlight w:val="white"/>
          <w:lang w:eastAsia="ru-RU"/>
        </w:rPr>
        <w:t xml:space="preserve">-транспортирование отходов 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ru-RU"/>
        </w:rPr>
        <w:t xml:space="preserve">IV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ru-RU"/>
        </w:rPr>
        <w:t xml:space="preserve"> класса опасности;</w:t>
      </w:r>
      <w:r>
        <w:rPr>
          <w:rFonts w:ascii="Times New Roman" w:hAnsi="Times New Roman" w:eastAsia="Calibri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highlight w:val="none"/>
          <w:lang w:eastAsia="ru-RU"/>
        </w:rPr>
      </w:r>
    </w:p>
    <w:p>
      <w:pPr>
        <w:ind w:right="41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highlight w:val="white"/>
          <w:lang w:eastAsia="ru-RU"/>
        </w:rPr>
        <w:t xml:space="preserve">-обработка отходов 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ru-RU"/>
        </w:rPr>
        <w:t xml:space="preserve">IV к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ru-RU"/>
        </w:rPr>
        <w:t xml:space="preserve">ласса опасности;</w:t>
      </w:r>
      <w:r>
        <w:rPr>
          <w:rFonts w:ascii="Times New Roman" w:hAnsi="Times New Roman" w:eastAsia="Calibri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highlight w:val="none"/>
          <w:lang w:eastAsia="ru-RU"/>
        </w:rPr>
      </w:r>
    </w:p>
    <w:p>
      <w:pPr>
        <w:ind w:right="41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highlight w:val="white"/>
        </w:rPr>
      </w:pPr>
      <w:r>
        <w:rPr>
          <w:rFonts w:ascii="Times New Roman" w:hAnsi="Times New Roman" w:eastAsia="Calibri" w:cs="Times New Roman"/>
          <w:sz w:val="24"/>
          <w:szCs w:val="24"/>
          <w:highlight w:val="white"/>
          <w:lang w:eastAsia="ru-RU"/>
        </w:rPr>
        <w:t xml:space="preserve">-утилизация отходов 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ru-RU"/>
        </w:rPr>
        <w:t xml:space="preserve">IV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ru-RU"/>
        </w:rPr>
        <w:t xml:space="preserve"> класса опасности.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</w:r>
    </w:p>
    <w:p>
      <w:pPr>
        <w:ind w:right="41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highlight w:val="white"/>
        </w:rPr>
      </w:pPr>
      <w:r>
        <w:rPr>
          <w:rFonts w:ascii="Times New Roman" w:hAnsi="Times New Roman" w:eastAsia="Calibri" w:cs="Times New Roman"/>
          <w:sz w:val="24"/>
          <w:szCs w:val="24"/>
          <w:highlight w:val="white"/>
          <w:lang w:eastAsia="ru-RU"/>
        </w:rPr>
        <w:t xml:space="preserve">Срок лицензии не должен истекать ранее окончания срока исполнения Контракта.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</w:r>
    </w:p>
    <w:p>
      <w:pPr>
        <w:contextualSpacing/>
        <w:jc w:val="both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  <w:t xml:space="preserve">. Порядок и условия оказания У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слуг: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.1. Исполнитель своими силами осуществляет транспортирование (вывоз) списанное имущество на объекты размещения или утилизации отходов. Не допускается вывоз отходов на другие, не предназначенные для этого места.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.2.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Во время оказания услуг Исполнитель должен обеспечить соблюдение норм пожарной безопасности, техники безопасности, охраны окружающей среды.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.3. Передача списанного имущества, подлежащего утилизации, от Заказчика Исполнителю оформляется актом приема-пере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дачи списанного имущества в 2 (двух) экземплярах и подписывается уполномоченными лицами Заказчика и Исполнителя. В акте указывается наименование списанного имущества, подлежащего утилизации.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Списанное имущество, предназначенное для утилизации, передается И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сполнителю на утилизацию без упаковки. С момента передачи утилизируемых объектов от Заказчика Исполнителю ответственность за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сохранность  несет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Исполнитель.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.4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 ходе оказания услуг должно быть обязательное соблюдение требований по технике безопасности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, охране труда и пожарной безопасности, санитарных,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экологических норм и правил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действующих на территории Российской Федерации.</w:t>
      </w:r>
      <w:r>
        <w:rPr>
          <w:rFonts w:ascii="Times New Roman" w:hAnsi="Times New Roman" w:eastAsia="Calibri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highlight w:val="none"/>
          <w:lang w:eastAsia="ru-RU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  <w:t xml:space="preserve">.Требования к результатам оказанных услуг и иные показатели, связанные с определением соответствия оказанных услуг потребностя</w:t>
      </w: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  <w:t xml:space="preserve">м Заказчика</w:t>
      </w: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.1. По результатам оказанных услуг Исполнитель предоставляет Заказчику отчетные документы: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- Копия действующей лицензии или выписка из реестра лицензий на осуществление деятельности по сбору, транспортированию, обработке, утилизации, обезвре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живанию, размещению отходов I - IV классов опасности, выданную в соответствии с Федеральным законом от 24.06.1998 № 89-ФЗ «Об отходах производства и потребления»;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- Акт приема-передачи списанного имущества;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sz w:val="24"/>
          <w:szCs w:val="24"/>
          <w:highlight w:val="yellow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- Акт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утилизации;</w:t>
      </w:r>
      <w:r>
        <w:rPr>
          <w:rFonts w:ascii="Times New Roman" w:hAnsi="Times New Roman" w:eastAsia="Calibri" w:cs="Times New Roman"/>
          <w:sz w:val="24"/>
          <w:szCs w:val="24"/>
          <w:highlight w:val="yellow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highlight w:val="yellow"/>
          <w:lang w:eastAsia="ru-RU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- Акт оказанных услуг (УПД)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;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- Иные имеющиеся документы, подтверждающие объёмы и качество оказанных услуг.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.2. Заказчик вправе отказаться от приемки оказанных услуг в случае несоответствия объемов предъявленных услуг фактически оказанных, некачественного оказания услуг, отс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тупления от технических условий и других нормативных документов, отсутствия требуемой исполнительной документации, а также неправильное оформление документов.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  <w:t xml:space="preserve">3</w:t>
      </w: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  <w:t xml:space="preserve">. Требования к сроку и (или) объему предоставления гарантии </w:t>
      </w: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  <w:t xml:space="preserve">качества  услуг</w:t>
      </w: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3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.1. Исполнитель гарантирует качество услуг, Услуги должны оказываться с соблюдением экологических, санитарно-гигиенических и противопожарных требований, действующих на террито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рии Российской Федерации.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3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.2. Исполнитель гарантирует, что списанные объекты Заказчика не будут вывезены на несанкционированные свалки и захоронены на полигонах ТКО.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3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.3. Исполнитель гарантирует Заказчику соответствие качества оказанных услуг стандартам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и требованиям, предъявляемым к результату оказываемых услуг такого рода. В случае если качество оказанных услуг не соответствует условиям Контракта, Заказчик вправе потребовать от Исполнителя безвозмездного устранения недостатков.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sectPr>
      <w:footnotePr/>
      <w:endnotePr/>
      <w:type w:val="nextPage"/>
      <w:pgSz w:w="11906" w:h="16838" w:orient="portrait"/>
      <w:pgMar w:top="1440" w:right="1080" w:bottom="1440" w:left="108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isLgl w:val="false"/>
      <w:suff w:val="tab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Times New Roman" w:hAnsi="Times New Roman" w:cs="Times New Roman" w:eastAsiaTheme="minorHAnsi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4" w:default="1">
    <w:name w:val="Normal"/>
    <w:qFormat/>
  </w:style>
  <w:style w:type="paragraph" w:styleId="665">
    <w:name w:val="Heading 1"/>
    <w:basedOn w:val="664"/>
    <w:next w:val="664"/>
    <w:link w:val="69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66">
    <w:name w:val="Heading 2"/>
    <w:basedOn w:val="664"/>
    <w:next w:val="664"/>
    <w:link w:val="69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67">
    <w:name w:val="Heading 3"/>
    <w:basedOn w:val="664"/>
    <w:next w:val="664"/>
    <w:link w:val="69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68">
    <w:name w:val="Heading 4"/>
    <w:basedOn w:val="664"/>
    <w:next w:val="664"/>
    <w:link w:val="69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69">
    <w:name w:val="Heading 5"/>
    <w:basedOn w:val="664"/>
    <w:next w:val="664"/>
    <w:link w:val="69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70">
    <w:name w:val="Heading 6"/>
    <w:basedOn w:val="664"/>
    <w:next w:val="664"/>
    <w:link w:val="69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71">
    <w:name w:val="Heading 7"/>
    <w:basedOn w:val="664"/>
    <w:next w:val="664"/>
    <w:link w:val="70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72">
    <w:name w:val="Heading 8"/>
    <w:basedOn w:val="664"/>
    <w:next w:val="664"/>
    <w:link w:val="70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73">
    <w:name w:val="Heading 9"/>
    <w:basedOn w:val="664"/>
    <w:next w:val="664"/>
    <w:link w:val="70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4" w:default="1">
    <w:name w:val="Default Paragraph Font"/>
    <w:uiPriority w:val="1"/>
    <w:semiHidden/>
    <w:unhideWhenUsed/>
  </w:style>
  <w:style w:type="table" w:styleId="67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6" w:default="1">
    <w:name w:val="No List"/>
    <w:uiPriority w:val="99"/>
    <w:semiHidden/>
    <w:unhideWhenUsed/>
  </w:style>
  <w:style w:type="character" w:styleId="677" w:customStyle="1">
    <w:name w:val="Heading 1 Char"/>
    <w:basedOn w:val="674"/>
    <w:uiPriority w:val="9"/>
    <w:rPr>
      <w:rFonts w:ascii="Arial" w:hAnsi="Arial" w:eastAsia="Arial" w:cs="Arial"/>
      <w:sz w:val="40"/>
      <w:szCs w:val="40"/>
    </w:rPr>
  </w:style>
  <w:style w:type="character" w:styleId="678" w:customStyle="1">
    <w:name w:val="Heading 2 Char"/>
    <w:basedOn w:val="674"/>
    <w:uiPriority w:val="9"/>
    <w:rPr>
      <w:rFonts w:ascii="Arial" w:hAnsi="Arial" w:eastAsia="Arial" w:cs="Arial"/>
      <w:sz w:val="34"/>
    </w:rPr>
  </w:style>
  <w:style w:type="character" w:styleId="679" w:customStyle="1">
    <w:name w:val="Heading 3 Char"/>
    <w:basedOn w:val="674"/>
    <w:uiPriority w:val="9"/>
    <w:rPr>
      <w:rFonts w:ascii="Arial" w:hAnsi="Arial" w:eastAsia="Arial" w:cs="Arial"/>
      <w:sz w:val="30"/>
      <w:szCs w:val="30"/>
    </w:rPr>
  </w:style>
  <w:style w:type="character" w:styleId="680" w:customStyle="1">
    <w:name w:val="Heading 4 Char"/>
    <w:basedOn w:val="674"/>
    <w:uiPriority w:val="9"/>
    <w:rPr>
      <w:rFonts w:ascii="Arial" w:hAnsi="Arial" w:eastAsia="Arial" w:cs="Arial"/>
      <w:b/>
      <w:bCs/>
      <w:sz w:val="26"/>
      <w:szCs w:val="26"/>
    </w:rPr>
  </w:style>
  <w:style w:type="character" w:styleId="681" w:customStyle="1">
    <w:name w:val="Heading 5 Char"/>
    <w:basedOn w:val="674"/>
    <w:uiPriority w:val="9"/>
    <w:rPr>
      <w:rFonts w:ascii="Arial" w:hAnsi="Arial" w:eastAsia="Arial" w:cs="Arial"/>
      <w:b/>
      <w:bCs/>
      <w:sz w:val="24"/>
      <w:szCs w:val="24"/>
    </w:rPr>
  </w:style>
  <w:style w:type="character" w:styleId="682" w:customStyle="1">
    <w:name w:val="Heading 6 Char"/>
    <w:basedOn w:val="674"/>
    <w:uiPriority w:val="9"/>
    <w:rPr>
      <w:rFonts w:ascii="Arial" w:hAnsi="Arial" w:eastAsia="Arial" w:cs="Arial"/>
      <w:b/>
      <w:bCs/>
      <w:sz w:val="22"/>
      <w:szCs w:val="22"/>
    </w:rPr>
  </w:style>
  <w:style w:type="character" w:styleId="683" w:customStyle="1">
    <w:name w:val="Heading 7 Char"/>
    <w:basedOn w:val="67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4" w:customStyle="1">
    <w:name w:val="Heading 8 Char"/>
    <w:basedOn w:val="674"/>
    <w:uiPriority w:val="9"/>
    <w:rPr>
      <w:rFonts w:ascii="Arial" w:hAnsi="Arial" w:eastAsia="Arial" w:cs="Arial"/>
      <w:i/>
      <w:iCs/>
      <w:sz w:val="22"/>
      <w:szCs w:val="22"/>
    </w:rPr>
  </w:style>
  <w:style w:type="character" w:styleId="685" w:customStyle="1">
    <w:name w:val="Heading 9 Char"/>
    <w:basedOn w:val="674"/>
    <w:uiPriority w:val="9"/>
    <w:rPr>
      <w:rFonts w:ascii="Arial" w:hAnsi="Arial" w:eastAsia="Arial" w:cs="Arial"/>
      <w:i/>
      <w:iCs/>
      <w:sz w:val="21"/>
      <w:szCs w:val="21"/>
    </w:rPr>
  </w:style>
  <w:style w:type="character" w:styleId="686" w:customStyle="1">
    <w:name w:val="Title Char"/>
    <w:basedOn w:val="674"/>
    <w:uiPriority w:val="10"/>
    <w:rPr>
      <w:sz w:val="48"/>
      <w:szCs w:val="48"/>
    </w:rPr>
  </w:style>
  <w:style w:type="character" w:styleId="687" w:customStyle="1">
    <w:name w:val="Subtitle Char"/>
    <w:basedOn w:val="674"/>
    <w:uiPriority w:val="11"/>
    <w:rPr>
      <w:sz w:val="24"/>
      <w:szCs w:val="24"/>
    </w:rPr>
  </w:style>
  <w:style w:type="character" w:styleId="688" w:customStyle="1">
    <w:name w:val="Quote Char"/>
    <w:uiPriority w:val="29"/>
    <w:rPr>
      <w:i/>
    </w:rPr>
  </w:style>
  <w:style w:type="character" w:styleId="689" w:customStyle="1">
    <w:name w:val="Intense Quote Char"/>
    <w:uiPriority w:val="30"/>
    <w:rPr>
      <w:i/>
    </w:rPr>
  </w:style>
  <w:style w:type="character" w:styleId="690" w:customStyle="1">
    <w:name w:val="Header Char"/>
    <w:basedOn w:val="674"/>
    <w:uiPriority w:val="99"/>
  </w:style>
  <w:style w:type="character" w:styleId="691" w:customStyle="1">
    <w:name w:val="Caption Char"/>
    <w:uiPriority w:val="99"/>
  </w:style>
  <w:style w:type="character" w:styleId="692" w:customStyle="1">
    <w:name w:val="Footnote Text Char"/>
    <w:uiPriority w:val="99"/>
    <w:rPr>
      <w:sz w:val="18"/>
    </w:rPr>
  </w:style>
  <w:style w:type="character" w:styleId="693" w:customStyle="1">
    <w:name w:val="Endnote Text Char"/>
    <w:uiPriority w:val="99"/>
    <w:rPr>
      <w:sz w:val="20"/>
    </w:rPr>
  </w:style>
  <w:style w:type="character" w:styleId="694" w:customStyle="1">
    <w:name w:val="Заголовок 1 Знак"/>
    <w:basedOn w:val="674"/>
    <w:link w:val="665"/>
    <w:uiPriority w:val="9"/>
    <w:rPr>
      <w:rFonts w:ascii="Arial" w:hAnsi="Arial" w:eastAsia="Arial" w:cs="Arial"/>
      <w:sz w:val="40"/>
      <w:szCs w:val="40"/>
    </w:rPr>
  </w:style>
  <w:style w:type="character" w:styleId="695" w:customStyle="1">
    <w:name w:val="Заголовок 2 Знак"/>
    <w:basedOn w:val="674"/>
    <w:link w:val="666"/>
    <w:uiPriority w:val="9"/>
    <w:rPr>
      <w:rFonts w:ascii="Arial" w:hAnsi="Arial" w:eastAsia="Arial" w:cs="Arial"/>
      <w:sz w:val="34"/>
    </w:rPr>
  </w:style>
  <w:style w:type="character" w:styleId="696" w:customStyle="1">
    <w:name w:val="Заголовок 3 Знак"/>
    <w:basedOn w:val="674"/>
    <w:link w:val="667"/>
    <w:uiPriority w:val="9"/>
    <w:rPr>
      <w:rFonts w:ascii="Arial" w:hAnsi="Arial" w:eastAsia="Arial" w:cs="Arial"/>
      <w:sz w:val="30"/>
      <w:szCs w:val="30"/>
    </w:rPr>
  </w:style>
  <w:style w:type="character" w:styleId="697" w:customStyle="1">
    <w:name w:val="Заголовок 4 Знак"/>
    <w:basedOn w:val="674"/>
    <w:link w:val="668"/>
    <w:uiPriority w:val="9"/>
    <w:rPr>
      <w:rFonts w:ascii="Arial" w:hAnsi="Arial" w:eastAsia="Arial" w:cs="Arial"/>
      <w:b/>
      <w:bCs/>
      <w:sz w:val="26"/>
      <w:szCs w:val="26"/>
    </w:rPr>
  </w:style>
  <w:style w:type="character" w:styleId="698" w:customStyle="1">
    <w:name w:val="Заголовок 5 Знак"/>
    <w:basedOn w:val="674"/>
    <w:link w:val="669"/>
    <w:uiPriority w:val="9"/>
    <w:rPr>
      <w:rFonts w:ascii="Arial" w:hAnsi="Arial" w:eastAsia="Arial" w:cs="Arial"/>
      <w:b/>
      <w:bCs/>
      <w:sz w:val="24"/>
      <w:szCs w:val="24"/>
    </w:rPr>
  </w:style>
  <w:style w:type="character" w:styleId="699" w:customStyle="1">
    <w:name w:val="Заголовок 6 Знак"/>
    <w:basedOn w:val="674"/>
    <w:link w:val="670"/>
    <w:uiPriority w:val="9"/>
    <w:rPr>
      <w:rFonts w:ascii="Arial" w:hAnsi="Arial" w:eastAsia="Arial" w:cs="Arial"/>
      <w:b/>
      <w:bCs/>
      <w:sz w:val="22"/>
      <w:szCs w:val="22"/>
    </w:rPr>
  </w:style>
  <w:style w:type="character" w:styleId="700" w:customStyle="1">
    <w:name w:val="Заголовок 7 Знак"/>
    <w:basedOn w:val="674"/>
    <w:link w:val="67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1" w:customStyle="1">
    <w:name w:val="Заголовок 8 Знак"/>
    <w:basedOn w:val="674"/>
    <w:link w:val="672"/>
    <w:uiPriority w:val="9"/>
    <w:rPr>
      <w:rFonts w:ascii="Arial" w:hAnsi="Arial" w:eastAsia="Arial" w:cs="Arial"/>
      <w:i/>
      <w:iCs/>
      <w:sz w:val="22"/>
      <w:szCs w:val="22"/>
    </w:rPr>
  </w:style>
  <w:style w:type="character" w:styleId="702" w:customStyle="1">
    <w:name w:val="Заголовок 9 Знак"/>
    <w:basedOn w:val="674"/>
    <w:link w:val="673"/>
    <w:uiPriority w:val="9"/>
    <w:rPr>
      <w:rFonts w:ascii="Arial" w:hAnsi="Arial" w:eastAsia="Arial" w:cs="Arial"/>
      <w:i/>
      <w:iCs/>
      <w:sz w:val="21"/>
      <w:szCs w:val="21"/>
    </w:rPr>
  </w:style>
  <w:style w:type="paragraph" w:styleId="703">
    <w:name w:val="No Spacing"/>
    <w:uiPriority w:val="1"/>
    <w:qFormat/>
    <w:pPr>
      <w:spacing w:after="0" w:line="240" w:lineRule="auto"/>
    </w:pPr>
  </w:style>
  <w:style w:type="paragraph" w:styleId="704">
    <w:name w:val="Title"/>
    <w:basedOn w:val="664"/>
    <w:next w:val="664"/>
    <w:link w:val="70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5" w:customStyle="1">
    <w:name w:val="Заголовок Знак"/>
    <w:basedOn w:val="674"/>
    <w:link w:val="704"/>
    <w:uiPriority w:val="10"/>
    <w:rPr>
      <w:sz w:val="48"/>
      <w:szCs w:val="48"/>
    </w:rPr>
  </w:style>
  <w:style w:type="paragraph" w:styleId="706">
    <w:name w:val="Subtitle"/>
    <w:basedOn w:val="664"/>
    <w:next w:val="664"/>
    <w:link w:val="707"/>
    <w:uiPriority w:val="11"/>
    <w:qFormat/>
    <w:pPr>
      <w:spacing w:before="200" w:after="200"/>
    </w:pPr>
    <w:rPr>
      <w:sz w:val="24"/>
      <w:szCs w:val="24"/>
    </w:rPr>
  </w:style>
  <w:style w:type="character" w:styleId="707" w:customStyle="1">
    <w:name w:val="Подзаголовок Знак"/>
    <w:basedOn w:val="674"/>
    <w:link w:val="706"/>
    <w:uiPriority w:val="11"/>
    <w:rPr>
      <w:sz w:val="24"/>
      <w:szCs w:val="24"/>
    </w:rPr>
  </w:style>
  <w:style w:type="paragraph" w:styleId="708">
    <w:name w:val="Quote"/>
    <w:basedOn w:val="664"/>
    <w:next w:val="664"/>
    <w:link w:val="709"/>
    <w:uiPriority w:val="29"/>
    <w:qFormat/>
    <w:pPr>
      <w:ind w:left="720" w:right="720"/>
    </w:pPr>
    <w:rPr>
      <w:i/>
    </w:rPr>
  </w:style>
  <w:style w:type="character" w:styleId="709" w:customStyle="1">
    <w:name w:val="Цитата 2 Знак"/>
    <w:link w:val="708"/>
    <w:uiPriority w:val="29"/>
    <w:rPr>
      <w:i/>
    </w:rPr>
  </w:style>
  <w:style w:type="paragraph" w:styleId="710">
    <w:name w:val="Intense Quote"/>
    <w:basedOn w:val="664"/>
    <w:next w:val="664"/>
    <w:link w:val="71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1" w:customStyle="1">
    <w:name w:val="Выделенная цитата Знак"/>
    <w:link w:val="710"/>
    <w:uiPriority w:val="30"/>
    <w:rPr>
      <w:i/>
    </w:rPr>
  </w:style>
  <w:style w:type="paragraph" w:styleId="712">
    <w:name w:val="Header"/>
    <w:basedOn w:val="664"/>
    <w:link w:val="71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3" w:customStyle="1">
    <w:name w:val="Верхний колонтитул Знак"/>
    <w:basedOn w:val="674"/>
    <w:link w:val="712"/>
    <w:uiPriority w:val="99"/>
  </w:style>
  <w:style w:type="paragraph" w:styleId="714">
    <w:name w:val="Footer"/>
    <w:basedOn w:val="664"/>
    <w:link w:val="71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5" w:customStyle="1">
    <w:name w:val="Footer Char"/>
    <w:basedOn w:val="674"/>
    <w:uiPriority w:val="99"/>
  </w:style>
  <w:style w:type="paragraph" w:styleId="716">
    <w:name w:val="Caption"/>
    <w:basedOn w:val="664"/>
    <w:next w:val="664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17" w:customStyle="1">
    <w:name w:val="Нижний колонтитул Знак"/>
    <w:link w:val="714"/>
    <w:uiPriority w:val="99"/>
  </w:style>
  <w:style w:type="table" w:styleId="718">
    <w:name w:val="Table Grid"/>
    <w:basedOn w:val="67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9" w:customStyle="1">
    <w:name w:val="Table Grid Light"/>
    <w:basedOn w:val="67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20">
    <w:name w:val="Plain Table 1"/>
    <w:basedOn w:val="67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2"/>
    <w:basedOn w:val="67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3"/>
    <w:basedOn w:val="6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3">
    <w:name w:val="Plain Table 4"/>
    <w:basedOn w:val="6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Plain Table 5"/>
    <w:basedOn w:val="6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5">
    <w:name w:val="Grid Table 1 Light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1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5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Grid Table 1 Light - Accent 6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2 - Accent 1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2 - Accent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5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2 - Accent 6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3 - Accent 1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 - Accent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5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3 - Accent 6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4"/>
    <w:basedOn w:val="675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7" w:customStyle="1">
    <w:name w:val="Grid Table 4 - Accent 1"/>
    <w:basedOn w:val="67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48" w:customStyle="1">
    <w:name w:val="Grid Table 4 - Accent 2"/>
    <w:basedOn w:val="67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49" w:customStyle="1">
    <w:name w:val="Grid Table 4 - Accent 3"/>
    <w:basedOn w:val="675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50" w:customStyle="1">
    <w:name w:val="Grid Table 4 - Accent 4"/>
    <w:basedOn w:val="67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51" w:customStyle="1">
    <w:name w:val="Grid Table 4 - Accent 5"/>
    <w:basedOn w:val="67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52" w:customStyle="1">
    <w:name w:val="Grid Table 4 - Accent 6"/>
    <w:basedOn w:val="67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53">
    <w:name w:val="Grid Table 5 Dark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4" w:customStyle="1">
    <w:name w:val="Grid Table 5 Dark- Accent 1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55" w:customStyle="1">
    <w:name w:val="Grid Table 5 Dark - Accent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 - Accent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- Accent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 - Accent 5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59" w:customStyle="1">
    <w:name w:val="Grid Table 5 Dark - Accent 6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60">
    <w:name w:val="Grid Table 6 Colorful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1" w:customStyle="1">
    <w:name w:val="Grid Table 6 Colorful - Accent 1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62" w:customStyle="1">
    <w:name w:val="Grid Table 6 Colorful - Accent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63" w:customStyle="1">
    <w:name w:val="Grid Table 6 Colorful - Accent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64" w:customStyle="1">
    <w:name w:val="Grid Table 6 Colorful - Accent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65" w:customStyle="1">
    <w:name w:val="Grid Table 6 Colorful - Accent 5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6" w:customStyle="1">
    <w:name w:val="Grid Table 6 Colorful - Accent 6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7">
    <w:name w:val="Grid Table 7 Colorful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7 Colorful - Accent 1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7 Colorful - Accent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7 Colorful - Accent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7 Colorful - Accent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7 Colorful - Accent 5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7 Colorful - Accent 6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"/>
    <w:basedOn w:val="6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1"/>
    <w:basedOn w:val="6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2"/>
    <w:basedOn w:val="6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3"/>
    <w:basedOn w:val="6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4"/>
    <w:basedOn w:val="6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5"/>
    <w:basedOn w:val="6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List Table 1 Light - Accent 6"/>
    <w:basedOn w:val="6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1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5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87" w:customStyle="1">
    <w:name w:val="List Table 2 - Accent 6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88">
    <w:name w:val="List Table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1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5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3 - Accent 6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1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5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4 - Accent 6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5 Dark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3" w:customStyle="1">
    <w:name w:val="List Table 5 Dark - Accent 1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4" w:customStyle="1">
    <w:name w:val="List Table 5 Dark - Accent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 w:customStyle="1">
    <w:name w:val="List Table 5 Dark - Accent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6" w:customStyle="1">
    <w:name w:val="List Table 5 Dark - Accent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7" w:customStyle="1">
    <w:name w:val="List Table 5 Dark - Accent 5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8" w:customStyle="1">
    <w:name w:val="List Table 5 Dark - Accent 6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9">
    <w:name w:val="List Table 6 Colorful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0" w:customStyle="1">
    <w:name w:val="List Table 6 Colorful - Accent 1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11" w:customStyle="1">
    <w:name w:val="List Table 6 Colorful - Accent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12" w:customStyle="1">
    <w:name w:val="List Table 6 Colorful - Accent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13" w:customStyle="1">
    <w:name w:val="List Table 6 Colorful - Accent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14" w:customStyle="1">
    <w:name w:val="List Table 6 Colorful - Accent 5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15" w:customStyle="1">
    <w:name w:val="List Table 6 Colorful - Accent 6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16">
    <w:name w:val="List Table 7 Colorful"/>
    <w:basedOn w:val="67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7 Colorful - Accent 1"/>
    <w:basedOn w:val="67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7 Colorful - Accent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7 Colorful - Accent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7 Colorful - Accent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7 Colorful - Accent 5"/>
    <w:basedOn w:val="67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7 Colorful - Accent 6"/>
    <w:basedOn w:val="67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ned - Accent"/>
    <w:basedOn w:val="67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4" w:customStyle="1">
    <w:name w:val="Lined - Accent 1"/>
    <w:basedOn w:val="67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5" w:customStyle="1">
    <w:name w:val="Lined - Accent 2"/>
    <w:basedOn w:val="67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6" w:customStyle="1">
    <w:name w:val="Lined - Accent 3"/>
    <w:basedOn w:val="67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7" w:customStyle="1">
    <w:name w:val="Lined - Accent 4"/>
    <w:basedOn w:val="67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8" w:customStyle="1">
    <w:name w:val="Lined - Accent 5"/>
    <w:basedOn w:val="67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9" w:customStyle="1">
    <w:name w:val="Lined - Accent 6"/>
    <w:basedOn w:val="67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0" w:customStyle="1">
    <w:name w:val="Bordered &amp; Lined - Accent"/>
    <w:basedOn w:val="67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1" w:customStyle="1">
    <w:name w:val="Bordered &amp; Lined - Accent 1"/>
    <w:basedOn w:val="67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32" w:customStyle="1">
    <w:name w:val="Bordered &amp; Lined - Accent 2"/>
    <w:basedOn w:val="67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3" w:customStyle="1">
    <w:name w:val="Bordered &amp; Lined - Accent 3"/>
    <w:basedOn w:val="67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4" w:customStyle="1">
    <w:name w:val="Bordered &amp; Lined - Accent 4"/>
    <w:basedOn w:val="67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5" w:customStyle="1">
    <w:name w:val="Bordered &amp; Lined - Accent 5"/>
    <w:basedOn w:val="67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6" w:customStyle="1">
    <w:name w:val="Bordered &amp; Lined - Accent 6"/>
    <w:basedOn w:val="67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7" w:customStyle="1">
    <w:name w:val="Bordered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8" w:customStyle="1">
    <w:name w:val="Bordered - Accent 1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39" w:customStyle="1">
    <w:name w:val="Bordered - Accent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40" w:customStyle="1">
    <w:name w:val="Bordered - Accent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41" w:customStyle="1">
    <w:name w:val="Bordered - Accent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42" w:customStyle="1">
    <w:name w:val="Bordered - Accent 5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43" w:customStyle="1">
    <w:name w:val="Bordered - Accent 6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44">
    <w:name w:val="Hyperlink"/>
    <w:uiPriority w:val="99"/>
    <w:unhideWhenUsed/>
    <w:rPr>
      <w:color w:val="0563c1" w:themeColor="hyperlink"/>
      <w:u w:val="single"/>
    </w:rPr>
  </w:style>
  <w:style w:type="paragraph" w:styleId="845">
    <w:name w:val="footnote text"/>
    <w:basedOn w:val="664"/>
    <w:link w:val="846"/>
    <w:uiPriority w:val="99"/>
    <w:semiHidden/>
    <w:unhideWhenUsed/>
    <w:pPr>
      <w:spacing w:after="40" w:line="240" w:lineRule="auto"/>
    </w:pPr>
    <w:rPr>
      <w:sz w:val="18"/>
    </w:rPr>
  </w:style>
  <w:style w:type="character" w:styleId="846" w:customStyle="1">
    <w:name w:val="Текст сноски Знак"/>
    <w:link w:val="845"/>
    <w:uiPriority w:val="99"/>
    <w:rPr>
      <w:sz w:val="18"/>
    </w:rPr>
  </w:style>
  <w:style w:type="character" w:styleId="847">
    <w:name w:val="footnote reference"/>
    <w:basedOn w:val="674"/>
    <w:uiPriority w:val="99"/>
    <w:unhideWhenUsed/>
    <w:rPr>
      <w:vertAlign w:val="superscript"/>
    </w:rPr>
  </w:style>
  <w:style w:type="paragraph" w:styleId="848">
    <w:name w:val="endnote text"/>
    <w:basedOn w:val="664"/>
    <w:link w:val="849"/>
    <w:uiPriority w:val="99"/>
    <w:semiHidden/>
    <w:unhideWhenUsed/>
    <w:pPr>
      <w:spacing w:after="0" w:line="240" w:lineRule="auto"/>
    </w:pPr>
    <w:rPr>
      <w:sz w:val="20"/>
    </w:rPr>
  </w:style>
  <w:style w:type="character" w:styleId="849" w:customStyle="1">
    <w:name w:val="Текст концевой сноски Знак"/>
    <w:link w:val="848"/>
    <w:uiPriority w:val="99"/>
    <w:rPr>
      <w:sz w:val="20"/>
    </w:rPr>
  </w:style>
  <w:style w:type="character" w:styleId="850">
    <w:name w:val="endnote reference"/>
    <w:basedOn w:val="674"/>
    <w:uiPriority w:val="99"/>
    <w:semiHidden/>
    <w:unhideWhenUsed/>
    <w:rPr>
      <w:vertAlign w:val="superscript"/>
    </w:rPr>
  </w:style>
  <w:style w:type="paragraph" w:styleId="851">
    <w:name w:val="toc 1"/>
    <w:basedOn w:val="664"/>
    <w:next w:val="664"/>
    <w:uiPriority w:val="39"/>
    <w:unhideWhenUsed/>
    <w:pPr>
      <w:spacing w:after="57"/>
    </w:pPr>
  </w:style>
  <w:style w:type="paragraph" w:styleId="852">
    <w:name w:val="toc 2"/>
    <w:basedOn w:val="664"/>
    <w:next w:val="664"/>
    <w:uiPriority w:val="39"/>
    <w:unhideWhenUsed/>
    <w:pPr>
      <w:ind w:left="283"/>
      <w:spacing w:after="57"/>
    </w:pPr>
  </w:style>
  <w:style w:type="paragraph" w:styleId="853">
    <w:name w:val="toc 3"/>
    <w:basedOn w:val="664"/>
    <w:next w:val="664"/>
    <w:uiPriority w:val="39"/>
    <w:unhideWhenUsed/>
    <w:pPr>
      <w:ind w:left="567"/>
      <w:spacing w:after="57"/>
    </w:pPr>
  </w:style>
  <w:style w:type="paragraph" w:styleId="854">
    <w:name w:val="toc 4"/>
    <w:basedOn w:val="664"/>
    <w:next w:val="664"/>
    <w:uiPriority w:val="39"/>
    <w:unhideWhenUsed/>
    <w:pPr>
      <w:ind w:left="850"/>
      <w:spacing w:after="57"/>
    </w:pPr>
  </w:style>
  <w:style w:type="paragraph" w:styleId="855">
    <w:name w:val="toc 5"/>
    <w:basedOn w:val="664"/>
    <w:next w:val="664"/>
    <w:uiPriority w:val="39"/>
    <w:unhideWhenUsed/>
    <w:pPr>
      <w:ind w:left="1134"/>
      <w:spacing w:after="57"/>
    </w:pPr>
  </w:style>
  <w:style w:type="paragraph" w:styleId="856">
    <w:name w:val="toc 6"/>
    <w:basedOn w:val="664"/>
    <w:next w:val="664"/>
    <w:uiPriority w:val="39"/>
    <w:unhideWhenUsed/>
    <w:pPr>
      <w:ind w:left="1417"/>
      <w:spacing w:after="57"/>
    </w:pPr>
  </w:style>
  <w:style w:type="paragraph" w:styleId="857">
    <w:name w:val="toc 7"/>
    <w:basedOn w:val="664"/>
    <w:next w:val="664"/>
    <w:uiPriority w:val="39"/>
    <w:unhideWhenUsed/>
    <w:pPr>
      <w:ind w:left="1701"/>
      <w:spacing w:after="57"/>
    </w:pPr>
  </w:style>
  <w:style w:type="paragraph" w:styleId="858">
    <w:name w:val="toc 8"/>
    <w:basedOn w:val="664"/>
    <w:next w:val="664"/>
    <w:uiPriority w:val="39"/>
    <w:unhideWhenUsed/>
    <w:pPr>
      <w:ind w:left="1984"/>
      <w:spacing w:after="57"/>
    </w:pPr>
  </w:style>
  <w:style w:type="paragraph" w:styleId="859">
    <w:name w:val="toc 9"/>
    <w:basedOn w:val="664"/>
    <w:next w:val="664"/>
    <w:uiPriority w:val="39"/>
    <w:unhideWhenUsed/>
    <w:pPr>
      <w:ind w:left="2268"/>
      <w:spacing w:after="57"/>
    </w:pPr>
  </w:style>
  <w:style w:type="paragraph" w:styleId="860">
    <w:name w:val="TOC Heading"/>
    <w:uiPriority w:val="39"/>
    <w:unhideWhenUsed/>
  </w:style>
  <w:style w:type="paragraph" w:styleId="861">
    <w:name w:val="table of figures"/>
    <w:basedOn w:val="664"/>
    <w:next w:val="664"/>
    <w:uiPriority w:val="99"/>
    <w:unhideWhenUsed/>
    <w:pPr>
      <w:spacing w:after="0"/>
    </w:pPr>
  </w:style>
  <w:style w:type="paragraph" w:styleId="862">
    <w:name w:val="Balloon Text"/>
    <w:basedOn w:val="664"/>
    <w:link w:val="86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63" w:customStyle="1">
    <w:name w:val="Текст выноски Знак"/>
    <w:basedOn w:val="674"/>
    <w:link w:val="862"/>
    <w:uiPriority w:val="99"/>
    <w:semiHidden/>
    <w:rPr>
      <w:rFonts w:ascii="Segoe UI" w:hAnsi="Segoe UI" w:cs="Segoe UI"/>
      <w:sz w:val="18"/>
      <w:szCs w:val="18"/>
    </w:rPr>
  </w:style>
  <w:style w:type="paragraph" w:styleId="864">
    <w:name w:val="List Paragraph"/>
    <w:basedOn w:val="664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ONLYOFFICE/7.4.1.36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Першикова</dc:creator>
  <cp:revision>91</cp:revision>
  <dcterms:created xsi:type="dcterms:W3CDTF">2023-05-04T13:37:00Z</dcterms:created>
  <dcterms:modified xsi:type="dcterms:W3CDTF">2026-08-10T07:48:22Z</dcterms:modified>
</cp:coreProperties>
</file>