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92AC7F">
      <w:pPr>
        <w:shd w:val="clear" w:color="auto" w:fill="FFFFFF"/>
        <w:jc w:val="center"/>
        <w:rPr>
          <w:b/>
          <w:color w:val="000000"/>
          <w:sz w:val="24"/>
          <w:szCs w:val="24"/>
        </w:rPr>
      </w:pPr>
      <w:r>
        <w:rPr>
          <w:b/>
          <w:color w:val="000000"/>
          <w:sz w:val="24"/>
          <w:szCs w:val="24"/>
        </w:rPr>
        <w:t xml:space="preserve">          Государственный контракт № ____</w:t>
      </w:r>
    </w:p>
    <w:p w14:paraId="63CE7E9F">
      <w:pPr>
        <w:jc w:val="center"/>
        <w:rPr>
          <w:color w:val="000000"/>
          <w:sz w:val="24"/>
          <w:szCs w:val="24"/>
        </w:rPr>
      </w:pPr>
      <w:r>
        <w:rPr>
          <w:color w:val="000000"/>
          <w:sz w:val="24"/>
          <w:szCs w:val="24"/>
        </w:rPr>
        <w:t>на поставку товара для нужд</w:t>
      </w:r>
    </w:p>
    <w:p w14:paraId="4BF2FE6F">
      <w:pPr>
        <w:shd w:val="clear" w:color="auto" w:fill="FFFFFF"/>
        <w:jc w:val="center"/>
        <w:rPr>
          <w:color w:val="000000"/>
          <w:sz w:val="24"/>
          <w:szCs w:val="24"/>
        </w:rPr>
      </w:pPr>
      <w:r>
        <w:rPr>
          <w:color w:val="000000"/>
          <w:sz w:val="24"/>
          <w:szCs w:val="24"/>
        </w:rPr>
        <w:t>ФКУ ИК-17 УФСИН России по Вологодской области</w:t>
      </w:r>
    </w:p>
    <w:p w14:paraId="24330E05">
      <w:pPr>
        <w:rPr>
          <w:rFonts w:cs="Times New Roman"/>
          <w:sz w:val="24"/>
          <w:szCs w:val="24"/>
        </w:rPr>
      </w:pPr>
    </w:p>
    <w:p w14:paraId="0AB7C7A8">
      <w:pPr>
        <w:numPr>
          <w:ilvl w:val="0"/>
          <w:numId w:val="1"/>
        </w:numPr>
        <w:suppressAutoHyphens w:val="0"/>
        <w:spacing w:before="100" w:beforeAutospacing="1" w:after="100" w:afterAutospacing="1"/>
        <w:rPr>
          <w:rFonts w:cs="Times New Roman"/>
          <w:vanish/>
          <w:sz w:val="24"/>
          <w:szCs w:val="24"/>
        </w:rPr>
      </w:pPr>
      <w:r>
        <w:fldChar w:fldCharType="begin"/>
      </w:r>
      <w:r>
        <w:instrText xml:space="preserve"> HYPERLINK "https://zakupki.gov.ru/44fz/rpg/registry-rpg.html?execution=e1s3&amp;_eventId=view-position&amp;planGraphPositionId=18448549" </w:instrText>
      </w:r>
      <w:r>
        <w:fldChar w:fldCharType="separate"/>
      </w:r>
      <w:r>
        <w:rPr>
          <w:rStyle w:val="6"/>
          <w:rFonts w:cs="Times New Roman"/>
          <w:vanish/>
          <w:sz w:val="24"/>
          <w:szCs w:val="24"/>
        </w:rPr>
        <w:t>Просмотреть</w:t>
      </w:r>
      <w:r>
        <w:rPr>
          <w:rStyle w:val="6"/>
          <w:rFonts w:cs="Times New Roman"/>
          <w:vanish/>
          <w:sz w:val="24"/>
          <w:szCs w:val="24"/>
        </w:rPr>
        <w:fldChar w:fldCharType="end"/>
      </w:r>
      <w:r>
        <w:rPr>
          <w:rFonts w:cs="Times New Roman"/>
          <w:vanish/>
          <w:sz w:val="24"/>
          <w:szCs w:val="24"/>
        </w:rPr>
        <w:t xml:space="preserve"> </w:t>
      </w:r>
    </w:p>
    <w:p w14:paraId="584B371F">
      <w:pPr>
        <w:jc w:val="both"/>
        <w:rPr>
          <w:color w:val="000000"/>
          <w:sz w:val="24"/>
          <w:szCs w:val="24"/>
        </w:rPr>
      </w:pPr>
      <w:r>
        <w:rPr>
          <w:color w:val="000000"/>
          <w:sz w:val="24"/>
          <w:szCs w:val="24"/>
        </w:rPr>
        <w:t>п. Шексна</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 xml:space="preserve">                              «___» __________202</w:t>
      </w:r>
      <w:r>
        <w:rPr>
          <w:rFonts w:hint="default"/>
          <w:color w:val="000000"/>
          <w:sz w:val="24"/>
          <w:szCs w:val="24"/>
          <w:lang w:val="ru-RU"/>
        </w:rPr>
        <w:t>6</w:t>
      </w:r>
      <w:r>
        <w:rPr>
          <w:color w:val="000000"/>
          <w:sz w:val="24"/>
          <w:szCs w:val="24"/>
        </w:rPr>
        <w:t xml:space="preserve"> г.</w:t>
      </w:r>
    </w:p>
    <w:p w14:paraId="283CD445">
      <w:pPr>
        <w:jc w:val="both"/>
        <w:rPr>
          <w:color w:val="000000"/>
          <w:sz w:val="24"/>
          <w:szCs w:val="24"/>
        </w:rPr>
      </w:pPr>
    </w:p>
    <w:p w14:paraId="4693ABB0">
      <w:pPr>
        <w:ind w:firstLine="567"/>
        <w:jc w:val="both"/>
        <w:rPr>
          <w:sz w:val="24"/>
          <w:szCs w:val="24"/>
        </w:rPr>
      </w:pPr>
      <w:r>
        <w:rPr>
          <w:sz w:val="24"/>
          <w:szCs w:val="24"/>
        </w:rPr>
        <w:t>Федеральное казенное учреждение «Исправительная колония № 17 Управления Федеральной службы исполнения наказаний  по Вологодской области» (ФКУ ИК-17 УФСИН России по Вологодской области), действующее от имени Российской Федерации в целях обеспечения государственных нужд, именуемое в дальнейшем «Государственный заказчик</w:t>
      </w:r>
      <w:r>
        <w:t xml:space="preserve">» </w:t>
      </w:r>
      <w:r>
        <w:rPr>
          <w:sz w:val="24"/>
          <w:szCs w:val="24"/>
        </w:rPr>
        <w:t>в лице</w:t>
      </w:r>
      <w:r>
        <w:t xml:space="preserve"> </w:t>
      </w:r>
      <w:r>
        <w:rPr>
          <w:sz w:val="24"/>
          <w:szCs w:val="24"/>
        </w:rPr>
        <w:t xml:space="preserve">начальника учреждения Иванова Сергея Александровича, действующего на основании  Устава, с одной  стороны, </w:t>
      </w:r>
      <w:r>
        <w:rPr>
          <w:sz w:val="24"/>
          <w:szCs w:val="24"/>
          <w:highlight w:val="yellow"/>
        </w:rPr>
        <w:t>и ____________________________, именуемое в дальнейшем «Поставщик», в лице _______________, действующего на основании Устава, с другой стороны, именуемые в дальнейшем «Стороны»</w:t>
      </w:r>
      <w:r>
        <w:rPr>
          <w:sz w:val="24"/>
          <w:szCs w:val="24"/>
        </w:rPr>
        <w:t>, на основании Итогового протокола закупочной сессии №</w:t>
      </w:r>
      <w:r>
        <w:rPr>
          <w:sz w:val="24"/>
          <w:szCs w:val="24"/>
          <w:highlight w:val="yellow"/>
        </w:rPr>
        <w:t>____________________</w:t>
      </w:r>
      <w:r>
        <w:rPr>
          <w:sz w:val="24"/>
          <w:szCs w:val="24"/>
        </w:rPr>
        <w:t xml:space="preserve">  руководствуясь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 </w:t>
      </w:r>
    </w:p>
    <w:p w14:paraId="13CCE0D2">
      <w:pPr>
        <w:ind w:firstLine="567"/>
        <w:jc w:val="both"/>
        <w:rPr>
          <w:sz w:val="24"/>
          <w:szCs w:val="24"/>
        </w:rPr>
      </w:pPr>
    </w:p>
    <w:p w14:paraId="76C98FD6">
      <w:pPr>
        <w:ind w:left="360"/>
        <w:jc w:val="center"/>
        <w:rPr>
          <w:b/>
          <w:color w:val="000000"/>
          <w:sz w:val="24"/>
          <w:szCs w:val="24"/>
        </w:rPr>
      </w:pPr>
      <w:r>
        <w:rPr>
          <w:b/>
          <w:color w:val="000000"/>
          <w:sz w:val="24"/>
          <w:szCs w:val="24"/>
        </w:rPr>
        <w:t>1. Предмет Контракта</w:t>
      </w:r>
    </w:p>
    <w:p w14:paraId="341AD1FC">
      <w:pPr>
        <w:ind w:left="360"/>
        <w:jc w:val="center"/>
        <w:rPr>
          <w:b/>
          <w:color w:val="000000"/>
          <w:sz w:val="24"/>
          <w:szCs w:val="24"/>
        </w:rPr>
      </w:pPr>
      <w:bookmarkStart w:id="0" w:name="_GoBack"/>
      <w:bookmarkEnd w:id="0"/>
    </w:p>
    <w:p w14:paraId="3E4FF9ED">
      <w:pPr>
        <w:ind w:firstLine="567"/>
        <w:jc w:val="both"/>
        <w:rPr>
          <w:sz w:val="24"/>
          <w:szCs w:val="24"/>
        </w:rPr>
      </w:pPr>
      <w:r>
        <w:rPr>
          <w:sz w:val="24"/>
          <w:szCs w:val="24"/>
        </w:rPr>
        <w:t xml:space="preserve">1.1. Поставщик обязуется поставить, а Государственный заказчик принять и оплатить на условиях настоящего Контракта </w:t>
      </w:r>
      <w:r>
        <w:rPr>
          <w:b/>
          <w:sz w:val="24"/>
          <w:szCs w:val="24"/>
        </w:rPr>
        <w:t xml:space="preserve">электротехнические материалы </w:t>
      </w:r>
      <w:r>
        <w:rPr>
          <w:sz w:val="24"/>
          <w:szCs w:val="24"/>
        </w:rPr>
        <w:t>(далее - товар) по номенклатуре, количеству, характеристикам, цене за единицу товара согласно спецификации (Приложение №1), которая является неотъемлемой частью настоящего Контракта.</w:t>
      </w:r>
    </w:p>
    <w:p w14:paraId="5C142842">
      <w:pPr>
        <w:ind w:firstLine="567"/>
        <w:jc w:val="both"/>
        <w:rPr>
          <w:b/>
          <w:color w:val="000000"/>
          <w:sz w:val="24"/>
          <w:szCs w:val="24"/>
        </w:rPr>
      </w:pPr>
    </w:p>
    <w:p w14:paraId="08DE1660">
      <w:pPr>
        <w:ind w:left="360" w:firstLine="567"/>
        <w:jc w:val="center"/>
        <w:rPr>
          <w:b/>
          <w:color w:val="000000"/>
          <w:sz w:val="24"/>
          <w:szCs w:val="24"/>
        </w:rPr>
      </w:pPr>
      <w:r>
        <w:rPr>
          <w:b/>
          <w:color w:val="000000"/>
          <w:sz w:val="24"/>
          <w:szCs w:val="24"/>
        </w:rPr>
        <w:t>2. Качество товара</w:t>
      </w:r>
    </w:p>
    <w:p w14:paraId="6B356874">
      <w:pPr>
        <w:rPr>
          <w:b/>
          <w:color w:val="000000"/>
          <w:sz w:val="24"/>
          <w:szCs w:val="24"/>
        </w:rPr>
      </w:pPr>
    </w:p>
    <w:p w14:paraId="129864F9">
      <w:pPr>
        <w:ind w:firstLine="708"/>
        <w:jc w:val="both"/>
        <w:rPr>
          <w:sz w:val="24"/>
          <w:szCs w:val="24"/>
        </w:rPr>
      </w:pPr>
      <w:r>
        <w:rPr>
          <w:sz w:val="24"/>
          <w:szCs w:val="24"/>
        </w:rPr>
        <w:t>2.1. Качество поставляемого товара должно соответствовать характеристикам, указанным в Приложении №1 к Контракту, действующим в Российской Федерации требованиям к такому товару, в том числе требованиям безопасности, требованиям нормативных и иных актов Государственного заказчика и условиям Контракта, быть надлежащего качества и подтверждаться действующим сертификатом соответствия (или декларацией соответствия) - копией, заверенной надлежащим образом (держателем подлинника декларации, нотариусом или органом по сертификации товаров, выдавшим декларацию), которые передаются в момент поставки товара на склад Государственного заказчика.</w:t>
      </w:r>
    </w:p>
    <w:p w14:paraId="29C259BA">
      <w:pPr>
        <w:ind w:firstLine="708"/>
        <w:jc w:val="both"/>
        <w:rPr>
          <w:sz w:val="24"/>
          <w:szCs w:val="24"/>
        </w:rPr>
      </w:pPr>
      <w:r>
        <w:rPr>
          <w:sz w:val="24"/>
          <w:szCs w:val="24"/>
        </w:rPr>
        <w:t>2.2. Поставщик гарантирует:</w:t>
      </w:r>
    </w:p>
    <w:p w14:paraId="424A8F09">
      <w:pPr>
        <w:ind w:firstLine="708"/>
        <w:jc w:val="both"/>
        <w:rPr>
          <w:sz w:val="24"/>
          <w:szCs w:val="24"/>
        </w:rPr>
      </w:pPr>
      <w:r>
        <w:rPr>
          <w:sz w:val="24"/>
          <w:szCs w:val="24"/>
        </w:rPr>
        <w:t>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14:paraId="49F59ADE">
      <w:pPr>
        <w:ind w:firstLine="708"/>
        <w:jc w:val="both"/>
        <w:rPr>
          <w:sz w:val="24"/>
          <w:szCs w:val="24"/>
        </w:rPr>
      </w:pPr>
      <w:r>
        <w:rPr>
          <w:sz w:val="24"/>
          <w:szCs w:val="24"/>
        </w:rPr>
        <w:t>устранение за свой счет недостатков и дефектов, выявленных при приемке товара и в течение срока годности        на товар; что поставляемый товар является новым (не бывшим в употреблении), не является предметом иных договорных (контрактных) обязательств и свободен от прав и притязаний третьих лиц.</w:t>
      </w:r>
    </w:p>
    <w:p w14:paraId="33836B84">
      <w:pPr>
        <w:ind w:firstLine="708"/>
        <w:jc w:val="both"/>
        <w:rPr>
          <w:sz w:val="24"/>
          <w:szCs w:val="24"/>
        </w:rPr>
      </w:pPr>
      <w:r>
        <w:rPr>
          <w:sz w:val="24"/>
          <w:szCs w:val="24"/>
        </w:rPr>
        <w:t xml:space="preserve">2.3. В течение гарантийного срока Поставщик обеспечивает безвозмездную замену некачественного товара. Гарантийный срок товара не менее </w:t>
      </w:r>
      <w:r>
        <w:rPr>
          <w:rFonts w:hint="default"/>
          <w:sz w:val="24"/>
          <w:szCs w:val="24"/>
          <w:lang w:val="ru-RU"/>
        </w:rPr>
        <w:t>12</w:t>
      </w:r>
      <w:r>
        <w:rPr>
          <w:sz w:val="24"/>
          <w:szCs w:val="24"/>
        </w:rPr>
        <w:t xml:space="preserve"> месяцев на момент поставки товара в адрес Государственного заказчика.</w:t>
      </w:r>
    </w:p>
    <w:p w14:paraId="5DEAF4F1">
      <w:pPr>
        <w:ind w:firstLine="708"/>
        <w:jc w:val="both"/>
        <w:rPr>
          <w:sz w:val="24"/>
          <w:szCs w:val="24"/>
        </w:rPr>
      </w:pPr>
      <w:r>
        <w:rPr>
          <w:sz w:val="24"/>
          <w:szCs w:val="24"/>
        </w:rPr>
        <w:t>2.4. Срок замены   некачественного   товара   составляет   не   более 20 (двадцати) рабочих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 При замене товара гарантийный срок на него исчисляется заново со дня приемки товара Государственным заказчиком.</w:t>
      </w:r>
    </w:p>
    <w:p w14:paraId="5F6B4C16">
      <w:pPr>
        <w:ind w:firstLine="708"/>
        <w:jc w:val="both"/>
        <w:rPr>
          <w:sz w:val="24"/>
          <w:szCs w:val="24"/>
        </w:rPr>
      </w:pPr>
      <w:r>
        <w:rPr>
          <w:sz w:val="24"/>
          <w:szCs w:val="24"/>
        </w:rPr>
        <w:t>5.5. Все расходы, связанные с заменой Товара ненадлежащего качества в период гарантийного срока оплачиваются за счет Поставщика.</w:t>
      </w:r>
    </w:p>
    <w:p w14:paraId="4D0BFA42">
      <w:pPr>
        <w:ind w:firstLine="708"/>
        <w:jc w:val="both"/>
        <w:rPr>
          <w:sz w:val="24"/>
          <w:szCs w:val="24"/>
        </w:rPr>
      </w:pPr>
      <w:r>
        <w:rPr>
          <w:sz w:val="24"/>
          <w:szCs w:val="24"/>
        </w:rPr>
        <w:t>5.6.  При расторжении Контракта гарантийные обязательства Поставщика по Контракту не прекращаются.</w:t>
      </w:r>
    </w:p>
    <w:p w14:paraId="42617B6C">
      <w:pPr>
        <w:ind w:left="360"/>
        <w:jc w:val="center"/>
        <w:rPr>
          <w:b/>
          <w:color w:val="000000"/>
          <w:sz w:val="24"/>
          <w:szCs w:val="24"/>
        </w:rPr>
      </w:pPr>
    </w:p>
    <w:p w14:paraId="61FBA28A">
      <w:pPr>
        <w:ind w:left="360"/>
        <w:jc w:val="center"/>
        <w:rPr>
          <w:b/>
          <w:color w:val="000000"/>
          <w:sz w:val="24"/>
          <w:szCs w:val="24"/>
        </w:rPr>
      </w:pPr>
      <w:r>
        <w:rPr>
          <w:b/>
          <w:color w:val="000000"/>
          <w:sz w:val="24"/>
          <w:szCs w:val="24"/>
        </w:rPr>
        <w:t>3. Тара и упаковка</w:t>
      </w:r>
    </w:p>
    <w:p w14:paraId="0070115F">
      <w:pPr>
        <w:tabs>
          <w:tab w:val="left" w:pos="8647"/>
        </w:tabs>
        <w:ind w:firstLine="709"/>
        <w:jc w:val="both"/>
        <w:rPr>
          <w:color w:val="000000"/>
          <w:sz w:val="24"/>
          <w:szCs w:val="24"/>
        </w:rPr>
      </w:pPr>
      <w:r>
        <w:rPr>
          <w:color w:val="000000"/>
          <w:sz w:val="24"/>
          <w:szCs w:val="24"/>
        </w:rPr>
        <w:t>3.1. Поставляемый товар должен быть упакован и маркирован в соответствии с действующими стандартами и техническими условиями.</w:t>
      </w:r>
      <w:r>
        <w:rPr>
          <w:sz w:val="24"/>
          <w:szCs w:val="24"/>
        </w:rPr>
        <w:t xml:space="preserve"> Упаковка в соответствии с действующими нормативными требованиями.</w:t>
      </w:r>
      <w:r>
        <w:rPr>
          <w:b/>
          <w:color w:val="000000"/>
          <w:sz w:val="24"/>
          <w:szCs w:val="24"/>
        </w:rPr>
        <w:t xml:space="preserve"> </w:t>
      </w:r>
      <w:r>
        <w:rPr>
          <w:color w:val="000000"/>
          <w:sz w:val="24"/>
          <w:szCs w:val="24"/>
        </w:rPr>
        <w:t>Тара и упаковка должны гарантировать целостность и сохранность товара при перевозке и хранении.</w:t>
      </w:r>
    </w:p>
    <w:p w14:paraId="29BBDC7A">
      <w:pPr>
        <w:tabs>
          <w:tab w:val="left" w:pos="8647"/>
        </w:tabs>
        <w:ind w:firstLine="709"/>
        <w:jc w:val="both"/>
        <w:rPr>
          <w:color w:val="000000"/>
          <w:sz w:val="24"/>
          <w:szCs w:val="24"/>
        </w:rPr>
      </w:pPr>
      <w:r>
        <w:rPr>
          <w:color w:val="000000"/>
          <w:sz w:val="24"/>
          <w:szCs w:val="24"/>
        </w:rPr>
        <w:t>3.2. Стоимость залога за упаковочные материалы не взыскивается, и эти материалы возврату не подлежат. Стоимость упаковочных материалов включается в стоимость товара.</w:t>
      </w:r>
    </w:p>
    <w:p w14:paraId="24557288">
      <w:pPr>
        <w:tabs>
          <w:tab w:val="left" w:pos="8647"/>
        </w:tabs>
        <w:ind w:firstLine="709"/>
        <w:jc w:val="both"/>
        <w:rPr>
          <w:color w:val="000000"/>
          <w:sz w:val="24"/>
          <w:szCs w:val="24"/>
        </w:rPr>
      </w:pPr>
    </w:p>
    <w:p w14:paraId="6D925F20">
      <w:pPr>
        <w:tabs>
          <w:tab w:val="left" w:pos="8647"/>
        </w:tabs>
        <w:ind w:firstLine="709"/>
        <w:jc w:val="center"/>
        <w:rPr>
          <w:b/>
          <w:sz w:val="24"/>
          <w:szCs w:val="24"/>
        </w:rPr>
      </w:pPr>
      <w:r>
        <w:rPr>
          <w:b/>
          <w:sz w:val="24"/>
          <w:szCs w:val="24"/>
        </w:rPr>
        <w:t>4. Сроки, место, порядок поставки и приемки товара</w:t>
      </w:r>
    </w:p>
    <w:p w14:paraId="50A15677">
      <w:pPr>
        <w:ind w:firstLine="708"/>
        <w:jc w:val="both"/>
        <w:rPr>
          <w:sz w:val="24"/>
          <w:szCs w:val="24"/>
        </w:rPr>
      </w:pPr>
      <w:r>
        <w:rPr>
          <w:sz w:val="24"/>
          <w:szCs w:val="24"/>
        </w:rPr>
        <w:t>4.1. Приемка товара по качеству и количеству производится в соответствии с действующими инструкциями, утвержденными постановлениями Государственного арбитража при СМ СССР № П-6 от 15.06.1965, № П-7 от 25.04.1966 с изменениями и дополнениями.</w:t>
      </w:r>
    </w:p>
    <w:p w14:paraId="00DA23CB">
      <w:pPr>
        <w:pStyle w:val="23"/>
        <w:snapToGrid w:val="0"/>
        <w:ind w:firstLine="709"/>
        <w:jc w:val="both"/>
        <w:rPr>
          <w:rFonts w:ascii="Times New Roman" w:hAnsi="Times New Roman" w:cs="Times New Roman"/>
          <w:sz w:val="24"/>
          <w:szCs w:val="24"/>
        </w:rPr>
      </w:pPr>
      <w:r>
        <w:rPr>
          <w:rFonts w:ascii="Times New Roman" w:hAnsi="Times New Roman" w:cs="Times New Roman"/>
          <w:sz w:val="24"/>
          <w:szCs w:val="24"/>
        </w:rPr>
        <w:t xml:space="preserve">4.2. </w:t>
      </w:r>
      <w:r>
        <w:rPr>
          <w:rFonts w:ascii="Times New Roman" w:hAnsi="Times New Roman" w:cs="Times New Roman"/>
          <w:spacing w:val="-1"/>
          <w:sz w:val="24"/>
          <w:szCs w:val="24"/>
        </w:rPr>
        <w:t>По факту приемки товара, не позднее 1 (одного) рабочего дня с момента ее завершения, уполномоченные представители Поставщика и Государственного заказчика подписывают Акт приема-передачи товара и товарную накладную в двух экземплярах, по одному для Государственного заказчика и  Поставщика. Товар, не соответствующий требованиям Контракта, приемке не подлежит и считается не поставленным. При этом Государственный заказчик составляет мотивированный отказ от приемки товара и подписания Акта приема-передачи товара с указанием недостатков и сроков их устранения, который направляет Поставщику в течение 1 (одного) рабочего дня с момента выявления несоответствия товара  требованиям действующего законодательства Российской Федерации и условиям Контракта. При этом,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p>
    <w:p w14:paraId="484550C1">
      <w:pPr>
        <w:ind w:firstLine="708"/>
        <w:jc w:val="both"/>
        <w:rPr>
          <w:sz w:val="24"/>
          <w:szCs w:val="24"/>
        </w:rPr>
      </w:pPr>
      <w:r>
        <w:rPr>
          <w:sz w:val="24"/>
          <w:szCs w:val="24"/>
        </w:rPr>
        <w:t xml:space="preserve">4.3. Поставка товара осуществляется одной партией до склада Государственного заказчика. </w:t>
      </w:r>
      <w:r>
        <w:rPr>
          <w:bCs/>
          <w:sz w:val="24"/>
          <w:szCs w:val="24"/>
        </w:rPr>
        <w:t>Примечание: приемка товара осуществляется в рабочие дни с понедельника по пятницу с 8-00 до 17-00. Суббота, воскресенье – выходные дни</w:t>
      </w:r>
      <w:r>
        <w:rPr>
          <w:sz w:val="24"/>
          <w:szCs w:val="24"/>
        </w:rPr>
        <w:t>.</w:t>
      </w:r>
    </w:p>
    <w:p w14:paraId="57C50043">
      <w:pPr>
        <w:ind w:firstLine="708"/>
        <w:jc w:val="both"/>
        <w:rPr>
          <w:sz w:val="24"/>
          <w:szCs w:val="24"/>
        </w:rPr>
      </w:pPr>
      <w:r>
        <w:rPr>
          <w:sz w:val="24"/>
          <w:szCs w:val="24"/>
        </w:rPr>
        <w:t xml:space="preserve">4.4. Срок поставки: с момента заключения Контракта </w:t>
      </w:r>
      <w:r>
        <w:rPr>
          <w:b/>
          <w:sz w:val="24"/>
          <w:szCs w:val="24"/>
        </w:rPr>
        <w:t>по 1</w:t>
      </w:r>
      <w:r>
        <w:rPr>
          <w:rFonts w:hint="default"/>
          <w:b/>
          <w:sz w:val="24"/>
          <w:szCs w:val="24"/>
          <w:lang w:val="ru-RU"/>
        </w:rPr>
        <w:t>6</w:t>
      </w:r>
      <w:r>
        <w:rPr>
          <w:b/>
          <w:sz w:val="24"/>
          <w:szCs w:val="24"/>
        </w:rPr>
        <w:t>.</w:t>
      </w:r>
      <w:r>
        <w:rPr>
          <w:rFonts w:hint="default"/>
          <w:b/>
          <w:sz w:val="24"/>
          <w:szCs w:val="24"/>
          <w:lang w:val="ru-RU"/>
        </w:rPr>
        <w:t>10</w:t>
      </w:r>
      <w:r>
        <w:rPr>
          <w:b/>
          <w:sz w:val="24"/>
          <w:szCs w:val="24"/>
        </w:rPr>
        <w:t>.202</w:t>
      </w:r>
      <w:r>
        <w:rPr>
          <w:rFonts w:hint="default"/>
          <w:b/>
          <w:sz w:val="24"/>
          <w:szCs w:val="24"/>
          <w:lang w:val="ru-RU"/>
        </w:rPr>
        <w:t>6</w:t>
      </w:r>
      <w:r>
        <w:rPr>
          <w:b/>
          <w:sz w:val="24"/>
          <w:szCs w:val="24"/>
        </w:rPr>
        <w:t xml:space="preserve"> года.</w:t>
      </w:r>
    </w:p>
    <w:p w14:paraId="0306161E">
      <w:pPr>
        <w:ind w:firstLine="708"/>
        <w:jc w:val="both"/>
        <w:rPr>
          <w:sz w:val="24"/>
          <w:szCs w:val="24"/>
        </w:rPr>
      </w:pPr>
      <w:r>
        <w:rPr>
          <w:sz w:val="24"/>
          <w:szCs w:val="24"/>
        </w:rPr>
        <w:t>4.5. Место поставки – склад Государственного заказчика, расположенный по адресу: Вологодская область, п. Шексна, ул. Дзержинского, д. 6.</w:t>
      </w:r>
    </w:p>
    <w:p w14:paraId="47ED8BF3">
      <w:pPr>
        <w:ind w:firstLine="708"/>
        <w:jc w:val="both"/>
        <w:rPr>
          <w:sz w:val="24"/>
          <w:szCs w:val="24"/>
        </w:rPr>
      </w:pPr>
      <w:r>
        <w:rPr>
          <w:sz w:val="24"/>
          <w:szCs w:val="24"/>
        </w:rPr>
        <w:t>4.6. Доставка товара осуществляется транспортом Поставщика.</w:t>
      </w:r>
    </w:p>
    <w:p w14:paraId="20559F51">
      <w:pPr>
        <w:ind w:firstLine="708"/>
        <w:jc w:val="both"/>
        <w:rPr>
          <w:sz w:val="24"/>
          <w:szCs w:val="24"/>
        </w:rPr>
      </w:pPr>
      <w:r>
        <w:rPr>
          <w:sz w:val="24"/>
          <w:szCs w:val="24"/>
        </w:rPr>
        <w:t>4.7. Вместе с товаром Поставщик передает Государственному заказчику относящуюся к товару документацию:</w:t>
      </w:r>
    </w:p>
    <w:p w14:paraId="0E631159">
      <w:pPr>
        <w:ind w:firstLine="708"/>
        <w:jc w:val="both"/>
        <w:rPr>
          <w:sz w:val="24"/>
          <w:szCs w:val="24"/>
        </w:rPr>
      </w:pPr>
      <w:r>
        <w:rPr>
          <w:rStyle w:val="31"/>
          <w:b w:val="0"/>
          <w:bCs/>
          <w:sz w:val="24"/>
          <w:szCs w:val="24"/>
        </w:rPr>
        <w:t xml:space="preserve">накладная; </w:t>
      </w:r>
    </w:p>
    <w:p w14:paraId="06CAC166">
      <w:pPr>
        <w:pStyle w:val="8"/>
        <w:spacing w:after="0"/>
        <w:ind w:left="0" w:firstLine="709"/>
        <w:jc w:val="both"/>
        <w:rPr>
          <w:sz w:val="24"/>
          <w:szCs w:val="24"/>
        </w:rPr>
      </w:pPr>
      <w:r>
        <w:rPr>
          <w:sz w:val="24"/>
          <w:szCs w:val="24"/>
        </w:rPr>
        <w:t>счет;</w:t>
      </w:r>
    </w:p>
    <w:p w14:paraId="6766B809">
      <w:pPr>
        <w:pStyle w:val="8"/>
        <w:spacing w:after="0"/>
        <w:ind w:left="0" w:firstLine="709"/>
        <w:jc w:val="both"/>
        <w:rPr>
          <w:sz w:val="24"/>
          <w:szCs w:val="24"/>
        </w:rPr>
      </w:pPr>
      <w:r>
        <w:rPr>
          <w:sz w:val="24"/>
          <w:szCs w:val="24"/>
        </w:rPr>
        <w:t>счет-фактура;</w:t>
      </w:r>
    </w:p>
    <w:p w14:paraId="01914A68">
      <w:pPr>
        <w:pStyle w:val="8"/>
        <w:spacing w:after="0"/>
        <w:ind w:firstLine="425"/>
        <w:jc w:val="both"/>
        <w:rPr>
          <w:sz w:val="24"/>
          <w:szCs w:val="24"/>
        </w:rPr>
      </w:pPr>
      <w:r>
        <w:rPr>
          <w:sz w:val="24"/>
          <w:szCs w:val="24"/>
        </w:rPr>
        <w:t>сертификат соответствия (или декларация соответствия) – копия, заверенная надлежащим образом (держателем подлинника декларации, нотариусом или органом по сертификации товаров, выдавшим декларацию);</w:t>
      </w:r>
    </w:p>
    <w:p w14:paraId="2959EC6F">
      <w:pPr>
        <w:pStyle w:val="8"/>
        <w:spacing w:after="0"/>
        <w:ind w:firstLine="425"/>
        <w:jc w:val="both"/>
        <w:rPr>
          <w:sz w:val="24"/>
          <w:szCs w:val="24"/>
        </w:rPr>
      </w:pPr>
      <w:r>
        <w:rPr>
          <w:sz w:val="24"/>
          <w:szCs w:val="24"/>
        </w:rPr>
        <w:t>эксплуатационная документация на русском языке;</w:t>
      </w:r>
    </w:p>
    <w:p w14:paraId="0B133973">
      <w:pPr>
        <w:pStyle w:val="8"/>
        <w:spacing w:after="0"/>
        <w:ind w:left="0" w:firstLine="709"/>
        <w:jc w:val="both"/>
        <w:rPr>
          <w:sz w:val="24"/>
          <w:szCs w:val="24"/>
        </w:rPr>
      </w:pPr>
      <w:r>
        <w:rPr>
          <w:sz w:val="24"/>
          <w:szCs w:val="24"/>
        </w:rPr>
        <w:t>гарантийный талон</w:t>
      </w:r>
    </w:p>
    <w:p w14:paraId="74A4CDD3">
      <w:pPr>
        <w:ind w:firstLine="708"/>
        <w:jc w:val="both"/>
        <w:rPr>
          <w:sz w:val="24"/>
          <w:szCs w:val="24"/>
        </w:rPr>
      </w:pPr>
      <w:r>
        <w:rPr>
          <w:sz w:val="24"/>
          <w:szCs w:val="24"/>
        </w:rPr>
        <w:t>4.8. В случае, если документы, указанные в пункте 4.7 Контракта, не переданы Поставщиком Государственному заказчику одновременно с товаром, товар считается не поставленным и приемке не подлежит.</w:t>
      </w:r>
    </w:p>
    <w:p w14:paraId="39696C31">
      <w:pPr>
        <w:ind w:firstLine="708"/>
        <w:jc w:val="both"/>
        <w:rPr>
          <w:sz w:val="24"/>
          <w:szCs w:val="24"/>
        </w:rPr>
      </w:pPr>
      <w:r>
        <w:rPr>
          <w:sz w:val="24"/>
          <w:szCs w:val="24"/>
        </w:rPr>
        <w:t>4.9. Обязательство Поставщика по поставке (передаче) товара считается исполненным с момента подписания Государственным заказчиком акта о приемке товаров.</w:t>
      </w:r>
    </w:p>
    <w:p w14:paraId="6B90F393">
      <w:pPr>
        <w:ind w:firstLine="708"/>
        <w:jc w:val="both"/>
        <w:rPr>
          <w:sz w:val="24"/>
          <w:szCs w:val="24"/>
        </w:rPr>
      </w:pPr>
      <w:r>
        <w:rPr>
          <w:sz w:val="24"/>
          <w:szCs w:val="24"/>
        </w:rPr>
        <w:t>4.10. Риск случайной гибели или случайного повреждения товара переходит на Государственного заказчика с момента подписания Государственным заказчиком акта о приемке товара по факту приемки товара.</w:t>
      </w:r>
    </w:p>
    <w:p w14:paraId="1D164582">
      <w:pPr>
        <w:ind w:firstLine="708"/>
        <w:jc w:val="both"/>
        <w:rPr>
          <w:sz w:val="24"/>
          <w:szCs w:val="24"/>
        </w:rPr>
      </w:pPr>
      <w:r>
        <w:rPr>
          <w:sz w:val="24"/>
          <w:szCs w:val="24"/>
        </w:rPr>
        <w:t>4.11. Право собственности на товар переходит к Государственному заказчику с момента подписания Государственным заказчиком акта о приемке товаров.</w:t>
      </w:r>
    </w:p>
    <w:p w14:paraId="38D90FA5">
      <w:pPr>
        <w:ind w:firstLine="708"/>
        <w:jc w:val="both"/>
        <w:rPr>
          <w:sz w:val="24"/>
          <w:szCs w:val="24"/>
        </w:rPr>
      </w:pPr>
      <w:r>
        <w:rPr>
          <w:sz w:val="24"/>
          <w:szCs w:val="24"/>
        </w:rPr>
        <w:t>4.12. Товар поставленный Поставщиком сверх объемов и цены Контракта Государственным заказчиком не оплачивается.</w:t>
      </w:r>
    </w:p>
    <w:p w14:paraId="513F84F6">
      <w:pPr>
        <w:ind w:firstLine="708"/>
        <w:jc w:val="both"/>
        <w:rPr>
          <w:sz w:val="24"/>
          <w:szCs w:val="24"/>
        </w:rPr>
      </w:pPr>
      <w:r>
        <w:rPr>
          <w:sz w:val="24"/>
          <w:szCs w:val="24"/>
        </w:rPr>
        <w:t>4.13. Государственный заказчик имеет право отказаться от получения товара, период поставки которого просрочен. В этом случае Государственный заказчик письменно уведомляет Поставщика об отказе в приемке товара.</w:t>
      </w:r>
    </w:p>
    <w:p w14:paraId="44472CA5">
      <w:pPr>
        <w:ind w:firstLine="708"/>
        <w:jc w:val="both"/>
        <w:rPr>
          <w:sz w:val="24"/>
          <w:szCs w:val="24"/>
        </w:rPr>
      </w:pPr>
      <w:r>
        <w:rPr>
          <w:sz w:val="24"/>
          <w:szCs w:val="24"/>
        </w:rPr>
        <w:t>4.14. Поставщик обязуется передать товар Государственному заказчику не обремененный правами третьих лиц.</w:t>
      </w:r>
    </w:p>
    <w:p w14:paraId="00AE7CBA">
      <w:pPr>
        <w:ind w:firstLine="708"/>
        <w:jc w:val="both"/>
        <w:rPr>
          <w:sz w:val="24"/>
          <w:szCs w:val="24"/>
        </w:rPr>
      </w:pPr>
    </w:p>
    <w:p w14:paraId="3A32762A">
      <w:pPr>
        <w:ind w:left="360"/>
        <w:jc w:val="center"/>
        <w:rPr>
          <w:b/>
          <w:bCs/>
          <w:color w:val="000000"/>
          <w:sz w:val="24"/>
          <w:szCs w:val="24"/>
        </w:rPr>
      </w:pPr>
      <w:r>
        <w:rPr>
          <w:b/>
          <w:bCs/>
          <w:color w:val="000000"/>
          <w:sz w:val="24"/>
          <w:szCs w:val="24"/>
        </w:rPr>
        <w:t>5. Экспертиза товара</w:t>
      </w:r>
    </w:p>
    <w:p w14:paraId="0F2A9F6B">
      <w:pPr>
        <w:ind w:firstLine="567"/>
        <w:jc w:val="both"/>
        <w:rPr>
          <w:bCs/>
          <w:color w:val="000000"/>
          <w:sz w:val="24"/>
          <w:szCs w:val="24"/>
        </w:rPr>
      </w:pPr>
      <w:r>
        <w:rPr>
          <w:bCs/>
          <w:color w:val="000000"/>
          <w:sz w:val="24"/>
          <w:szCs w:val="24"/>
        </w:rPr>
        <w:t>5.1. В целях проверки соответствия товара, передаваемого Поставщиком, условиям Контракта Государственным заказчиком проводится экспертиза. Экспертиза товара проводится силами Государственного заказчика.</w:t>
      </w:r>
    </w:p>
    <w:p w14:paraId="7AA841B2">
      <w:pPr>
        <w:ind w:firstLine="567"/>
        <w:jc w:val="both"/>
        <w:rPr>
          <w:sz w:val="24"/>
          <w:szCs w:val="24"/>
        </w:rPr>
      </w:pPr>
      <w:r>
        <w:rPr>
          <w:sz w:val="24"/>
          <w:szCs w:val="24"/>
        </w:rPr>
        <w:t>5.2. Экспертиза товара на соответствие требованиям установленным Контрактом, проводится в течение 10 (десяти) рабочих дней с момента поставки товара на склад Государственного заказчика.</w:t>
      </w:r>
    </w:p>
    <w:p w14:paraId="472F1165">
      <w:pPr>
        <w:ind w:firstLine="567"/>
        <w:jc w:val="both"/>
        <w:rPr>
          <w:sz w:val="24"/>
          <w:szCs w:val="24"/>
        </w:rPr>
      </w:pPr>
    </w:p>
    <w:p w14:paraId="6BA49EE2">
      <w:pPr>
        <w:ind w:left="360"/>
        <w:jc w:val="center"/>
        <w:rPr>
          <w:b/>
          <w:color w:val="000000"/>
          <w:sz w:val="24"/>
          <w:szCs w:val="24"/>
        </w:rPr>
      </w:pPr>
      <w:r>
        <w:rPr>
          <w:b/>
          <w:color w:val="000000"/>
          <w:sz w:val="24"/>
          <w:szCs w:val="24"/>
        </w:rPr>
        <w:t>6.  Цены и порядок расчетов</w:t>
      </w:r>
    </w:p>
    <w:p w14:paraId="00C04735">
      <w:pPr>
        <w:widowControl w:val="0"/>
        <w:ind w:firstLine="709"/>
        <w:jc w:val="both"/>
        <w:rPr>
          <w:color w:val="000000"/>
          <w:sz w:val="24"/>
          <w:szCs w:val="24"/>
        </w:rPr>
      </w:pPr>
      <w:r>
        <w:rPr>
          <w:color w:val="000000"/>
          <w:sz w:val="24"/>
          <w:szCs w:val="24"/>
        </w:rPr>
        <w:t xml:space="preserve">6.1. Цена Контракта составляет </w:t>
      </w:r>
      <w:r>
        <w:rPr>
          <w:b/>
          <w:color w:val="000000"/>
          <w:sz w:val="24"/>
          <w:szCs w:val="24"/>
          <w:highlight w:val="yellow"/>
        </w:rPr>
        <w:t>________ (____________) рублей ___ копеек с НДС/НДС не облагается</w:t>
      </w:r>
      <w:r>
        <w:rPr>
          <w:color w:val="000000"/>
          <w:sz w:val="24"/>
          <w:szCs w:val="24"/>
        </w:rPr>
        <w:t xml:space="preserve"> и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w:t>
      </w:r>
    </w:p>
    <w:p w14:paraId="2F88693F">
      <w:pPr>
        <w:widowControl w:val="0"/>
        <w:ind w:firstLine="709"/>
        <w:jc w:val="both"/>
        <w:rPr>
          <w:sz w:val="24"/>
          <w:szCs w:val="24"/>
        </w:rPr>
      </w:pPr>
      <w:r>
        <w:rPr>
          <w:color w:val="000000"/>
          <w:sz w:val="24"/>
          <w:szCs w:val="24"/>
        </w:rPr>
        <w:t>6.2.</w:t>
      </w:r>
      <w:r>
        <w:rPr>
          <w:sz w:val="24"/>
          <w:szCs w:val="24"/>
        </w:rPr>
        <w:t xml:space="preserve"> Оплата поставляемого товара производится Государственным заказчиком в российских рублях, в форме безналичного расчета, путем перечисления денежных средств, выделяемых из дополнительного бюджетного финансирования, на расчетный счет Поставщика по факту поставки в течение 7 (семи) рабочих дней с даты подписания Государственным заказчиком документа о приемке (на основании товарной накладной, счета, счета-фактуры).</w:t>
      </w:r>
    </w:p>
    <w:p w14:paraId="3F29D0DC">
      <w:pPr>
        <w:pStyle w:val="28"/>
        <w:ind w:firstLine="709"/>
        <w:jc w:val="both"/>
        <w:rPr>
          <w:rFonts w:ascii="Times New Roman" w:hAnsi="Times New Roman"/>
          <w:color w:val="000000"/>
          <w:sz w:val="24"/>
          <w:szCs w:val="24"/>
        </w:rPr>
      </w:pPr>
      <w:r>
        <w:rPr>
          <w:rFonts w:ascii="Times New Roman" w:hAnsi="Times New Roman"/>
          <w:color w:val="000000"/>
          <w:sz w:val="24"/>
          <w:szCs w:val="24"/>
        </w:rPr>
        <w:t xml:space="preserve">6.3. Обязательства Государственного заказчика по оплате поставленного товара считаются выполненными в день списания денежных средств со счетов Государственного заказчика. </w:t>
      </w:r>
    </w:p>
    <w:p w14:paraId="694B0EF8">
      <w:pPr>
        <w:ind w:firstLine="720"/>
        <w:jc w:val="both"/>
        <w:rPr>
          <w:rFonts w:cs="Times New Roman"/>
          <w:color w:val="000000"/>
          <w:sz w:val="24"/>
          <w:szCs w:val="24"/>
        </w:rPr>
      </w:pPr>
      <w:r>
        <w:rPr>
          <w:rFonts w:cs="Times New Roman"/>
          <w:color w:val="000000"/>
          <w:sz w:val="24"/>
          <w:szCs w:val="24"/>
        </w:rPr>
        <w:t>6.4. Одновременно с товаром Поставщик обязан предоставить сопроводительные документы: счет, счет-фактура, накладные (товарно-транспортные накладные) с оригинальной подписью лица отпустившего товар, копии сертификата соответствия или  декларации о соответствии.</w:t>
      </w:r>
    </w:p>
    <w:p w14:paraId="31685933">
      <w:pPr>
        <w:ind w:firstLine="708"/>
        <w:jc w:val="both"/>
        <w:rPr>
          <w:rFonts w:cs="Times New Roman"/>
          <w:color w:val="000000"/>
          <w:sz w:val="24"/>
          <w:szCs w:val="24"/>
        </w:rPr>
      </w:pPr>
      <w:r>
        <w:rPr>
          <w:rFonts w:cs="Times New Roman"/>
          <w:color w:val="000000"/>
          <w:sz w:val="24"/>
          <w:szCs w:val="24"/>
        </w:rPr>
        <w:t>6.5. Государственный заказчик имеет право произвести полный или частичный отказ от оплаты расходов, не предусмотренных в настоящем Контракте.</w:t>
      </w:r>
    </w:p>
    <w:p w14:paraId="08BA9542">
      <w:pPr>
        <w:ind w:firstLine="567"/>
        <w:jc w:val="both"/>
        <w:rPr>
          <w:rFonts w:cs="Times New Roman"/>
          <w:sz w:val="24"/>
          <w:szCs w:val="24"/>
        </w:rPr>
      </w:pPr>
      <w:r>
        <w:rPr>
          <w:rFonts w:cs="Times New Roman"/>
          <w:sz w:val="24"/>
          <w:szCs w:val="24"/>
        </w:rPr>
        <w:t xml:space="preserve">  6.6. Цена Контракта </w:t>
      </w:r>
      <w:r>
        <w:rPr>
          <w:rFonts w:cs="Times New Roman"/>
          <w:color w:val="000000"/>
          <w:sz w:val="24"/>
          <w:szCs w:val="24"/>
        </w:rPr>
        <w:t xml:space="preserve">является твердой и не может изменяться в ходе его исполнения, за исключением случаев, предусмотренных </w:t>
      </w:r>
      <w:r>
        <w:rPr>
          <w:rFonts w:cs="Times New Roman"/>
          <w:sz w:val="24"/>
          <w:szCs w:val="24"/>
        </w:rPr>
        <w:t>Федеральным законом от 05.04.2013 №44-ФЗ «</w:t>
      </w:r>
      <w:r>
        <w:rPr>
          <w:rFonts w:eastAsia="Calibri" w:cs="Times New Roman"/>
          <w:color w:val="000000"/>
          <w:sz w:val="24"/>
          <w:szCs w:val="24"/>
        </w:rPr>
        <w:t>О контрактной системе в сфере закупок товаров, работ, услуг для обеспечения государственных и муниципальных нужд</w:t>
      </w:r>
      <w:r>
        <w:rPr>
          <w:rFonts w:cs="Times New Roman"/>
          <w:sz w:val="24"/>
          <w:szCs w:val="24"/>
        </w:rPr>
        <w:t>».</w:t>
      </w:r>
    </w:p>
    <w:p w14:paraId="23F0B6FB">
      <w:pPr>
        <w:ind w:firstLine="567"/>
        <w:jc w:val="both"/>
        <w:rPr>
          <w:color w:val="000000"/>
          <w:sz w:val="24"/>
          <w:szCs w:val="24"/>
        </w:rPr>
      </w:pPr>
      <w:r>
        <w:rPr>
          <w:rFonts w:cs="Times New Roman"/>
          <w:sz w:val="24"/>
          <w:szCs w:val="24"/>
        </w:rPr>
        <w:t xml:space="preserve"> 6.7.</w:t>
      </w:r>
      <w:r>
        <w:rPr>
          <w:rFonts w:cs="Times New Roman"/>
          <w:color w:val="000000"/>
          <w:sz w:val="24"/>
          <w:szCs w:val="24"/>
        </w:rPr>
        <w:t xml:space="preserve">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w:t>
      </w:r>
      <w:r>
        <w:rPr>
          <w:color w:val="000000"/>
          <w:sz w:val="24"/>
          <w:szCs w:val="24"/>
        </w:rPr>
        <w:t xml:space="preserve"> по указанным в Контракте реквизитам Поставщика, несет Поставщик.</w:t>
      </w:r>
    </w:p>
    <w:p w14:paraId="5CE52299">
      <w:pPr>
        <w:ind w:firstLine="567"/>
        <w:jc w:val="both"/>
        <w:rPr>
          <w:color w:val="000000"/>
          <w:sz w:val="24"/>
          <w:szCs w:val="24"/>
        </w:rPr>
      </w:pPr>
    </w:p>
    <w:p w14:paraId="780BDA68">
      <w:pPr>
        <w:pStyle w:val="23"/>
        <w:spacing w:line="240" w:lineRule="atLeast"/>
        <w:ind w:firstLine="0"/>
        <w:jc w:val="center"/>
        <w:rPr>
          <w:rFonts w:ascii="Times New Roman" w:hAnsi="Times New Roman" w:cs="Times New Roman"/>
          <w:b/>
          <w:color w:val="000000"/>
          <w:sz w:val="24"/>
          <w:szCs w:val="24"/>
        </w:rPr>
      </w:pPr>
      <w:r>
        <w:rPr>
          <w:rFonts w:ascii="Times New Roman" w:hAnsi="Times New Roman" w:cs="Times New Roman"/>
          <w:b/>
          <w:color w:val="000000"/>
          <w:sz w:val="24"/>
          <w:szCs w:val="24"/>
        </w:rPr>
        <w:t>7. Права и обязанности Государственного заказчика</w:t>
      </w:r>
    </w:p>
    <w:p w14:paraId="4ADDC31B">
      <w:pPr>
        <w:pStyle w:val="23"/>
        <w:spacing w:line="240" w:lineRule="atLeast"/>
        <w:ind w:firstLine="0"/>
        <w:jc w:val="center"/>
        <w:rPr>
          <w:rFonts w:ascii="Times New Roman" w:hAnsi="Times New Roman" w:cs="Times New Roman"/>
          <w:b/>
          <w:color w:val="000000"/>
          <w:sz w:val="24"/>
          <w:szCs w:val="24"/>
        </w:rPr>
      </w:pPr>
    </w:p>
    <w:p w14:paraId="45482987">
      <w:pPr>
        <w:pStyle w:val="23"/>
        <w:spacing w:line="240" w:lineRule="atLeast"/>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7.1. Государственный заказчик вправе:</w:t>
      </w:r>
    </w:p>
    <w:p w14:paraId="5698D96E">
      <w:pPr>
        <w:pStyle w:val="23"/>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7.1.1. В случае поставки товара с нарушением условий настоящего Контракта отказаться от оплаты поставленного товара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 или потребовать уменьшения оплаты стоимости товара в соответствии с действующим законодательством Российской Федерации.</w:t>
      </w:r>
    </w:p>
    <w:p w14:paraId="56DD2627">
      <w:pPr>
        <w:pStyle w:val="23"/>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7.1.2. Требовать от Поставщика передачи недостающих или замены, ненадлежащим образом оформленных, отчетных документов, и иной документации, подтверждающих поставку товара.</w:t>
      </w:r>
    </w:p>
    <w:p w14:paraId="42DF2585">
      <w:pPr>
        <w:pStyle w:val="23"/>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7.1.3.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проведении экспертизы исполнения Поставщиком обязательств и представленных Поставщиком отчетных документов и материалов.</w:t>
      </w:r>
    </w:p>
    <w:p w14:paraId="4DC7E1C9">
      <w:pPr>
        <w:pStyle w:val="23"/>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7.1.4. Определять лиц, непосредственно участвующих в контроле за осуществлением поставки товара Поставщиком и (или) участвующих в сдаче-приемке товара по количеству и качеству.</w:t>
      </w:r>
    </w:p>
    <w:p w14:paraId="03DF0F4B">
      <w:pPr>
        <w:pStyle w:val="23"/>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7.2. Государственный заказчик обязан:</w:t>
      </w:r>
    </w:p>
    <w:p w14:paraId="6F6B2C65">
      <w:pPr>
        <w:widowControl w:val="0"/>
        <w:spacing w:line="252" w:lineRule="auto"/>
        <w:ind w:right="-71" w:firstLine="567"/>
        <w:jc w:val="both"/>
        <w:rPr>
          <w:sz w:val="24"/>
          <w:szCs w:val="24"/>
        </w:rPr>
      </w:pPr>
      <w:r>
        <w:rPr>
          <w:sz w:val="24"/>
          <w:szCs w:val="24"/>
        </w:rPr>
        <w:t>7.2.1. Взыскивать пеню и штраф в соответствии с условиями Контракта за неисполнение или ненадлежащее исполнение Поставщиком обязательств, предусмотренных Контрактом.</w:t>
      </w:r>
    </w:p>
    <w:p w14:paraId="02BC7054">
      <w:pPr>
        <w:pStyle w:val="23"/>
        <w:spacing w:line="240" w:lineRule="atLeast"/>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7.2.2. 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Контрактом.</w:t>
      </w:r>
    </w:p>
    <w:p w14:paraId="06A239D0">
      <w:pPr>
        <w:pStyle w:val="23"/>
        <w:spacing w:line="240" w:lineRule="atLeast"/>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7.2.3. Своевременно, в срок до 3 (трех) рабочих дней, сообщать в письменной форме Поставщику о недостатках товара, обнаруженных в ходе его поставки или приемки.</w:t>
      </w:r>
    </w:p>
    <w:p w14:paraId="676E1922">
      <w:pPr>
        <w:pStyle w:val="23"/>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7.2.4. Обеспечивать своевременную оплату товара в соответствии с условиями настоящего Контракта.</w:t>
      </w:r>
    </w:p>
    <w:p w14:paraId="14E8D0ED">
      <w:pPr>
        <w:pStyle w:val="23"/>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7.2.5. Обеспечивать своевременную приемку исполнения обязательств Поставщика по выполненным им обязательствам.</w:t>
      </w:r>
    </w:p>
    <w:p w14:paraId="50D09112">
      <w:pPr>
        <w:widowControl w:val="0"/>
        <w:spacing w:line="252" w:lineRule="auto"/>
        <w:ind w:right="-71" w:firstLine="567"/>
        <w:jc w:val="both"/>
        <w:rPr>
          <w:sz w:val="24"/>
          <w:szCs w:val="24"/>
        </w:rPr>
      </w:pPr>
      <w:r>
        <w:rPr>
          <w:sz w:val="24"/>
          <w:szCs w:val="24"/>
        </w:rPr>
        <w:t xml:space="preserve">7.2.6.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без замечаний товарных накладных. </w:t>
      </w:r>
    </w:p>
    <w:p w14:paraId="227D6932">
      <w:pPr>
        <w:pStyle w:val="23"/>
        <w:ind w:firstLine="567"/>
        <w:jc w:val="both"/>
        <w:rPr>
          <w:rFonts w:ascii="Times New Roman" w:hAnsi="Times New Roman" w:cs="Times New Roman"/>
          <w:sz w:val="24"/>
          <w:szCs w:val="24"/>
        </w:rPr>
      </w:pPr>
      <w:r>
        <w:rPr>
          <w:rFonts w:ascii="Times New Roman" w:hAnsi="Times New Roman" w:cs="Times New Roman"/>
          <w:sz w:val="24"/>
          <w:szCs w:val="24"/>
        </w:rPr>
        <w:t>7.2.7.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14:paraId="5E59BF91">
      <w:pPr>
        <w:spacing w:line="252" w:lineRule="auto"/>
        <w:ind w:firstLine="567"/>
        <w:jc w:val="both"/>
        <w:rPr>
          <w:sz w:val="24"/>
          <w:szCs w:val="24"/>
        </w:rPr>
      </w:pPr>
      <w:r>
        <w:rPr>
          <w:sz w:val="24"/>
          <w:szCs w:val="24"/>
        </w:rPr>
        <w:t>7.2.8. Выполнять иные обязанности, предусмотренные законодательством Российской Федерации и Контрактом.</w:t>
      </w:r>
    </w:p>
    <w:p w14:paraId="4EAA5952">
      <w:pPr>
        <w:pStyle w:val="23"/>
        <w:ind w:firstLine="567"/>
        <w:jc w:val="both"/>
        <w:rPr>
          <w:rFonts w:ascii="Times New Roman" w:hAnsi="Times New Roman" w:cs="Times New Roman"/>
          <w:sz w:val="24"/>
          <w:szCs w:val="24"/>
        </w:rPr>
      </w:pPr>
      <w:r>
        <w:rPr>
          <w:rFonts w:ascii="Times New Roman" w:hAnsi="Times New Roman" w:cs="Times New Roman"/>
          <w:sz w:val="24"/>
          <w:szCs w:val="24"/>
        </w:rPr>
        <w:t>7.2.9. В целях проверки соответствия товара, передаваемого Поставщиком, условиям Контракта проводить экспертизу.</w:t>
      </w:r>
    </w:p>
    <w:p w14:paraId="145B89B6">
      <w:pPr>
        <w:pStyle w:val="23"/>
        <w:ind w:firstLine="567"/>
        <w:jc w:val="both"/>
        <w:rPr>
          <w:rFonts w:ascii="Times New Roman" w:hAnsi="Times New Roman" w:cs="Times New Roman"/>
          <w:sz w:val="24"/>
          <w:szCs w:val="24"/>
        </w:rPr>
      </w:pPr>
    </w:p>
    <w:p w14:paraId="4D177E08">
      <w:pPr>
        <w:pStyle w:val="23"/>
        <w:ind w:left="360" w:firstLine="0"/>
        <w:jc w:val="center"/>
        <w:rPr>
          <w:rFonts w:ascii="Times New Roman" w:hAnsi="Times New Roman" w:cs="Times New Roman"/>
          <w:b/>
          <w:color w:val="000000"/>
          <w:sz w:val="24"/>
          <w:szCs w:val="24"/>
        </w:rPr>
      </w:pPr>
      <w:r>
        <w:rPr>
          <w:rFonts w:ascii="Times New Roman" w:hAnsi="Times New Roman" w:cs="Times New Roman"/>
          <w:b/>
          <w:color w:val="000000"/>
          <w:sz w:val="24"/>
          <w:szCs w:val="24"/>
        </w:rPr>
        <w:t>8. Права и обязанности Поставщика</w:t>
      </w:r>
    </w:p>
    <w:p w14:paraId="7DE4FADF">
      <w:pPr>
        <w:pStyle w:val="23"/>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8.1. Поставщик вправе:</w:t>
      </w:r>
    </w:p>
    <w:p w14:paraId="1B1E4C7B">
      <w:pPr>
        <w:pStyle w:val="23"/>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8.1.1. Требовать своевременного подписания Государственным заказчиком товарных накладных, подтверждающих исполнение обязательств по Контракту, на основании представленных Поставщиком отчетных документов и материалов.</w:t>
      </w:r>
    </w:p>
    <w:p w14:paraId="47A1F44D">
      <w:pPr>
        <w:pStyle w:val="23"/>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8.1.2. Требовать своевременной оплаты поставленного товара (партии товара) в соответствии с подписанными Сторонами товарными накладными.</w:t>
      </w:r>
    </w:p>
    <w:p w14:paraId="5F2018AF">
      <w:pPr>
        <w:widowControl w:val="0"/>
        <w:spacing w:line="252" w:lineRule="auto"/>
        <w:ind w:right="-71" w:firstLine="567"/>
        <w:jc w:val="both"/>
        <w:rPr>
          <w:sz w:val="24"/>
          <w:szCs w:val="24"/>
        </w:rPr>
      </w:pPr>
      <w:r>
        <w:rPr>
          <w:sz w:val="24"/>
          <w:szCs w:val="24"/>
        </w:rPr>
        <w:t>8.1.3. Требовать уплату пеней и штрафов в соответствии с условиями Контракта.</w:t>
      </w:r>
    </w:p>
    <w:p w14:paraId="7A1455E3">
      <w:pPr>
        <w:pStyle w:val="23"/>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8.2. Поставщик обязан:</w:t>
      </w:r>
    </w:p>
    <w:p w14:paraId="10C47F30">
      <w:pPr>
        <w:pStyle w:val="23"/>
        <w:ind w:firstLine="567"/>
        <w:jc w:val="both"/>
        <w:rPr>
          <w:rFonts w:ascii="Times New Roman" w:hAnsi="Times New Roman" w:cs="Times New Roman"/>
          <w:sz w:val="24"/>
          <w:szCs w:val="24"/>
        </w:rPr>
      </w:pPr>
      <w:r>
        <w:rPr>
          <w:rFonts w:ascii="Times New Roman" w:hAnsi="Times New Roman" w:cs="Times New Roman"/>
          <w:sz w:val="24"/>
          <w:szCs w:val="24"/>
        </w:rPr>
        <w:t>8.2.1.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Государственному заказчику результаты поставки товара,  предусмотренные Контрактом, при этом Государственный заказчик обязан обеспечить приемку поставленного товара.</w:t>
      </w:r>
    </w:p>
    <w:p w14:paraId="7F033605">
      <w:pPr>
        <w:pStyle w:val="23"/>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8.2.2. Своевременно и надлежащим образом поставить товар и представить Государственному заказчику отчетные документы и материалы, предусмотренные настоящим Контрактом.</w:t>
      </w:r>
    </w:p>
    <w:p w14:paraId="4B48E89C">
      <w:pPr>
        <w:pStyle w:val="23"/>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8.2.3. Безвозмездно осуществить замену товара при выявлении недостатков в течение 7 (семи) рабочих дней, а так же в порядке и на условиях, предусмотренных настоящим Контрактом. Требование о замене товара должно быть обосновано и признано Поставщиком.</w:t>
      </w:r>
    </w:p>
    <w:p w14:paraId="4F75A746">
      <w:pPr>
        <w:widowControl w:val="0"/>
        <w:spacing w:line="252" w:lineRule="auto"/>
        <w:ind w:right="-71" w:firstLine="567"/>
        <w:jc w:val="both"/>
        <w:rPr>
          <w:sz w:val="24"/>
          <w:szCs w:val="24"/>
        </w:rPr>
      </w:pPr>
      <w:r>
        <w:rPr>
          <w:sz w:val="24"/>
          <w:szCs w:val="24"/>
        </w:rPr>
        <w:t xml:space="preserve">8.2.4. Передать товар в порядке и в сроки, указанные в разделе 4 Контракта. </w:t>
      </w:r>
    </w:p>
    <w:p w14:paraId="40E18843">
      <w:pPr>
        <w:widowControl w:val="0"/>
        <w:spacing w:line="252" w:lineRule="auto"/>
        <w:ind w:right="-71" w:firstLine="567"/>
        <w:jc w:val="both"/>
        <w:rPr>
          <w:sz w:val="24"/>
          <w:szCs w:val="24"/>
        </w:rPr>
      </w:pPr>
      <w:r>
        <w:rPr>
          <w:sz w:val="24"/>
          <w:szCs w:val="24"/>
        </w:rPr>
        <w:t>8.2.5. Передать товар в полном объеме с относящейся к нему документацией, перечисленной в пункте 6.4 Контракта.</w:t>
      </w:r>
    </w:p>
    <w:p w14:paraId="350EEFFB">
      <w:pPr>
        <w:widowControl w:val="0"/>
        <w:spacing w:line="252" w:lineRule="auto"/>
        <w:ind w:right="-71" w:firstLine="567"/>
        <w:jc w:val="both"/>
        <w:rPr>
          <w:sz w:val="24"/>
          <w:szCs w:val="24"/>
        </w:rPr>
      </w:pPr>
    </w:p>
    <w:p w14:paraId="64C7FA50">
      <w:pPr>
        <w:ind w:left="360"/>
        <w:jc w:val="center"/>
        <w:rPr>
          <w:b/>
          <w:sz w:val="24"/>
          <w:szCs w:val="24"/>
        </w:rPr>
      </w:pPr>
      <w:r>
        <w:rPr>
          <w:b/>
          <w:sz w:val="24"/>
          <w:szCs w:val="24"/>
        </w:rPr>
        <w:t>9. Ответственность Сторон</w:t>
      </w:r>
    </w:p>
    <w:p w14:paraId="1F35538D">
      <w:pPr>
        <w:widowControl w:val="0"/>
        <w:spacing w:line="252" w:lineRule="auto"/>
        <w:ind w:right="-71" w:firstLine="567"/>
        <w:jc w:val="both"/>
        <w:rPr>
          <w:sz w:val="24"/>
          <w:szCs w:val="24"/>
        </w:rPr>
      </w:pPr>
      <w:r>
        <w:rPr>
          <w:sz w:val="24"/>
          <w:szCs w:val="24"/>
        </w:rPr>
        <w:t>9.1.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589D76A3">
      <w:pPr>
        <w:widowControl w:val="0"/>
        <w:spacing w:line="252" w:lineRule="auto"/>
        <w:ind w:right="-71" w:firstLine="567"/>
        <w:jc w:val="both"/>
        <w:rPr>
          <w:sz w:val="24"/>
          <w:szCs w:val="24"/>
        </w:rPr>
      </w:pPr>
      <w:r>
        <w:rPr>
          <w:sz w:val="24"/>
          <w:szCs w:val="24"/>
        </w:rPr>
        <w:t xml:space="preserve">9.2. Размер штрафа устанавливается Контрактом в соответствии с пунктами 3 - 9 в </w:t>
      </w:r>
      <w:r>
        <w:fldChar w:fldCharType="begin"/>
      </w:r>
      <w:r>
        <w:instrText xml:space="preserve"> HYPERLINK "consultantplus://offline/ref=9AA9312C43E36E520ECFC81383D0D5917230E0AF58A8291BF6274E337DBC41B9452E324A4D5D36FB4BNBG" </w:instrText>
      </w:r>
      <w:r>
        <w:fldChar w:fldCharType="separate"/>
      </w:r>
      <w:r>
        <w:rPr>
          <w:sz w:val="24"/>
          <w:szCs w:val="24"/>
        </w:rPr>
        <w:t>Правил</w:t>
      </w:r>
      <w:r>
        <w:rPr>
          <w:sz w:val="24"/>
          <w:szCs w:val="24"/>
        </w:rPr>
        <w:fldChar w:fldCharType="end"/>
      </w:r>
      <w:r>
        <w:rPr>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определения размера штрафа). </w:t>
      </w:r>
    </w:p>
    <w:p w14:paraId="3D3617B5">
      <w:pPr>
        <w:widowControl w:val="0"/>
        <w:spacing w:line="252" w:lineRule="auto"/>
        <w:ind w:right="-71" w:firstLine="567"/>
        <w:jc w:val="both"/>
        <w:rPr>
          <w:sz w:val="24"/>
          <w:szCs w:val="24"/>
        </w:rPr>
      </w:pPr>
      <w:r>
        <w:rPr>
          <w:sz w:val="24"/>
          <w:szCs w:val="24"/>
        </w:rPr>
        <w:t xml:space="preserve">9.3.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w:t>
      </w:r>
    </w:p>
    <w:p w14:paraId="386532FE">
      <w:pPr>
        <w:widowControl w:val="0"/>
        <w:spacing w:line="252" w:lineRule="auto"/>
        <w:ind w:right="-71" w:firstLine="567"/>
        <w:jc w:val="both"/>
        <w:rPr>
          <w:sz w:val="24"/>
          <w:szCs w:val="24"/>
        </w:rPr>
      </w:pPr>
      <w:r>
        <w:rPr>
          <w:sz w:val="24"/>
          <w:szCs w:val="24"/>
        </w:rPr>
        <w:t xml:space="preserve">9.4.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4AD6E341">
      <w:pPr>
        <w:widowControl w:val="0"/>
        <w:spacing w:line="252" w:lineRule="auto"/>
        <w:ind w:right="-71" w:firstLine="567"/>
        <w:jc w:val="both"/>
        <w:rPr>
          <w:sz w:val="24"/>
          <w:szCs w:val="24"/>
        </w:rPr>
      </w:pPr>
      <w:r>
        <w:rPr>
          <w:sz w:val="24"/>
          <w:szCs w:val="24"/>
        </w:rPr>
        <w:t>9.5.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p>
    <w:p w14:paraId="4582AFEA">
      <w:pPr>
        <w:widowControl w:val="0"/>
        <w:spacing w:line="252" w:lineRule="auto"/>
        <w:ind w:right="-71" w:firstLine="567"/>
        <w:jc w:val="both"/>
        <w:rPr>
          <w:sz w:val="24"/>
          <w:szCs w:val="24"/>
        </w:rPr>
      </w:pPr>
      <w:r>
        <w:rPr>
          <w:sz w:val="24"/>
          <w:szCs w:val="24"/>
        </w:rPr>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(одна тысяча) рублей 00 копеек.</w:t>
      </w:r>
    </w:p>
    <w:p w14:paraId="1E33CDEA">
      <w:pPr>
        <w:widowControl w:val="0"/>
        <w:spacing w:line="252" w:lineRule="auto"/>
        <w:ind w:right="-71" w:firstLine="567"/>
        <w:jc w:val="both"/>
        <w:rPr>
          <w:sz w:val="24"/>
          <w:szCs w:val="24"/>
        </w:rPr>
      </w:pPr>
      <w:r>
        <w:rPr>
          <w:sz w:val="24"/>
          <w:szCs w:val="24"/>
        </w:rPr>
        <w:t>9.6.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68AB74C5">
      <w:pPr>
        <w:widowControl w:val="0"/>
        <w:spacing w:line="252" w:lineRule="auto"/>
        <w:ind w:right="-71" w:firstLine="567"/>
        <w:jc w:val="both"/>
        <w:rPr>
          <w:sz w:val="24"/>
          <w:szCs w:val="24"/>
        </w:rPr>
      </w:pPr>
      <w:r>
        <w:rPr>
          <w:sz w:val="24"/>
          <w:szCs w:val="24"/>
        </w:rPr>
        <w:t>9.7.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651E9982">
      <w:pPr>
        <w:widowControl w:val="0"/>
        <w:spacing w:line="252" w:lineRule="auto"/>
        <w:ind w:right="-71" w:firstLine="567"/>
        <w:jc w:val="both"/>
        <w:rPr>
          <w:sz w:val="24"/>
          <w:szCs w:val="24"/>
        </w:rPr>
      </w:pPr>
      <w:r>
        <w:rPr>
          <w:sz w:val="24"/>
          <w:szCs w:val="24"/>
        </w:rPr>
        <w:t>9.8.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DB55B79">
      <w:pPr>
        <w:widowControl w:val="0"/>
        <w:spacing w:line="252" w:lineRule="auto"/>
        <w:ind w:right="-71" w:firstLine="567"/>
        <w:jc w:val="both"/>
        <w:rPr>
          <w:sz w:val="24"/>
          <w:szCs w:val="24"/>
        </w:rPr>
      </w:pPr>
      <w:r>
        <w:rPr>
          <w:sz w:val="24"/>
          <w:szCs w:val="24"/>
        </w:rPr>
        <w:t xml:space="preserve">9.9.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w:t>
      </w:r>
    </w:p>
    <w:p w14:paraId="4E2BFE00">
      <w:pPr>
        <w:pStyle w:val="28"/>
        <w:ind w:firstLine="709"/>
        <w:jc w:val="both"/>
        <w:rPr>
          <w:rFonts w:ascii="Times New Roman" w:hAnsi="Times New Roman" w:cs="Calibri"/>
          <w:sz w:val="24"/>
          <w:szCs w:val="24"/>
          <w:lang w:eastAsia="ar-SA"/>
        </w:rPr>
      </w:pPr>
      <w:r>
        <w:rPr>
          <w:rFonts w:ascii="Times New Roman" w:hAnsi="Times New Roman" w:cs="Calibri"/>
          <w:sz w:val="24"/>
          <w:szCs w:val="24"/>
          <w:lang w:eastAsia="ar-SA"/>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3931DA58">
      <w:pPr>
        <w:pStyle w:val="28"/>
        <w:ind w:firstLine="709"/>
        <w:jc w:val="both"/>
        <w:rPr>
          <w:rFonts w:ascii="Times New Roman" w:hAnsi="Times New Roman" w:cs="Calibri"/>
          <w:sz w:val="24"/>
          <w:szCs w:val="24"/>
          <w:lang w:eastAsia="ar-SA"/>
        </w:rPr>
      </w:pPr>
      <w:r>
        <w:rPr>
          <w:rFonts w:ascii="Times New Roman" w:hAnsi="Times New Roman" w:cs="Calibri"/>
          <w:sz w:val="24"/>
          <w:szCs w:val="24"/>
          <w:lang w:eastAsia="ar-SA"/>
        </w:rPr>
        <w:t>10 процентов цены Контракта.</w:t>
      </w:r>
    </w:p>
    <w:p w14:paraId="0372280C">
      <w:pPr>
        <w:widowControl w:val="0"/>
        <w:spacing w:line="252" w:lineRule="auto"/>
        <w:ind w:right="-71" w:firstLine="567"/>
        <w:jc w:val="both"/>
        <w:rPr>
          <w:sz w:val="24"/>
          <w:szCs w:val="24"/>
        </w:rPr>
      </w:pPr>
      <w:r>
        <w:rPr>
          <w:sz w:val="24"/>
          <w:szCs w:val="24"/>
        </w:rPr>
        <w:t>9.10.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51F456E0">
      <w:pPr>
        <w:widowControl w:val="0"/>
        <w:spacing w:line="252" w:lineRule="auto"/>
        <w:ind w:right="-71" w:firstLine="567"/>
        <w:jc w:val="both"/>
        <w:rPr>
          <w:sz w:val="24"/>
          <w:szCs w:val="24"/>
        </w:rPr>
      </w:pPr>
      <w:r>
        <w:rPr>
          <w:sz w:val="24"/>
          <w:szCs w:val="24"/>
        </w:rPr>
        <w:t>а) 1000 (одна тысяча) рублей.</w:t>
      </w:r>
    </w:p>
    <w:p w14:paraId="6C77A538">
      <w:pPr>
        <w:widowControl w:val="0"/>
        <w:spacing w:line="252" w:lineRule="auto"/>
        <w:ind w:right="-71" w:firstLine="567"/>
        <w:jc w:val="both"/>
        <w:rPr>
          <w:sz w:val="24"/>
          <w:szCs w:val="24"/>
        </w:rPr>
      </w:pPr>
      <w:r>
        <w:rPr>
          <w:sz w:val="24"/>
          <w:szCs w:val="24"/>
        </w:rPr>
        <w:t>9.11.Общая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BE7B9C6">
      <w:pPr>
        <w:widowControl w:val="0"/>
        <w:spacing w:line="252" w:lineRule="auto"/>
        <w:ind w:right="-71" w:firstLine="567"/>
        <w:jc w:val="both"/>
        <w:rPr>
          <w:sz w:val="24"/>
          <w:szCs w:val="24"/>
        </w:rPr>
      </w:pPr>
      <w:r>
        <w:rPr>
          <w:sz w:val="24"/>
          <w:szCs w:val="24"/>
        </w:rPr>
        <w:t>9.12.Сторона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9C8057C">
      <w:pPr>
        <w:widowControl w:val="0"/>
        <w:spacing w:line="252" w:lineRule="auto"/>
        <w:ind w:right="-71" w:firstLine="567"/>
        <w:jc w:val="both"/>
        <w:rPr>
          <w:sz w:val="24"/>
          <w:szCs w:val="24"/>
        </w:rPr>
      </w:pPr>
      <w:r>
        <w:rPr>
          <w:sz w:val="24"/>
          <w:szCs w:val="24"/>
        </w:rPr>
        <w:t>9.13. Уплата неустойки (штрафа, пени) не освобождает  Стороны от исполнения обязательств по Контракту.</w:t>
      </w:r>
    </w:p>
    <w:p w14:paraId="2EBC9C9A">
      <w:pPr>
        <w:widowControl w:val="0"/>
        <w:spacing w:line="252" w:lineRule="auto"/>
        <w:ind w:right="-71" w:firstLine="567"/>
        <w:jc w:val="both"/>
        <w:rPr>
          <w:sz w:val="24"/>
          <w:szCs w:val="24"/>
        </w:rPr>
      </w:pPr>
      <w:r>
        <w:rPr>
          <w:sz w:val="24"/>
          <w:szCs w:val="24"/>
        </w:rPr>
        <w:t>9.14. Вред, причиненный третьим лицам по вине Поставщика при исполнении обязательств по Контракту, возмещается за его счет.</w:t>
      </w:r>
    </w:p>
    <w:p w14:paraId="65F6D597">
      <w:pPr>
        <w:widowControl w:val="0"/>
        <w:spacing w:line="252" w:lineRule="auto"/>
        <w:ind w:right="-71" w:firstLine="567"/>
        <w:jc w:val="both"/>
        <w:rPr>
          <w:sz w:val="24"/>
          <w:szCs w:val="24"/>
        </w:rPr>
      </w:pPr>
    </w:p>
    <w:p w14:paraId="40DC41C0">
      <w:pPr>
        <w:jc w:val="center"/>
        <w:rPr>
          <w:b/>
          <w:sz w:val="24"/>
          <w:szCs w:val="24"/>
        </w:rPr>
      </w:pPr>
      <w:r>
        <w:rPr>
          <w:b/>
          <w:sz w:val="24"/>
          <w:szCs w:val="24"/>
        </w:rPr>
        <w:t>10. Обстоятельства непреодолимой силы</w:t>
      </w:r>
    </w:p>
    <w:p w14:paraId="046F14A6">
      <w:pPr>
        <w:ind w:firstLine="708"/>
        <w:jc w:val="both"/>
        <w:rPr>
          <w:sz w:val="24"/>
          <w:szCs w:val="24"/>
        </w:rPr>
      </w:pPr>
      <w:r>
        <w:rPr>
          <w:sz w:val="24"/>
          <w:szCs w:val="24"/>
        </w:rPr>
        <w:t>10.1.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64A248E0">
      <w:pPr>
        <w:ind w:firstLine="708"/>
        <w:jc w:val="both"/>
        <w:rPr>
          <w:sz w:val="24"/>
          <w:szCs w:val="24"/>
        </w:rPr>
      </w:pPr>
      <w:r>
        <w:rPr>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17400856">
      <w:pPr>
        <w:ind w:firstLine="708"/>
        <w:jc w:val="both"/>
        <w:rPr>
          <w:sz w:val="24"/>
          <w:szCs w:val="24"/>
        </w:rPr>
      </w:pPr>
      <w:r>
        <w:rPr>
          <w:sz w:val="24"/>
          <w:szCs w:val="24"/>
        </w:rPr>
        <w:t>10.2.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5FFB8C08">
      <w:pPr>
        <w:ind w:firstLine="708"/>
        <w:jc w:val="both"/>
        <w:rPr>
          <w:sz w:val="24"/>
          <w:szCs w:val="24"/>
        </w:rPr>
      </w:pPr>
      <w:r>
        <w:rPr>
          <w:sz w:val="24"/>
          <w:szCs w:val="24"/>
        </w:rPr>
        <w:t>10.3.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09ADC962">
      <w:pPr>
        <w:ind w:firstLine="708"/>
        <w:jc w:val="both"/>
        <w:rPr>
          <w:sz w:val="24"/>
          <w:szCs w:val="24"/>
        </w:rPr>
      </w:pPr>
      <w:r>
        <w:rPr>
          <w:sz w:val="24"/>
          <w:szCs w:val="24"/>
        </w:rPr>
        <w:t>10.4. Сторона должна в течение 10 дней с момента прекращения форс-мажорных обстоятельств передать другой Стороне документ компетентного органа или организации о наличии и продолжительности форс-мажорных обстоятельств.</w:t>
      </w:r>
    </w:p>
    <w:p w14:paraId="0F748FD1">
      <w:pPr>
        <w:ind w:firstLine="708"/>
        <w:jc w:val="both"/>
        <w:rPr>
          <w:sz w:val="24"/>
          <w:szCs w:val="24"/>
        </w:rPr>
      </w:pPr>
      <w:r>
        <w:rPr>
          <w:sz w:val="24"/>
          <w:szCs w:val="24"/>
        </w:rPr>
        <w:t>10.5.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625EE3C0">
      <w:pPr>
        <w:ind w:firstLine="708"/>
        <w:jc w:val="both"/>
        <w:rPr>
          <w:sz w:val="24"/>
          <w:szCs w:val="24"/>
        </w:rPr>
      </w:pPr>
      <w:r>
        <w:rPr>
          <w:sz w:val="24"/>
          <w:szCs w:val="24"/>
        </w:rPr>
        <w:t>10.6.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6AFD4590">
      <w:pPr>
        <w:ind w:firstLine="708"/>
        <w:jc w:val="both"/>
        <w:rPr>
          <w:sz w:val="24"/>
          <w:szCs w:val="24"/>
        </w:rPr>
      </w:pPr>
    </w:p>
    <w:p w14:paraId="6529A916">
      <w:pPr>
        <w:ind w:left="360"/>
        <w:jc w:val="center"/>
        <w:rPr>
          <w:b/>
          <w:color w:val="000000"/>
          <w:sz w:val="24"/>
          <w:szCs w:val="24"/>
        </w:rPr>
      </w:pPr>
      <w:r>
        <w:rPr>
          <w:b/>
          <w:color w:val="000000"/>
          <w:sz w:val="24"/>
          <w:szCs w:val="24"/>
        </w:rPr>
        <w:t>11. Порядок разрешения споров</w:t>
      </w:r>
    </w:p>
    <w:p w14:paraId="6305719E">
      <w:pPr>
        <w:ind w:firstLine="720"/>
        <w:jc w:val="both"/>
        <w:rPr>
          <w:color w:val="000000"/>
          <w:sz w:val="24"/>
          <w:szCs w:val="24"/>
        </w:rPr>
      </w:pPr>
      <w:r>
        <w:rPr>
          <w:color w:val="000000"/>
          <w:sz w:val="24"/>
          <w:szCs w:val="24"/>
        </w:rPr>
        <w:t>11.1. Все споры, возникающие в процессе заключения и исполнения Контракта, решаются Сторонами в добровольном порядке. При невозможности достижения соглашения Сторон, спор подлежит разрешению в Арбитражном суде Вологодской области.</w:t>
      </w:r>
    </w:p>
    <w:p w14:paraId="25958CA1">
      <w:pPr>
        <w:ind w:firstLine="708"/>
        <w:jc w:val="both"/>
        <w:rPr>
          <w:color w:val="000000"/>
          <w:sz w:val="24"/>
          <w:szCs w:val="24"/>
        </w:rPr>
      </w:pPr>
      <w:r>
        <w:rPr>
          <w:color w:val="000000"/>
          <w:sz w:val="24"/>
          <w:szCs w:val="24"/>
        </w:rPr>
        <w:t>11.2. До направления возможного искового заявления в Арбитражный суд Вологодской области, предъявление претензии другой Стороне является обязательным. Претензия должна быть рассмотрена и по ней дан ответ в течение 20 календарных дней с момента получения. Срок подачи претензии – в соответствии с действующим законодательством Российской Федерации.</w:t>
      </w:r>
    </w:p>
    <w:p w14:paraId="423FB70B">
      <w:pPr>
        <w:jc w:val="both"/>
        <w:rPr>
          <w:color w:val="000000"/>
          <w:sz w:val="24"/>
          <w:szCs w:val="24"/>
        </w:rPr>
      </w:pPr>
    </w:p>
    <w:p w14:paraId="0B682BC2">
      <w:pPr>
        <w:autoSpaceDE w:val="0"/>
        <w:ind w:left="360"/>
        <w:jc w:val="center"/>
        <w:rPr>
          <w:b/>
          <w:sz w:val="24"/>
          <w:szCs w:val="24"/>
        </w:rPr>
      </w:pPr>
      <w:r>
        <w:rPr>
          <w:b/>
          <w:sz w:val="24"/>
          <w:szCs w:val="24"/>
        </w:rPr>
        <w:t>12. Изменение, расторжение Контракта</w:t>
      </w:r>
    </w:p>
    <w:p w14:paraId="477766BE">
      <w:pPr>
        <w:pStyle w:val="28"/>
        <w:ind w:firstLine="709"/>
        <w:jc w:val="both"/>
        <w:rPr>
          <w:rFonts w:ascii="Times New Roman" w:hAnsi="Times New Roman"/>
          <w:sz w:val="24"/>
          <w:szCs w:val="24"/>
        </w:rPr>
      </w:pPr>
      <w:r>
        <w:rPr>
          <w:rFonts w:ascii="Times New Roman" w:hAnsi="Times New Roman"/>
          <w:sz w:val="24"/>
          <w:szCs w:val="24"/>
        </w:rPr>
        <w:t>12.1.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356212B0">
      <w:pPr>
        <w:pStyle w:val="28"/>
        <w:ind w:firstLine="709"/>
        <w:jc w:val="both"/>
        <w:rPr>
          <w:rFonts w:ascii="Times New Roman" w:hAnsi="Times New Roman"/>
          <w:sz w:val="24"/>
          <w:szCs w:val="24"/>
        </w:rPr>
      </w:pPr>
      <w:r>
        <w:rPr>
          <w:rFonts w:ascii="Times New Roman" w:hAnsi="Times New Roman"/>
          <w:sz w:val="24"/>
          <w:szCs w:val="24"/>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14:paraId="4D8CB562">
      <w:pPr>
        <w:pStyle w:val="28"/>
        <w:ind w:firstLine="709"/>
        <w:jc w:val="both"/>
        <w:rPr>
          <w:rFonts w:ascii="Times New Roman" w:hAnsi="Times New Roman"/>
          <w:sz w:val="24"/>
          <w:szCs w:val="24"/>
        </w:rPr>
      </w:pPr>
      <w:r>
        <w:rPr>
          <w:rFonts w:ascii="Times New Roman" w:hAnsi="Times New Roman"/>
          <w:sz w:val="24"/>
          <w:szCs w:val="24"/>
        </w:rPr>
        <w:t>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0E452021">
      <w:pPr>
        <w:pStyle w:val="28"/>
        <w:ind w:firstLine="709"/>
        <w:jc w:val="both"/>
        <w:rPr>
          <w:rFonts w:ascii="Times New Roman" w:hAnsi="Times New Roman"/>
          <w:sz w:val="24"/>
          <w:szCs w:val="24"/>
        </w:rPr>
      </w:pPr>
      <w:r>
        <w:rPr>
          <w:rFonts w:ascii="Times New Roman" w:hAnsi="Times New Roman"/>
          <w:sz w:val="24"/>
          <w:szCs w:val="24"/>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4C88475E">
      <w:pPr>
        <w:pStyle w:val="28"/>
        <w:ind w:firstLine="709"/>
        <w:jc w:val="both"/>
        <w:rPr>
          <w:rFonts w:ascii="Times New Roman" w:hAnsi="Times New Roman"/>
          <w:sz w:val="24"/>
          <w:szCs w:val="24"/>
        </w:rPr>
      </w:pPr>
      <w:r>
        <w:rPr>
          <w:rFonts w:ascii="Times New Roman" w:hAnsi="Times New Roman"/>
          <w:sz w:val="24"/>
          <w:szCs w:val="24"/>
        </w:rPr>
        <w:t>12.2. Все изменения к Контракту действительны, если они оформлены в виде дополнительного соглашения к Контракту, надлежаще подписаны уполномоченными на то представителями Сторон. Все соглашения являются неотъемлемыми частями Контрпкта.</w:t>
      </w:r>
    </w:p>
    <w:p w14:paraId="6E184E50">
      <w:pPr>
        <w:pStyle w:val="29"/>
        <w:spacing w:line="240" w:lineRule="auto"/>
        <w:ind w:right="-71"/>
        <w:contextualSpacing/>
        <w:rPr>
          <w:szCs w:val="24"/>
          <w:lang w:eastAsia="en-US"/>
        </w:rPr>
      </w:pPr>
      <w:r>
        <w:rPr>
          <w:szCs w:val="24"/>
        </w:rPr>
        <w:t xml:space="preserve">12.3. Контракт может быть расторгнут </w:t>
      </w:r>
      <w:r>
        <w:rPr>
          <w:szCs w:val="24"/>
          <w:lang w:eastAsia="en-US"/>
        </w:rPr>
        <w:t>по соглашению Сторон, по решению суда в соответствии с гражданским законодательством и условиями Контракта.</w:t>
      </w:r>
    </w:p>
    <w:p w14:paraId="0894E85F">
      <w:pPr>
        <w:pStyle w:val="29"/>
        <w:spacing w:line="240" w:lineRule="auto"/>
        <w:ind w:right="-71"/>
        <w:contextualSpacing/>
        <w:rPr>
          <w:szCs w:val="24"/>
        </w:rPr>
      </w:pPr>
      <w:r>
        <w:rPr>
          <w:szCs w:val="24"/>
        </w:rPr>
        <w:t xml:space="preserve">12.4.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14:paraId="2FC24F09">
      <w:pPr>
        <w:pStyle w:val="29"/>
        <w:spacing w:line="240" w:lineRule="auto"/>
        <w:ind w:right="-71"/>
        <w:contextualSpacing/>
        <w:rPr>
          <w:szCs w:val="24"/>
        </w:rPr>
      </w:pPr>
      <w:r>
        <w:rPr>
          <w:szCs w:val="24"/>
        </w:rPr>
        <w:t>12.5.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14:paraId="2D6F9C8A">
      <w:pPr>
        <w:pStyle w:val="29"/>
        <w:spacing w:line="240" w:lineRule="auto"/>
        <w:ind w:right="-71" w:firstLine="0"/>
        <w:contextualSpacing/>
        <w:rPr>
          <w:szCs w:val="24"/>
        </w:rPr>
      </w:pPr>
    </w:p>
    <w:p w14:paraId="5F9C563D">
      <w:pPr>
        <w:ind w:left="360"/>
        <w:jc w:val="center"/>
        <w:rPr>
          <w:b/>
          <w:color w:val="000000"/>
          <w:sz w:val="24"/>
          <w:szCs w:val="24"/>
        </w:rPr>
      </w:pPr>
      <w:r>
        <w:rPr>
          <w:b/>
          <w:color w:val="000000"/>
          <w:sz w:val="24"/>
          <w:szCs w:val="24"/>
        </w:rPr>
        <w:t>13. Прочие условия</w:t>
      </w:r>
    </w:p>
    <w:p w14:paraId="01430C42">
      <w:pPr>
        <w:pStyle w:val="24"/>
        <w:tabs>
          <w:tab w:val="left" w:pos="-1560"/>
        </w:tabs>
        <w:spacing w:after="0"/>
        <w:ind w:left="0" w:firstLine="709"/>
        <w:jc w:val="both"/>
        <w:rPr>
          <w:color w:val="000000"/>
          <w:sz w:val="24"/>
          <w:szCs w:val="24"/>
        </w:rPr>
      </w:pPr>
      <w:r>
        <w:rPr>
          <w:color w:val="000000"/>
          <w:sz w:val="24"/>
          <w:szCs w:val="24"/>
        </w:rPr>
        <w:t xml:space="preserve">13.1. </w:t>
      </w:r>
      <w:r>
        <w:rPr>
          <w:color w:val="000000"/>
          <w:sz w:val="24"/>
          <w:szCs w:val="24"/>
          <w:highlight w:val="yellow"/>
        </w:rPr>
        <w:t>Настоящий Контракт составлен</w:t>
      </w:r>
      <w:r>
        <w:rPr>
          <w:sz w:val="24"/>
          <w:szCs w:val="24"/>
          <w:highlight w:val="yellow"/>
        </w:rPr>
        <w:t xml:space="preserve"> в </w:t>
      </w:r>
      <w:r>
        <w:rPr>
          <w:color w:val="000000"/>
          <w:sz w:val="24"/>
          <w:szCs w:val="24"/>
          <w:highlight w:val="yellow"/>
        </w:rPr>
        <w:t>двух подлинных экземплярах, имеющих равную юридическую силу,  по одному для каждой из Сторон./Настоящий Контракт составлен в форме электронного документа, подписанного усиленными электронными подписями сторон.</w:t>
      </w:r>
    </w:p>
    <w:p w14:paraId="4CA82BEB">
      <w:pPr>
        <w:pStyle w:val="24"/>
        <w:tabs>
          <w:tab w:val="left" w:pos="-1560"/>
        </w:tabs>
        <w:spacing w:after="0"/>
        <w:ind w:left="0" w:firstLine="709"/>
        <w:jc w:val="both"/>
        <w:rPr>
          <w:color w:val="000000"/>
          <w:sz w:val="24"/>
          <w:szCs w:val="24"/>
        </w:rPr>
      </w:pPr>
      <w:r>
        <w:rPr>
          <w:color w:val="000000"/>
          <w:sz w:val="24"/>
          <w:szCs w:val="24"/>
        </w:rPr>
        <w:t>13.2. В случае изменения юридических адресов, банковских реквизитов Сторона обязана сообщить об этом другой Стороне в течение 1 (одного) рабочего дня в письменном виде.</w:t>
      </w:r>
    </w:p>
    <w:p w14:paraId="3CADCCBF">
      <w:pPr>
        <w:pStyle w:val="8"/>
        <w:tabs>
          <w:tab w:val="left" w:pos="-1560"/>
        </w:tabs>
        <w:spacing w:after="0"/>
        <w:ind w:left="0" w:firstLine="709"/>
        <w:jc w:val="both"/>
        <w:rPr>
          <w:color w:val="000000"/>
          <w:sz w:val="24"/>
          <w:szCs w:val="24"/>
        </w:rPr>
      </w:pPr>
      <w:r>
        <w:rPr>
          <w:color w:val="000000"/>
          <w:sz w:val="24"/>
          <w:szCs w:val="24"/>
        </w:rPr>
        <w:t>13.3. Приложения к Контракту, являющиеся неотъемлемой частью:</w:t>
      </w:r>
    </w:p>
    <w:p w14:paraId="4B171341">
      <w:pPr>
        <w:pStyle w:val="8"/>
        <w:tabs>
          <w:tab w:val="left" w:pos="-1560"/>
        </w:tabs>
        <w:spacing w:after="0"/>
        <w:ind w:left="0" w:firstLine="709"/>
        <w:jc w:val="both"/>
        <w:rPr>
          <w:color w:val="000000"/>
          <w:sz w:val="24"/>
          <w:szCs w:val="24"/>
        </w:rPr>
      </w:pPr>
      <w:r>
        <w:rPr>
          <w:color w:val="000000"/>
          <w:sz w:val="24"/>
          <w:szCs w:val="24"/>
        </w:rPr>
        <w:t>-Приложение №1- спецификация.</w:t>
      </w:r>
    </w:p>
    <w:p w14:paraId="293F003A">
      <w:pPr>
        <w:pStyle w:val="8"/>
        <w:tabs>
          <w:tab w:val="left" w:pos="-1560"/>
        </w:tabs>
        <w:spacing w:after="0"/>
        <w:ind w:left="0" w:firstLine="709"/>
        <w:jc w:val="both"/>
        <w:rPr>
          <w:color w:val="000000"/>
          <w:sz w:val="24"/>
          <w:szCs w:val="24"/>
        </w:rPr>
      </w:pPr>
    </w:p>
    <w:p w14:paraId="5269F004">
      <w:pPr>
        <w:ind w:left="360"/>
        <w:jc w:val="center"/>
        <w:rPr>
          <w:b/>
          <w:color w:val="000000"/>
          <w:sz w:val="24"/>
          <w:szCs w:val="24"/>
        </w:rPr>
      </w:pPr>
      <w:r>
        <w:rPr>
          <w:b/>
          <w:color w:val="000000"/>
          <w:sz w:val="24"/>
          <w:szCs w:val="24"/>
        </w:rPr>
        <w:t>14. Срок действия Контракта</w:t>
      </w:r>
    </w:p>
    <w:p w14:paraId="3D0B699F">
      <w:pPr>
        <w:ind w:firstLine="708"/>
        <w:jc w:val="both"/>
        <w:rPr>
          <w:color w:val="000000"/>
          <w:sz w:val="24"/>
          <w:szCs w:val="24"/>
        </w:rPr>
      </w:pPr>
      <w:r>
        <w:rPr>
          <w:color w:val="000000"/>
          <w:sz w:val="24"/>
          <w:szCs w:val="24"/>
        </w:rPr>
        <w:t>14.1. С момента подписания до 31.12.202</w:t>
      </w:r>
      <w:r>
        <w:rPr>
          <w:rFonts w:hint="default"/>
          <w:color w:val="000000"/>
          <w:sz w:val="24"/>
          <w:szCs w:val="24"/>
          <w:lang w:val="ru-RU"/>
        </w:rPr>
        <w:t>6</w:t>
      </w:r>
      <w:r>
        <w:rPr>
          <w:color w:val="000000"/>
          <w:sz w:val="24"/>
          <w:szCs w:val="24"/>
        </w:rPr>
        <w:t>, а в части гарантийных обязательств – до полного их исполнения.</w:t>
      </w:r>
    </w:p>
    <w:p w14:paraId="5995EAD9">
      <w:pPr>
        <w:ind w:firstLine="708"/>
        <w:jc w:val="both"/>
        <w:rPr>
          <w:color w:val="000000"/>
          <w:sz w:val="24"/>
          <w:szCs w:val="24"/>
        </w:rPr>
      </w:pPr>
    </w:p>
    <w:p w14:paraId="20FC9B57">
      <w:pPr>
        <w:jc w:val="center"/>
        <w:rPr>
          <w:b/>
          <w:color w:val="000000"/>
          <w:sz w:val="24"/>
          <w:szCs w:val="24"/>
        </w:rPr>
      </w:pPr>
      <w:r>
        <w:rPr>
          <w:b/>
          <w:color w:val="000000"/>
          <w:sz w:val="24"/>
          <w:szCs w:val="24"/>
        </w:rPr>
        <w:t>15. Юридические адреса, банковские</w:t>
      </w:r>
    </w:p>
    <w:p w14:paraId="6F623212">
      <w:pPr>
        <w:jc w:val="center"/>
        <w:rPr>
          <w:b/>
          <w:color w:val="000000"/>
          <w:sz w:val="24"/>
          <w:szCs w:val="24"/>
        </w:rPr>
      </w:pPr>
      <w:r>
        <w:rPr>
          <w:b/>
          <w:color w:val="000000"/>
          <w:sz w:val="24"/>
          <w:szCs w:val="24"/>
        </w:rPr>
        <w:t>реквизиты Сторон на момент заключения Контракта</w:t>
      </w:r>
    </w:p>
    <w:p w14:paraId="6549901A">
      <w:pPr>
        <w:jc w:val="center"/>
        <w:rPr>
          <w:b/>
          <w:color w:val="000000"/>
          <w:sz w:val="24"/>
          <w:szCs w:val="24"/>
        </w:rPr>
      </w:pPr>
    </w:p>
    <w:tbl>
      <w:tblPr>
        <w:tblStyle w:val="5"/>
        <w:tblW w:w="9498" w:type="dxa"/>
        <w:tblInd w:w="108" w:type="dxa"/>
        <w:tblLayout w:type="fixed"/>
        <w:tblCellMar>
          <w:top w:w="0" w:type="dxa"/>
          <w:left w:w="108" w:type="dxa"/>
          <w:bottom w:w="0" w:type="dxa"/>
          <w:right w:w="108" w:type="dxa"/>
        </w:tblCellMar>
      </w:tblPr>
      <w:tblGrid>
        <w:gridCol w:w="4536"/>
        <w:gridCol w:w="284"/>
        <w:gridCol w:w="4343"/>
        <w:gridCol w:w="335"/>
      </w:tblGrid>
      <w:tr w14:paraId="43258C24">
        <w:tblPrEx>
          <w:tblCellMar>
            <w:top w:w="0" w:type="dxa"/>
            <w:left w:w="108" w:type="dxa"/>
            <w:bottom w:w="0" w:type="dxa"/>
            <w:right w:w="108" w:type="dxa"/>
          </w:tblCellMar>
        </w:tblPrEx>
        <w:trPr>
          <w:gridAfter w:val="1"/>
          <w:wAfter w:w="335" w:type="dxa"/>
        </w:trPr>
        <w:tc>
          <w:tcPr>
            <w:tcW w:w="4536" w:type="dxa"/>
          </w:tcPr>
          <w:p w14:paraId="7B430116">
            <w:pPr>
              <w:suppressAutoHyphens w:val="0"/>
              <w:rPr>
                <w:rFonts w:cs="Times New Roman"/>
                <w:sz w:val="24"/>
                <w:szCs w:val="24"/>
              </w:rPr>
            </w:pPr>
          </w:p>
        </w:tc>
        <w:tc>
          <w:tcPr>
            <w:tcW w:w="4627" w:type="dxa"/>
            <w:gridSpan w:val="2"/>
          </w:tcPr>
          <w:p w14:paraId="69727A8A">
            <w:pPr>
              <w:jc w:val="both"/>
              <w:rPr>
                <w:rFonts w:cs="Times New Roman"/>
                <w:sz w:val="24"/>
                <w:szCs w:val="24"/>
              </w:rPr>
            </w:pPr>
          </w:p>
        </w:tc>
      </w:tr>
      <w:tr w14:paraId="236F6D1B">
        <w:tblPrEx>
          <w:tblCellMar>
            <w:top w:w="0" w:type="dxa"/>
            <w:left w:w="108" w:type="dxa"/>
            <w:bottom w:w="0" w:type="dxa"/>
            <w:right w:w="108" w:type="dxa"/>
          </w:tblCellMar>
        </w:tblPrEx>
        <w:trPr>
          <w:gridAfter w:val="1"/>
          <w:wAfter w:w="335" w:type="dxa"/>
        </w:trPr>
        <w:tc>
          <w:tcPr>
            <w:tcW w:w="4536" w:type="dxa"/>
          </w:tcPr>
          <w:p w14:paraId="040A5D1B">
            <w:pPr>
              <w:rPr>
                <w:rFonts w:cs="Times New Roman"/>
                <w:sz w:val="24"/>
                <w:szCs w:val="24"/>
              </w:rPr>
            </w:pPr>
          </w:p>
        </w:tc>
        <w:tc>
          <w:tcPr>
            <w:tcW w:w="4627" w:type="dxa"/>
            <w:gridSpan w:val="2"/>
          </w:tcPr>
          <w:p w14:paraId="04C50556">
            <w:pPr>
              <w:rPr>
                <w:rFonts w:cs="Times New Roman"/>
                <w:sz w:val="24"/>
                <w:szCs w:val="24"/>
              </w:rPr>
            </w:pPr>
          </w:p>
        </w:tc>
      </w:tr>
      <w:tr w14:paraId="1A264711">
        <w:tblPrEx>
          <w:tblCellMar>
            <w:top w:w="0" w:type="dxa"/>
            <w:left w:w="108" w:type="dxa"/>
            <w:bottom w:w="0" w:type="dxa"/>
            <w:right w:w="108" w:type="dxa"/>
          </w:tblCellMar>
        </w:tblPrEx>
        <w:tc>
          <w:tcPr>
            <w:tcW w:w="4536" w:type="dxa"/>
            <w:vAlign w:val="center"/>
          </w:tcPr>
          <w:p w14:paraId="126B4649">
            <w:pPr>
              <w:jc w:val="both"/>
              <w:rPr>
                <w:b/>
                <w:bCs/>
                <w:sz w:val="24"/>
                <w:szCs w:val="24"/>
              </w:rPr>
            </w:pPr>
            <w:r>
              <w:rPr>
                <w:b/>
                <w:bCs/>
                <w:sz w:val="24"/>
                <w:szCs w:val="24"/>
              </w:rPr>
              <w:t>Государственный заказчик</w:t>
            </w:r>
          </w:p>
        </w:tc>
        <w:tc>
          <w:tcPr>
            <w:tcW w:w="284" w:type="dxa"/>
            <w:vAlign w:val="center"/>
          </w:tcPr>
          <w:p w14:paraId="7E651575">
            <w:pPr>
              <w:jc w:val="both"/>
              <w:rPr>
                <w:b/>
                <w:bCs/>
                <w:sz w:val="24"/>
                <w:szCs w:val="24"/>
              </w:rPr>
            </w:pPr>
          </w:p>
        </w:tc>
        <w:tc>
          <w:tcPr>
            <w:tcW w:w="4678" w:type="dxa"/>
            <w:gridSpan w:val="2"/>
            <w:vAlign w:val="center"/>
          </w:tcPr>
          <w:p w14:paraId="100FE372">
            <w:pPr>
              <w:jc w:val="both"/>
              <w:rPr>
                <w:b/>
                <w:bCs/>
                <w:sz w:val="24"/>
                <w:szCs w:val="24"/>
              </w:rPr>
            </w:pPr>
            <w:r>
              <w:rPr>
                <w:b/>
                <w:bCs/>
                <w:sz w:val="24"/>
                <w:szCs w:val="24"/>
                <w:highlight w:val="yellow"/>
              </w:rPr>
              <w:t>Поставщик</w:t>
            </w:r>
          </w:p>
        </w:tc>
      </w:tr>
      <w:tr w14:paraId="7A613E3D">
        <w:tblPrEx>
          <w:tblCellMar>
            <w:top w:w="0" w:type="dxa"/>
            <w:left w:w="108" w:type="dxa"/>
            <w:bottom w:w="0" w:type="dxa"/>
            <w:right w:w="108" w:type="dxa"/>
          </w:tblCellMar>
        </w:tblPrEx>
        <w:tc>
          <w:tcPr>
            <w:tcW w:w="4536" w:type="dxa"/>
            <w:tcBorders>
              <w:top w:val="single" w:color="auto" w:sz="4" w:space="0"/>
              <w:left w:val="nil"/>
              <w:bottom w:val="single" w:color="auto" w:sz="4" w:space="0"/>
              <w:right w:val="nil"/>
            </w:tcBorders>
            <w:tcMar>
              <w:top w:w="0" w:type="dxa"/>
              <w:left w:w="57" w:type="dxa"/>
              <w:bottom w:w="0" w:type="dxa"/>
              <w:right w:w="57" w:type="dxa"/>
            </w:tcMar>
            <w:vAlign w:val="center"/>
          </w:tcPr>
          <w:p w14:paraId="69349D34">
            <w:pPr>
              <w:jc w:val="both"/>
              <w:rPr>
                <w:b/>
                <w:bCs/>
                <w:sz w:val="24"/>
                <w:szCs w:val="24"/>
              </w:rPr>
            </w:pPr>
            <w:r>
              <w:rPr>
                <w:b/>
                <w:bCs/>
                <w:sz w:val="24"/>
                <w:szCs w:val="24"/>
              </w:rPr>
              <w:t>ФКУ ИК-17 УФСИН России по Вологодской области</w:t>
            </w:r>
          </w:p>
        </w:tc>
        <w:tc>
          <w:tcPr>
            <w:tcW w:w="284" w:type="dxa"/>
            <w:vAlign w:val="center"/>
          </w:tcPr>
          <w:p w14:paraId="35AAE7CF">
            <w:pPr>
              <w:jc w:val="both"/>
              <w:rPr>
                <w:b/>
                <w:bCs/>
                <w:color w:val="FF0000"/>
                <w:sz w:val="24"/>
                <w:szCs w:val="24"/>
              </w:rPr>
            </w:pPr>
          </w:p>
        </w:tc>
        <w:tc>
          <w:tcPr>
            <w:tcW w:w="4678" w:type="dxa"/>
            <w:gridSpan w:val="2"/>
            <w:tcBorders>
              <w:top w:val="single" w:color="auto" w:sz="4" w:space="0"/>
              <w:left w:val="nil"/>
              <w:bottom w:val="single" w:color="auto" w:sz="4" w:space="0"/>
              <w:right w:val="nil"/>
            </w:tcBorders>
            <w:vAlign w:val="center"/>
          </w:tcPr>
          <w:p w14:paraId="5FAC6FD1">
            <w:pPr>
              <w:rPr>
                <w:b/>
                <w:bCs/>
                <w:sz w:val="24"/>
                <w:szCs w:val="24"/>
              </w:rPr>
            </w:pPr>
          </w:p>
        </w:tc>
      </w:tr>
      <w:tr w14:paraId="38581393">
        <w:tblPrEx>
          <w:tblCellMar>
            <w:top w:w="0" w:type="dxa"/>
            <w:left w:w="108" w:type="dxa"/>
            <w:bottom w:w="0" w:type="dxa"/>
            <w:right w:w="108" w:type="dxa"/>
          </w:tblCellMar>
        </w:tblPrEx>
        <w:tc>
          <w:tcPr>
            <w:tcW w:w="4536" w:type="dxa"/>
            <w:tcBorders>
              <w:top w:val="nil"/>
              <w:left w:val="nil"/>
              <w:bottom w:val="single" w:color="auto" w:sz="4" w:space="0"/>
              <w:right w:val="nil"/>
            </w:tcBorders>
            <w:vAlign w:val="center"/>
          </w:tcPr>
          <w:p w14:paraId="7EB9FA05">
            <w:pPr>
              <w:jc w:val="both"/>
              <w:rPr>
                <w:b/>
                <w:bCs/>
                <w:sz w:val="24"/>
                <w:szCs w:val="24"/>
              </w:rPr>
            </w:pPr>
            <w:r>
              <w:rPr>
                <w:b/>
                <w:bCs/>
                <w:sz w:val="24"/>
                <w:szCs w:val="24"/>
                <w:lang w:eastAsia="ar-SA"/>
              </w:rPr>
              <w:t xml:space="preserve">Адрес юридический: </w:t>
            </w:r>
          </w:p>
        </w:tc>
        <w:tc>
          <w:tcPr>
            <w:tcW w:w="284" w:type="dxa"/>
            <w:vAlign w:val="center"/>
          </w:tcPr>
          <w:p w14:paraId="01799FAF">
            <w:pPr>
              <w:jc w:val="both"/>
              <w:rPr>
                <w:b/>
                <w:bCs/>
                <w:color w:val="FF0000"/>
                <w:sz w:val="24"/>
                <w:szCs w:val="24"/>
              </w:rPr>
            </w:pPr>
          </w:p>
        </w:tc>
        <w:tc>
          <w:tcPr>
            <w:tcW w:w="4678" w:type="dxa"/>
            <w:gridSpan w:val="2"/>
            <w:tcBorders>
              <w:top w:val="single" w:color="auto" w:sz="4" w:space="0"/>
              <w:left w:val="nil"/>
              <w:bottom w:val="single" w:color="auto" w:sz="4" w:space="0"/>
              <w:right w:val="nil"/>
            </w:tcBorders>
            <w:vAlign w:val="center"/>
          </w:tcPr>
          <w:p w14:paraId="284368B5">
            <w:pPr>
              <w:jc w:val="both"/>
              <w:rPr>
                <w:b/>
                <w:bCs/>
                <w:sz w:val="24"/>
                <w:szCs w:val="24"/>
              </w:rPr>
            </w:pPr>
            <w:r>
              <w:rPr>
                <w:b/>
                <w:bCs/>
                <w:sz w:val="24"/>
                <w:szCs w:val="24"/>
              </w:rPr>
              <w:t>Адрес юридический:</w:t>
            </w:r>
          </w:p>
        </w:tc>
      </w:tr>
      <w:tr w14:paraId="0156E0AD">
        <w:tblPrEx>
          <w:tblCellMar>
            <w:top w:w="0" w:type="dxa"/>
            <w:left w:w="108" w:type="dxa"/>
            <w:bottom w:w="0" w:type="dxa"/>
            <w:right w:w="108" w:type="dxa"/>
          </w:tblCellMar>
        </w:tblPrEx>
        <w:trPr>
          <w:trHeight w:val="211" w:hRule="atLeast"/>
        </w:trPr>
        <w:tc>
          <w:tcPr>
            <w:tcW w:w="4536" w:type="dxa"/>
            <w:tcBorders>
              <w:top w:val="single" w:color="auto" w:sz="4" w:space="0"/>
              <w:left w:val="nil"/>
              <w:bottom w:val="single" w:color="auto" w:sz="4" w:space="0"/>
              <w:right w:val="nil"/>
            </w:tcBorders>
            <w:vAlign w:val="center"/>
          </w:tcPr>
          <w:p w14:paraId="66790C7B">
            <w:pPr>
              <w:widowControl w:val="0"/>
              <w:autoSpaceDE w:val="0"/>
              <w:snapToGrid w:val="0"/>
              <w:spacing w:line="200" w:lineRule="atLeast"/>
              <w:jc w:val="both"/>
              <w:rPr>
                <w:rFonts w:ascii="Times New Roman" w:hAnsi="Times New Roman" w:cs="Times New Roman"/>
                <w:sz w:val="24"/>
                <w:szCs w:val="24"/>
              </w:rPr>
            </w:pPr>
            <w:r>
              <w:rPr>
                <w:rFonts w:eastAsia="Arial"/>
                <w:sz w:val="24"/>
                <w:szCs w:val="24"/>
                <w:lang w:eastAsia="ar-SA"/>
              </w:rPr>
              <w:t>162560, Вологодская область, п. Шексна</w:t>
            </w:r>
          </w:p>
        </w:tc>
        <w:tc>
          <w:tcPr>
            <w:tcW w:w="284" w:type="dxa"/>
            <w:vAlign w:val="center"/>
          </w:tcPr>
          <w:p w14:paraId="4F7C02F5">
            <w:pPr>
              <w:jc w:val="both"/>
              <w:rPr>
                <w:bCs/>
                <w:color w:val="FF0000"/>
                <w:sz w:val="24"/>
                <w:szCs w:val="24"/>
              </w:rPr>
            </w:pPr>
          </w:p>
        </w:tc>
        <w:tc>
          <w:tcPr>
            <w:tcW w:w="4678" w:type="dxa"/>
            <w:gridSpan w:val="2"/>
            <w:tcBorders>
              <w:top w:val="single" w:color="auto" w:sz="4" w:space="0"/>
              <w:left w:val="nil"/>
              <w:bottom w:val="single" w:color="auto" w:sz="4" w:space="0"/>
              <w:right w:val="nil"/>
            </w:tcBorders>
            <w:vAlign w:val="center"/>
          </w:tcPr>
          <w:p w14:paraId="3214725F">
            <w:pPr>
              <w:jc w:val="both"/>
              <w:rPr>
                <w:bCs/>
                <w:sz w:val="24"/>
                <w:szCs w:val="24"/>
              </w:rPr>
            </w:pPr>
          </w:p>
        </w:tc>
      </w:tr>
      <w:tr w14:paraId="01105290">
        <w:tblPrEx>
          <w:tblCellMar>
            <w:top w:w="0" w:type="dxa"/>
            <w:left w:w="108" w:type="dxa"/>
            <w:bottom w:w="0" w:type="dxa"/>
            <w:right w:w="108" w:type="dxa"/>
          </w:tblCellMar>
        </w:tblPrEx>
        <w:tc>
          <w:tcPr>
            <w:tcW w:w="4536" w:type="dxa"/>
            <w:tcBorders>
              <w:top w:val="single" w:color="auto" w:sz="4" w:space="0"/>
              <w:left w:val="nil"/>
              <w:bottom w:val="single" w:color="auto" w:sz="4" w:space="0"/>
              <w:right w:val="nil"/>
            </w:tcBorders>
            <w:vAlign w:val="center"/>
          </w:tcPr>
          <w:p w14:paraId="55A2A149">
            <w:pPr>
              <w:jc w:val="both"/>
              <w:rPr>
                <w:bCs/>
                <w:sz w:val="24"/>
                <w:szCs w:val="24"/>
              </w:rPr>
            </w:pPr>
            <w:r>
              <w:rPr>
                <w:sz w:val="24"/>
                <w:szCs w:val="24"/>
                <w:lang w:eastAsia="ar-SA"/>
              </w:rPr>
              <w:t>ул. Дзержинского, д. 6</w:t>
            </w:r>
          </w:p>
        </w:tc>
        <w:tc>
          <w:tcPr>
            <w:tcW w:w="284" w:type="dxa"/>
            <w:vAlign w:val="center"/>
          </w:tcPr>
          <w:p w14:paraId="682DB514">
            <w:pPr>
              <w:jc w:val="both"/>
              <w:rPr>
                <w:bCs/>
                <w:color w:val="FF0000"/>
                <w:sz w:val="24"/>
                <w:szCs w:val="24"/>
              </w:rPr>
            </w:pPr>
          </w:p>
        </w:tc>
        <w:tc>
          <w:tcPr>
            <w:tcW w:w="4678" w:type="dxa"/>
            <w:gridSpan w:val="2"/>
            <w:tcBorders>
              <w:top w:val="single" w:color="auto" w:sz="4" w:space="0"/>
              <w:left w:val="nil"/>
              <w:bottom w:val="single" w:color="auto" w:sz="4" w:space="0"/>
              <w:right w:val="nil"/>
            </w:tcBorders>
            <w:vAlign w:val="center"/>
          </w:tcPr>
          <w:p w14:paraId="09118883">
            <w:pPr>
              <w:jc w:val="both"/>
              <w:rPr>
                <w:bCs/>
                <w:sz w:val="24"/>
                <w:szCs w:val="24"/>
              </w:rPr>
            </w:pPr>
          </w:p>
        </w:tc>
      </w:tr>
      <w:tr w14:paraId="4F62461B">
        <w:tblPrEx>
          <w:tblCellMar>
            <w:top w:w="0" w:type="dxa"/>
            <w:left w:w="108" w:type="dxa"/>
            <w:bottom w:w="0" w:type="dxa"/>
            <w:right w:w="108" w:type="dxa"/>
          </w:tblCellMar>
        </w:tblPrEx>
        <w:tc>
          <w:tcPr>
            <w:tcW w:w="4536" w:type="dxa"/>
            <w:tcBorders>
              <w:top w:val="single" w:color="auto" w:sz="4" w:space="0"/>
              <w:left w:val="nil"/>
              <w:bottom w:val="single" w:color="auto" w:sz="4" w:space="0"/>
              <w:right w:val="nil"/>
            </w:tcBorders>
            <w:vAlign w:val="center"/>
          </w:tcPr>
          <w:p w14:paraId="52421351">
            <w:pPr>
              <w:jc w:val="both"/>
              <w:rPr>
                <w:b/>
                <w:bCs/>
                <w:sz w:val="24"/>
                <w:szCs w:val="24"/>
              </w:rPr>
            </w:pPr>
            <w:r>
              <w:rPr>
                <w:b/>
                <w:bCs/>
                <w:sz w:val="24"/>
                <w:szCs w:val="24"/>
                <w:lang w:eastAsia="ar-SA"/>
              </w:rPr>
              <w:t>Адрес почтовый:</w:t>
            </w:r>
          </w:p>
        </w:tc>
        <w:tc>
          <w:tcPr>
            <w:tcW w:w="284" w:type="dxa"/>
            <w:vAlign w:val="center"/>
          </w:tcPr>
          <w:p w14:paraId="60A8090C">
            <w:pPr>
              <w:jc w:val="both"/>
              <w:rPr>
                <w:b/>
                <w:bCs/>
                <w:color w:val="FF0000"/>
                <w:sz w:val="24"/>
                <w:szCs w:val="24"/>
              </w:rPr>
            </w:pPr>
          </w:p>
        </w:tc>
        <w:tc>
          <w:tcPr>
            <w:tcW w:w="4678" w:type="dxa"/>
            <w:gridSpan w:val="2"/>
            <w:tcBorders>
              <w:top w:val="single" w:color="auto" w:sz="4" w:space="0"/>
              <w:left w:val="nil"/>
              <w:bottom w:val="single" w:color="auto" w:sz="4" w:space="0"/>
              <w:right w:val="nil"/>
            </w:tcBorders>
            <w:vAlign w:val="center"/>
          </w:tcPr>
          <w:p w14:paraId="024C4922">
            <w:pPr>
              <w:jc w:val="both"/>
              <w:rPr>
                <w:b/>
                <w:bCs/>
                <w:sz w:val="24"/>
                <w:szCs w:val="24"/>
              </w:rPr>
            </w:pPr>
            <w:r>
              <w:rPr>
                <w:b/>
                <w:bCs/>
                <w:sz w:val="24"/>
                <w:szCs w:val="24"/>
              </w:rPr>
              <w:t>Адрес почтовый:</w:t>
            </w:r>
          </w:p>
        </w:tc>
      </w:tr>
      <w:tr w14:paraId="551ECF60">
        <w:tblPrEx>
          <w:tblCellMar>
            <w:top w:w="0" w:type="dxa"/>
            <w:left w:w="108" w:type="dxa"/>
            <w:bottom w:w="0" w:type="dxa"/>
            <w:right w:w="108" w:type="dxa"/>
          </w:tblCellMar>
        </w:tblPrEx>
        <w:tc>
          <w:tcPr>
            <w:tcW w:w="4536" w:type="dxa"/>
            <w:tcBorders>
              <w:top w:val="single" w:color="auto" w:sz="4" w:space="0"/>
              <w:left w:val="nil"/>
              <w:bottom w:val="single" w:color="auto" w:sz="4" w:space="0"/>
              <w:right w:val="nil"/>
            </w:tcBorders>
            <w:vAlign w:val="center"/>
          </w:tcPr>
          <w:p w14:paraId="537C3658">
            <w:pPr>
              <w:jc w:val="both"/>
              <w:rPr>
                <w:bCs/>
                <w:sz w:val="24"/>
                <w:szCs w:val="24"/>
              </w:rPr>
            </w:pPr>
            <w:r>
              <w:rPr>
                <w:sz w:val="24"/>
                <w:szCs w:val="24"/>
                <w:lang w:eastAsia="ar-SA"/>
              </w:rPr>
              <w:t>162560, Вологодская область, п. Шексна</w:t>
            </w:r>
          </w:p>
        </w:tc>
        <w:tc>
          <w:tcPr>
            <w:tcW w:w="284" w:type="dxa"/>
            <w:vAlign w:val="center"/>
          </w:tcPr>
          <w:p w14:paraId="0CC63B62">
            <w:pPr>
              <w:jc w:val="both"/>
              <w:rPr>
                <w:bCs/>
                <w:color w:val="FF0000"/>
                <w:sz w:val="24"/>
                <w:szCs w:val="24"/>
              </w:rPr>
            </w:pPr>
          </w:p>
        </w:tc>
        <w:tc>
          <w:tcPr>
            <w:tcW w:w="4678" w:type="dxa"/>
            <w:gridSpan w:val="2"/>
            <w:tcBorders>
              <w:top w:val="single" w:color="auto" w:sz="4" w:space="0"/>
              <w:left w:val="nil"/>
              <w:bottom w:val="single" w:color="auto" w:sz="4" w:space="0"/>
              <w:right w:val="nil"/>
            </w:tcBorders>
            <w:vAlign w:val="center"/>
          </w:tcPr>
          <w:p w14:paraId="16D6B128">
            <w:pPr>
              <w:jc w:val="both"/>
              <w:rPr>
                <w:bCs/>
                <w:sz w:val="24"/>
                <w:szCs w:val="24"/>
              </w:rPr>
            </w:pPr>
          </w:p>
        </w:tc>
      </w:tr>
      <w:tr w14:paraId="4FE50DF0">
        <w:tblPrEx>
          <w:tblCellMar>
            <w:top w:w="0" w:type="dxa"/>
            <w:left w:w="108" w:type="dxa"/>
            <w:bottom w:w="0" w:type="dxa"/>
            <w:right w:w="108" w:type="dxa"/>
          </w:tblCellMar>
        </w:tblPrEx>
        <w:tc>
          <w:tcPr>
            <w:tcW w:w="4536" w:type="dxa"/>
            <w:tcBorders>
              <w:top w:val="single" w:color="auto" w:sz="4" w:space="0"/>
              <w:left w:val="nil"/>
              <w:bottom w:val="single" w:color="auto" w:sz="4" w:space="0"/>
              <w:right w:val="nil"/>
            </w:tcBorders>
            <w:vAlign w:val="center"/>
          </w:tcPr>
          <w:p w14:paraId="65B88AD8">
            <w:pPr>
              <w:jc w:val="both"/>
              <w:rPr>
                <w:bCs/>
                <w:sz w:val="24"/>
                <w:szCs w:val="24"/>
              </w:rPr>
            </w:pPr>
            <w:r>
              <w:rPr>
                <w:sz w:val="24"/>
                <w:szCs w:val="24"/>
                <w:lang w:eastAsia="ar-SA"/>
              </w:rPr>
              <w:t>ул. Дзержинского, д. 6</w:t>
            </w:r>
          </w:p>
        </w:tc>
        <w:tc>
          <w:tcPr>
            <w:tcW w:w="284" w:type="dxa"/>
            <w:vAlign w:val="center"/>
          </w:tcPr>
          <w:p w14:paraId="173706CE">
            <w:pPr>
              <w:jc w:val="both"/>
              <w:rPr>
                <w:bCs/>
                <w:color w:val="FF0000"/>
                <w:sz w:val="24"/>
                <w:szCs w:val="24"/>
              </w:rPr>
            </w:pPr>
          </w:p>
        </w:tc>
        <w:tc>
          <w:tcPr>
            <w:tcW w:w="4678" w:type="dxa"/>
            <w:gridSpan w:val="2"/>
            <w:tcBorders>
              <w:top w:val="single" w:color="auto" w:sz="4" w:space="0"/>
              <w:left w:val="nil"/>
              <w:bottom w:val="single" w:color="auto" w:sz="4" w:space="0"/>
              <w:right w:val="nil"/>
            </w:tcBorders>
            <w:vAlign w:val="center"/>
          </w:tcPr>
          <w:p w14:paraId="474560A7">
            <w:pPr>
              <w:jc w:val="both"/>
              <w:rPr>
                <w:bCs/>
                <w:sz w:val="24"/>
                <w:szCs w:val="24"/>
              </w:rPr>
            </w:pPr>
          </w:p>
        </w:tc>
      </w:tr>
      <w:tr w14:paraId="7A70DA94">
        <w:tblPrEx>
          <w:tblCellMar>
            <w:top w:w="0" w:type="dxa"/>
            <w:left w:w="108" w:type="dxa"/>
            <w:bottom w:w="0" w:type="dxa"/>
            <w:right w:w="108" w:type="dxa"/>
          </w:tblCellMar>
        </w:tblPrEx>
        <w:tc>
          <w:tcPr>
            <w:tcW w:w="4536" w:type="dxa"/>
            <w:tcBorders>
              <w:top w:val="single" w:color="auto" w:sz="4" w:space="0"/>
              <w:left w:val="nil"/>
              <w:bottom w:val="single" w:color="auto" w:sz="4" w:space="0"/>
              <w:right w:val="nil"/>
            </w:tcBorders>
            <w:vAlign w:val="center"/>
          </w:tcPr>
          <w:p w14:paraId="3C66B376">
            <w:pPr>
              <w:jc w:val="both"/>
              <w:rPr>
                <w:bCs/>
                <w:sz w:val="24"/>
                <w:szCs w:val="24"/>
              </w:rPr>
            </w:pPr>
            <w:r>
              <w:rPr>
                <w:b/>
                <w:bCs/>
                <w:sz w:val="24"/>
                <w:szCs w:val="24"/>
                <w:lang w:eastAsia="ar-SA"/>
              </w:rPr>
              <w:t>тел.:</w:t>
            </w:r>
            <w:r>
              <w:rPr>
                <w:bCs/>
                <w:sz w:val="24"/>
                <w:szCs w:val="24"/>
                <w:lang w:eastAsia="ar-SA"/>
              </w:rPr>
              <w:t xml:space="preserve"> (81751) 2-25-16, 2-25-25, 2-61-01</w:t>
            </w:r>
          </w:p>
        </w:tc>
        <w:tc>
          <w:tcPr>
            <w:tcW w:w="284" w:type="dxa"/>
            <w:vAlign w:val="center"/>
          </w:tcPr>
          <w:p w14:paraId="50859CE4">
            <w:pPr>
              <w:jc w:val="both"/>
              <w:rPr>
                <w:bCs/>
                <w:color w:val="FF0000"/>
                <w:sz w:val="24"/>
                <w:szCs w:val="24"/>
              </w:rPr>
            </w:pPr>
          </w:p>
        </w:tc>
        <w:tc>
          <w:tcPr>
            <w:tcW w:w="4678" w:type="dxa"/>
            <w:gridSpan w:val="2"/>
            <w:tcBorders>
              <w:top w:val="single" w:color="auto" w:sz="4" w:space="0"/>
              <w:left w:val="nil"/>
              <w:bottom w:val="single" w:color="auto" w:sz="4" w:space="0"/>
              <w:right w:val="nil"/>
            </w:tcBorders>
            <w:vAlign w:val="center"/>
          </w:tcPr>
          <w:p w14:paraId="2E7E36AF">
            <w:pPr>
              <w:jc w:val="both"/>
              <w:rPr>
                <w:b/>
                <w:bCs/>
                <w:sz w:val="24"/>
                <w:szCs w:val="24"/>
              </w:rPr>
            </w:pPr>
            <w:r>
              <w:rPr>
                <w:b/>
                <w:bCs/>
                <w:sz w:val="24"/>
                <w:szCs w:val="24"/>
              </w:rPr>
              <w:t>тел.:</w:t>
            </w:r>
          </w:p>
        </w:tc>
      </w:tr>
      <w:tr w14:paraId="6B3A0871">
        <w:tblPrEx>
          <w:tblCellMar>
            <w:top w:w="0" w:type="dxa"/>
            <w:left w:w="108" w:type="dxa"/>
            <w:bottom w:w="0" w:type="dxa"/>
            <w:right w:w="108" w:type="dxa"/>
          </w:tblCellMar>
        </w:tblPrEx>
        <w:tc>
          <w:tcPr>
            <w:tcW w:w="4536" w:type="dxa"/>
            <w:tcBorders>
              <w:top w:val="single" w:color="auto" w:sz="4" w:space="0"/>
              <w:left w:val="nil"/>
              <w:bottom w:val="nil"/>
              <w:right w:val="nil"/>
            </w:tcBorders>
            <w:vAlign w:val="center"/>
          </w:tcPr>
          <w:p w14:paraId="7ABE80DD">
            <w:pPr>
              <w:jc w:val="both"/>
              <w:rPr>
                <w:b/>
                <w:bCs/>
                <w:sz w:val="24"/>
                <w:szCs w:val="24"/>
              </w:rPr>
            </w:pPr>
            <w:r>
              <w:rPr>
                <w:b/>
                <w:bCs/>
                <w:sz w:val="24"/>
                <w:szCs w:val="24"/>
                <w:lang w:eastAsia="ar-SA"/>
              </w:rPr>
              <w:t>Банковские реквизиты:</w:t>
            </w:r>
          </w:p>
        </w:tc>
        <w:tc>
          <w:tcPr>
            <w:tcW w:w="284" w:type="dxa"/>
            <w:vAlign w:val="center"/>
          </w:tcPr>
          <w:p w14:paraId="6FCB58B4">
            <w:pPr>
              <w:jc w:val="both"/>
              <w:rPr>
                <w:b/>
                <w:bCs/>
                <w:color w:val="FF0000"/>
                <w:sz w:val="24"/>
                <w:szCs w:val="24"/>
              </w:rPr>
            </w:pPr>
          </w:p>
        </w:tc>
        <w:tc>
          <w:tcPr>
            <w:tcW w:w="4678" w:type="dxa"/>
            <w:gridSpan w:val="2"/>
            <w:tcBorders>
              <w:top w:val="single" w:color="auto" w:sz="4" w:space="0"/>
              <w:left w:val="nil"/>
              <w:bottom w:val="nil"/>
              <w:right w:val="nil"/>
            </w:tcBorders>
            <w:vAlign w:val="center"/>
          </w:tcPr>
          <w:p w14:paraId="16787029">
            <w:pPr>
              <w:jc w:val="both"/>
              <w:rPr>
                <w:b/>
                <w:bCs/>
                <w:sz w:val="24"/>
                <w:szCs w:val="24"/>
              </w:rPr>
            </w:pPr>
            <w:r>
              <w:rPr>
                <w:b/>
                <w:bCs/>
                <w:sz w:val="24"/>
                <w:szCs w:val="24"/>
              </w:rPr>
              <w:t>Банковские реквизиты:</w:t>
            </w:r>
          </w:p>
        </w:tc>
      </w:tr>
      <w:tr w14:paraId="3095733E">
        <w:tblPrEx>
          <w:tblCellMar>
            <w:top w:w="0" w:type="dxa"/>
            <w:left w:w="108" w:type="dxa"/>
            <w:bottom w:w="0" w:type="dxa"/>
            <w:right w:w="108" w:type="dxa"/>
          </w:tblCellMar>
        </w:tblPrEx>
        <w:tc>
          <w:tcPr>
            <w:tcW w:w="4536" w:type="dxa"/>
            <w:vMerge w:val="restart"/>
            <w:tcBorders>
              <w:top w:val="nil"/>
              <w:left w:val="nil"/>
              <w:right w:val="nil"/>
            </w:tcBorders>
            <w:vAlign w:val="center"/>
          </w:tcPr>
          <w:p w14:paraId="19EC9602">
            <w:pPr>
              <w:jc w:val="both"/>
              <w:rPr>
                <w:bCs/>
                <w:sz w:val="24"/>
                <w:szCs w:val="24"/>
              </w:rPr>
            </w:pPr>
            <w:r>
              <w:rPr>
                <w:sz w:val="24"/>
                <w:szCs w:val="24"/>
                <w:lang w:eastAsia="ar-SA"/>
              </w:rPr>
              <w:t>УФК по Нижегородской области (ФКУ ИК-17 УФСИН России по Вологодской области, л/с 03301376930)</w:t>
            </w:r>
          </w:p>
        </w:tc>
        <w:tc>
          <w:tcPr>
            <w:tcW w:w="284" w:type="dxa"/>
            <w:vAlign w:val="center"/>
          </w:tcPr>
          <w:p w14:paraId="3544E02A">
            <w:pPr>
              <w:jc w:val="both"/>
              <w:rPr>
                <w:bCs/>
                <w:color w:val="FF0000"/>
                <w:sz w:val="24"/>
                <w:szCs w:val="24"/>
              </w:rPr>
            </w:pPr>
          </w:p>
        </w:tc>
        <w:tc>
          <w:tcPr>
            <w:tcW w:w="4678" w:type="dxa"/>
            <w:gridSpan w:val="2"/>
            <w:vMerge w:val="restart"/>
            <w:tcBorders>
              <w:top w:val="nil"/>
              <w:left w:val="nil"/>
              <w:right w:val="nil"/>
            </w:tcBorders>
            <w:vAlign w:val="center"/>
          </w:tcPr>
          <w:p w14:paraId="5A822177">
            <w:pPr>
              <w:jc w:val="both"/>
              <w:rPr>
                <w:bCs/>
                <w:sz w:val="24"/>
                <w:szCs w:val="24"/>
              </w:rPr>
            </w:pPr>
          </w:p>
        </w:tc>
      </w:tr>
      <w:tr w14:paraId="72E0C7B2">
        <w:tblPrEx>
          <w:tblCellMar>
            <w:top w:w="0" w:type="dxa"/>
            <w:left w:w="108" w:type="dxa"/>
            <w:bottom w:w="0" w:type="dxa"/>
            <w:right w:w="108" w:type="dxa"/>
          </w:tblCellMar>
        </w:tblPrEx>
        <w:tc>
          <w:tcPr>
            <w:tcW w:w="4536" w:type="dxa"/>
            <w:vMerge w:val="continue"/>
            <w:tcBorders>
              <w:left w:val="nil"/>
              <w:bottom w:val="single" w:color="auto" w:sz="4" w:space="0"/>
              <w:right w:val="nil"/>
            </w:tcBorders>
            <w:vAlign w:val="center"/>
          </w:tcPr>
          <w:p w14:paraId="07720028">
            <w:pPr>
              <w:jc w:val="both"/>
              <w:rPr>
                <w:bCs/>
                <w:sz w:val="24"/>
                <w:szCs w:val="24"/>
              </w:rPr>
            </w:pPr>
          </w:p>
        </w:tc>
        <w:tc>
          <w:tcPr>
            <w:tcW w:w="284" w:type="dxa"/>
            <w:vAlign w:val="center"/>
          </w:tcPr>
          <w:p w14:paraId="7DA9EDAA">
            <w:pPr>
              <w:jc w:val="both"/>
              <w:rPr>
                <w:bCs/>
                <w:color w:val="FF0000"/>
                <w:sz w:val="24"/>
                <w:szCs w:val="24"/>
              </w:rPr>
            </w:pPr>
          </w:p>
        </w:tc>
        <w:tc>
          <w:tcPr>
            <w:tcW w:w="4678" w:type="dxa"/>
            <w:gridSpan w:val="2"/>
            <w:vMerge w:val="continue"/>
            <w:tcBorders>
              <w:left w:val="nil"/>
              <w:bottom w:val="single" w:color="auto" w:sz="4" w:space="0"/>
              <w:right w:val="nil"/>
            </w:tcBorders>
            <w:vAlign w:val="center"/>
          </w:tcPr>
          <w:p w14:paraId="3211886A">
            <w:pPr>
              <w:jc w:val="both"/>
              <w:rPr>
                <w:bCs/>
                <w:sz w:val="24"/>
                <w:szCs w:val="24"/>
              </w:rPr>
            </w:pPr>
          </w:p>
        </w:tc>
      </w:tr>
      <w:tr w14:paraId="1C90DB4D">
        <w:tblPrEx>
          <w:tblCellMar>
            <w:top w:w="0" w:type="dxa"/>
            <w:left w:w="108" w:type="dxa"/>
            <w:bottom w:w="0" w:type="dxa"/>
            <w:right w:w="108" w:type="dxa"/>
          </w:tblCellMar>
        </w:tblPrEx>
        <w:tc>
          <w:tcPr>
            <w:tcW w:w="4536" w:type="dxa"/>
            <w:tcBorders>
              <w:top w:val="single" w:color="auto" w:sz="4" w:space="0"/>
              <w:left w:val="nil"/>
              <w:bottom w:val="single" w:color="auto" w:sz="4" w:space="0"/>
              <w:right w:val="nil"/>
            </w:tcBorders>
            <w:vAlign w:val="center"/>
          </w:tcPr>
          <w:p w14:paraId="48EE5170">
            <w:pPr>
              <w:rPr>
                <w:sz w:val="24"/>
                <w:szCs w:val="24"/>
                <w:lang w:eastAsia="ar-SA"/>
              </w:rPr>
            </w:pPr>
            <w:r>
              <w:rPr>
                <w:b/>
                <w:bCs/>
                <w:sz w:val="24"/>
                <w:szCs w:val="24"/>
                <w:lang w:eastAsia="ar-SA"/>
              </w:rPr>
              <w:t>р/с</w:t>
            </w:r>
            <w:r>
              <w:rPr>
                <w:sz w:val="24"/>
                <w:szCs w:val="24"/>
                <w:lang w:eastAsia="ar-SA"/>
              </w:rPr>
              <w:t xml:space="preserve"> 03211643000000013208                         </w:t>
            </w:r>
          </w:p>
          <w:p w14:paraId="7A8EC88E">
            <w:pPr>
              <w:rPr>
                <w:bCs/>
                <w:sz w:val="24"/>
                <w:szCs w:val="24"/>
              </w:rPr>
            </w:pPr>
            <w:r>
              <w:rPr>
                <w:sz w:val="24"/>
                <w:szCs w:val="24"/>
                <w:lang w:eastAsia="ar-SA"/>
              </w:rPr>
              <w:t>ОКЦ № 1 Волго-Вятского ГУ Банка России//УФК по Нижегородской области, г.Нижний Новгород</w:t>
            </w:r>
          </w:p>
        </w:tc>
        <w:tc>
          <w:tcPr>
            <w:tcW w:w="284" w:type="dxa"/>
            <w:vAlign w:val="center"/>
          </w:tcPr>
          <w:p w14:paraId="058FFC57">
            <w:pPr>
              <w:jc w:val="both"/>
              <w:rPr>
                <w:bCs/>
                <w:color w:val="FF0000"/>
                <w:sz w:val="24"/>
                <w:szCs w:val="24"/>
              </w:rPr>
            </w:pPr>
          </w:p>
        </w:tc>
        <w:tc>
          <w:tcPr>
            <w:tcW w:w="4678" w:type="dxa"/>
            <w:gridSpan w:val="2"/>
            <w:tcBorders>
              <w:top w:val="single" w:color="auto" w:sz="4" w:space="0"/>
              <w:left w:val="nil"/>
              <w:bottom w:val="single" w:color="auto" w:sz="4" w:space="0"/>
              <w:right w:val="nil"/>
            </w:tcBorders>
            <w:vAlign w:val="center"/>
          </w:tcPr>
          <w:p w14:paraId="6999A3A8">
            <w:pPr>
              <w:jc w:val="both"/>
              <w:rPr>
                <w:b/>
                <w:bCs/>
                <w:sz w:val="24"/>
                <w:szCs w:val="24"/>
              </w:rPr>
            </w:pPr>
            <w:r>
              <w:rPr>
                <w:b/>
                <w:bCs/>
                <w:sz w:val="24"/>
                <w:szCs w:val="24"/>
              </w:rPr>
              <w:t>р/с</w:t>
            </w:r>
          </w:p>
        </w:tc>
      </w:tr>
      <w:tr w14:paraId="72333B7A">
        <w:tblPrEx>
          <w:tblCellMar>
            <w:top w:w="0" w:type="dxa"/>
            <w:left w:w="108" w:type="dxa"/>
            <w:bottom w:w="0" w:type="dxa"/>
            <w:right w:w="108" w:type="dxa"/>
          </w:tblCellMar>
        </w:tblPrEx>
        <w:tc>
          <w:tcPr>
            <w:tcW w:w="4536" w:type="dxa"/>
            <w:tcBorders>
              <w:top w:val="single" w:color="auto" w:sz="4" w:space="0"/>
              <w:left w:val="nil"/>
              <w:bottom w:val="single" w:color="auto" w:sz="4" w:space="0"/>
              <w:right w:val="nil"/>
            </w:tcBorders>
            <w:vAlign w:val="center"/>
          </w:tcPr>
          <w:p w14:paraId="54A173F6">
            <w:pPr>
              <w:jc w:val="both"/>
              <w:rPr>
                <w:bCs/>
                <w:sz w:val="24"/>
                <w:szCs w:val="24"/>
              </w:rPr>
            </w:pPr>
            <w:r>
              <w:rPr>
                <w:b/>
                <w:bCs/>
                <w:sz w:val="24"/>
                <w:szCs w:val="24"/>
                <w:lang w:eastAsia="ar-SA"/>
              </w:rPr>
              <w:t xml:space="preserve">к/с  </w:t>
            </w:r>
            <w:r>
              <w:rPr>
                <w:bCs/>
                <w:sz w:val="24"/>
                <w:szCs w:val="24"/>
                <w:lang w:eastAsia="ar-SA"/>
              </w:rPr>
              <w:t>40102810745370000024</w:t>
            </w:r>
          </w:p>
        </w:tc>
        <w:tc>
          <w:tcPr>
            <w:tcW w:w="284" w:type="dxa"/>
            <w:vAlign w:val="center"/>
          </w:tcPr>
          <w:p w14:paraId="568065F8">
            <w:pPr>
              <w:jc w:val="both"/>
              <w:rPr>
                <w:bCs/>
                <w:color w:val="FF0000"/>
                <w:sz w:val="24"/>
                <w:szCs w:val="24"/>
              </w:rPr>
            </w:pPr>
          </w:p>
        </w:tc>
        <w:tc>
          <w:tcPr>
            <w:tcW w:w="4678" w:type="dxa"/>
            <w:gridSpan w:val="2"/>
            <w:tcBorders>
              <w:top w:val="single" w:color="auto" w:sz="4" w:space="0"/>
              <w:left w:val="nil"/>
              <w:bottom w:val="single" w:color="auto" w:sz="4" w:space="0"/>
              <w:right w:val="nil"/>
            </w:tcBorders>
            <w:vAlign w:val="center"/>
          </w:tcPr>
          <w:p w14:paraId="3BF894CF">
            <w:pPr>
              <w:jc w:val="both"/>
              <w:rPr>
                <w:b/>
                <w:bCs/>
                <w:sz w:val="24"/>
                <w:szCs w:val="24"/>
              </w:rPr>
            </w:pPr>
            <w:r>
              <w:rPr>
                <w:b/>
                <w:bCs/>
                <w:sz w:val="24"/>
                <w:szCs w:val="24"/>
              </w:rPr>
              <w:t xml:space="preserve">к/с  </w:t>
            </w:r>
          </w:p>
        </w:tc>
      </w:tr>
      <w:tr w14:paraId="786773D2">
        <w:tblPrEx>
          <w:tblCellMar>
            <w:top w:w="0" w:type="dxa"/>
            <w:left w:w="108" w:type="dxa"/>
            <w:bottom w:w="0" w:type="dxa"/>
            <w:right w:w="108" w:type="dxa"/>
          </w:tblCellMar>
        </w:tblPrEx>
        <w:tc>
          <w:tcPr>
            <w:tcW w:w="4536" w:type="dxa"/>
            <w:tcBorders>
              <w:top w:val="single" w:color="auto" w:sz="4" w:space="0"/>
              <w:left w:val="nil"/>
              <w:bottom w:val="single" w:color="auto" w:sz="4" w:space="0"/>
              <w:right w:val="nil"/>
            </w:tcBorders>
            <w:vAlign w:val="center"/>
          </w:tcPr>
          <w:p w14:paraId="27B0A825">
            <w:pPr>
              <w:jc w:val="both"/>
              <w:rPr>
                <w:bCs/>
                <w:sz w:val="24"/>
                <w:szCs w:val="24"/>
              </w:rPr>
            </w:pPr>
            <w:r>
              <w:rPr>
                <w:b/>
                <w:sz w:val="24"/>
                <w:szCs w:val="24"/>
                <w:lang w:eastAsia="ar-SA"/>
              </w:rPr>
              <w:t>БИК</w:t>
            </w:r>
            <w:r>
              <w:rPr>
                <w:sz w:val="24"/>
                <w:szCs w:val="24"/>
                <w:lang w:eastAsia="ar-SA"/>
              </w:rPr>
              <w:t xml:space="preserve"> 012202102</w:t>
            </w:r>
          </w:p>
        </w:tc>
        <w:tc>
          <w:tcPr>
            <w:tcW w:w="284" w:type="dxa"/>
            <w:vAlign w:val="center"/>
          </w:tcPr>
          <w:p w14:paraId="2B55FB49">
            <w:pPr>
              <w:jc w:val="both"/>
              <w:rPr>
                <w:bCs/>
                <w:color w:val="FF0000"/>
                <w:sz w:val="24"/>
                <w:szCs w:val="24"/>
              </w:rPr>
            </w:pPr>
          </w:p>
        </w:tc>
        <w:tc>
          <w:tcPr>
            <w:tcW w:w="4678" w:type="dxa"/>
            <w:gridSpan w:val="2"/>
            <w:tcBorders>
              <w:top w:val="single" w:color="auto" w:sz="4" w:space="0"/>
              <w:left w:val="nil"/>
              <w:bottom w:val="single" w:color="auto" w:sz="4" w:space="0"/>
              <w:right w:val="nil"/>
            </w:tcBorders>
            <w:vAlign w:val="center"/>
          </w:tcPr>
          <w:p w14:paraId="38630D0B">
            <w:pPr>
              <w:jc w:val="both"/>
              <w:rPr>
                <w:b/>
                <w:bCs/>
                <w:sz w:val="24"/>
                <w:szCs w:val="24"/>
              </w:rPr>
            </w:pPr>
            <w:r>
              <w:rPr>
                <w:b/>
                <w:bCs/>
                <w:sz w:val="24"/>
                <w:szCs w:val="24"/>
              </w:rPr>
              <w:t>БИК</w:t>
            </w:r>
          </w:p>
        </w:tc>
      </w:tr>
      <w:tr w14:paraId="57DA50A7">
        <w:tblPrEx>
          <w:tblCellMar>
            <w:top w:w="0" w:type="dxa"/>
            <w:left w:w="108" w:type="dxa"/>
            <w:bottom w:w="0" w:type="dxa"/>
            <w:right w:w="108" w:type="dxa"/>
          </w:tblCellMar>
        </w:tblPrEx>
        <w:tc>
          <w:tcPr>
            <w:tcW w:w="4536" w:type="dxa"/>
            <w:tcBorders>
              <w:top w:val="single" w:color="auto" w:sz="4" w:space="0"/>
              <w:left w:val="nil"/>
              <w:bottom w:val="single" w:color="auto" w:sz="4" w:space="0"/>
              <w:right w:val="nil"/>
            </w:tcBorders>
            <w:vAlign w:val="center"/>
          </w:tcPr>
          <w:p w14:paraId="08BF3999">
            <w:pPr>
              <w:jc w:val="both"/>
              <w:rPr>
                <w:bCs/>
                <w:sz w:val="24"/>
                <w:szCs w:val="24"/>
              </w:rPr>
            </w:pPr>
            <w:r>
              <w:rPr>
                <w:b/>
                <w:sz w:val="24"/>
                <w:szCs w:val="24"/>
                <w:lang w:eastAsia="ar-SA"/>
              </w:rPr>
              <w:t>ИНН</w:t>
            </w:r>
            <w:r>
              <w:rPr>
                <w:sz w:val="24"/>
                <w:szCs w:val="24"/>
                <w:lang w:eastAsia="ar-SA"/>
              </w:rPr>
              <w:t xml:space="preserve"> 3524006943</w:t>
            </w:r>
          </w:p>
        </w:tc>
        <w:tc>
          <w:tcPr>
            <w:tcW w:w="284" w:type="dxa"/>
            <w:vAlign w:val="center"/>
          </w:tcPr>
          <w:p w14:paraId="576139DA">
            <w:pPr>
              <w:jc w:val="both"/>
              <w:rPr>
                <w:bCs/>
                <w:color w:val="FF0000"/>
                <w:sz w:val="24"/>
                <w:szCs w:val="24"/>
              </w:rPr>
            </w:pPr>
          </w:p>
        </w:tc>
        <w:tc>
          <w:tcPr>
            <w:tcW w:w="4678" w:type="dxa"/>
            <w:gridSpan w:val="2"/>
            <w:tcBorders>
              <w:top w:val="single" w:color="auto" w:sz="4" w:space="0"/>
              <w:left w:val="nil"/>
              <w:bottom w:val="single" w:color="auto" w:sz="4" w:space="0"/>
              <w:right w:val="nil"/>
            </w:tcBorders>
            <w:vAlign w:val="center"/>
          </w:tcPr>
          <w:p w14:paraId="279FB800">
            <w:pPr>
              <w:jc w:val="both"/>
              <w:rPr>
                <w:bCs/>
                <w:sz w:val="24"/>
                <w:szCs w:val="24"/>
              </w:rPr>
            </w:pPr>
          </w:p>
        </w:tc>
      </w:tr>
      <w:tr w14:paraId="0380EF7C">
        <w:tblPrEx>
          <w:tblCellMar>
            <w:top w:w="0" w:type="dxa"/>
            <w:left w:w="108" w:type="dxa"/>
            <w:bottom w:w="0" w:type="dxa"/>
            <w:right w:w="108" w:type="dxa"/>
          </w:tblCellMar>
        </w:tblPrEx>
        <w:tc>
          <w:tcPr>
            <w:tcW w:w="4536" w:type="dxa"/>
            <w:tcBorders>
              <w:top w:val="single" w:color="auto" w:sz="4" w:space="0"/>
              <w:left w:val="nil"/>
              <w:bottom w:val="single" w:color="auto" w:sz="4" w:space="0"/>
              <w:right w:val="nil"/>
            </w:tcBorders>
            <w:vAlign w:val="center"/>
          </w:tcPr>
          <w:p w14:paraId="7C4B41BD">
            <w:pPr>
              <w:jc w:val="both"/>
              <w:rPr>
                <w:bCs/>
                <w:sz w:val="24"/>
                <w:szCs w:val="24"/>
              </w:rPr>
            </w:pPr>
            <w:r>
              <w:rPr>
                <w:b/>
                <w:sz w:val="24"/>
                <w:szCs w:val="24"/>
                <w:lang w:eastAsia="ar-SA"/>
              </w:rPr>
              <w:t>КПП</w:t>
            </w:r>
            <w:r>
              <w:rPr>
                <w:sz w:val="24"/>
                <w:szCs w:val="24"/>
                <w:lang w:eastAsia="ar-SA"/>
              </w:rPr>
              <w:t xml:space="preserve"> 352401001</w:t>
            </w:r>
          </w:p>
        </w:tc>
        <w:tc>
          <w:tcPr>
            <w:tcW w:w="284" w:type="dxa"/>
            <w:vAlign w:val="center"/>
          </w:tcPr>
          <w:p w14:paraId="152C46A6">
            <w:pPr>
              <w:jc w:val="both"/>
              <w:rPr>
                <w:bCs/>
                <w:color w:val="FF0000"/>
                <w:sz w:val="24"/>
                <w:szCs w:val="24"/>
              </w:rPr>
            </w:pPr>
          </w:p>
        </w:tc>
        <w:tc>
          <w:tcPr>
            <w:tcW w:w="4678" w:type="dxa"/>
            <w:gridSpan w:val="2"/>
            <w:tcBorders>
              <w:top w:val="single" w:color="auto" w:sz="4" w:space="0"/>
              <w:left w:val="nil"/>
              <w:bottom w:val="single" w:color="auto" w:sz="4" w:space="0"/>
              <w:right w:val="nil"/>
            </w:tcBorders>
            <w:vAlign w:val="center"/>
          </w:tcPr>
          <w:p w14:paraId="7161405E">
            <w:pPr>
              <w:jc w:val="both"/>
              <w:rPr>
                <w:bCs/>
                <w:sz w:val="24"/>
                <w:szCs w:val="24"/>
              </w:rPr>
            </w:pPr>
          </w:p>
        </w:tc>
      </w:tr>
      <w:tr w14:paraId="21BE896A">
        <w:tblPrEx>
          <w:tblCellMar>
            <w:top w:w="0" w:type="dxa"/>
            <w:left w:w="108" w:type="dxa"/>
            <w:bottom w:w="0" w:type="dxa"/>
            <w:right w:w="108" w:type="dxa"/>
          </w:tblCellMar>
        </w:tblPrEx>
        <w:tc>
          <w:tcPr>
            <w:tcW w:w="4536" w:type="dxa"/>
            <w:tcBorders>
              <w:top w:val="single" w:color="auto" w:sz="4" w:space="0"/>
              <w:left w:val="nil"/>
              <w:bottom w:val="single" w:color="auto" w:sz="4" w:space="0"/>
              <w:right w:val="nil"/>
            </w:tcBorders>
            <w:vAlign w:val="center"/>
          </w:tcPr>
          <w:p w14:paraId="05B1C55A">
            <w:pPr>
              <w:jc w:val="both"/>
              <w:rPr>
                <w:sz w:val="24"/>
                <w:szCs w:val="24"/>
              </w:rPr>
            </w:pPr>
            <w:r>
              <w:rPr>
                <w:b/>
                <w:sz w:val="24"/>
                <w:szCs w:val="24"/>
                <w:lang w:val="en-US" w:eastAsia="ar-SA"/>
              </w:rPr>
              <w:t>e-mail:</w:t>
            </w:r>
            <w:r>
              <w:rPr>
                <w:sz w:val="24"/>
                <w:szCs w:val="24"/>
                <w:lang w:val="en-US" w:eastAsia="ar-SA"/>
              </w:rPr>
              <w:t xml:space="preserve"> ik17prom@mail.ru</w:t>
            </w:r>
          </w:p>
        </w:tc>
        <w:tc>
          <w:tcPr>
            <w:tcW w:w="284" w:type="dxa"/>
            <w:vAlign w:val="center"/>
          </w:tcPr>
          <w:p w14:paraId="43D030C9">
            <w:pPr>
              <w:jc w:val="both"/>
              <w:rPr>
                <w:bCs/>
                <w:color w:val="FF0000"/>
                <w:sz w:val="24"/>
                <w:szCs w:val="24"/>
              </w:rPr>
            </w:pPr>
          </w:p>
        </w:tc>
        <w:tc>
          <w:tcPr>
            <w:tcW w:w="4678" w:type="dxa"/>
            <w:gridSpan w:val="2"/>
            <w:tcBorders>
              <w:top w:val="single" w:color="auto" w:sz="4" w:space="0"/>
              <w:left w:val="nil"/>
              <w:bottom w:val="single" w:color="auto" w:sz="4" w:space="0"/>
              <w:right w:val="nil"/>
            </w:tcBorders>
            <w:vAlign w:val="center"/>
          </w:tcPr>
          <w:p w14:paraId="44E8D289">
            <w:pPr>
              <w:jc w:val="both"/>
              <w:rPr>
                <w:bCs/>
                <w:color w:val="000000" w:themeColor="text1"/>
                <w:sz w:val="24"/>
                <w:szCs w:val="24"/>
              </w:rPr>
            </w:pPr>
          </w:p>
        </w:tc>
      </w:tr>
      <w:tr w14:paraId="7CB4EB5C">
        <w:tblPrEx>
          <w:tblCellMar>
            <w:top w:w="0" w:type="dxa"/>
            <w:left w:w="108" w:type="dxa"/>
            <w:bottom w:w="0" w:type="dxa"/>
            <w:right w:w="108" w:type="dxa"/>
          </w:tblCellMar>
        </w:tblPrEx>
        <w:tc>
          <w:tcPr>
            <w:tcW w:w="4536" w:type="dxa"/>
          </w:tcPr>
          <w:p w14:paraId="2E45DBA3">
            <w:pPr>
              <w:rPr>
                <w:b/>
                <w:sz w:val="24"/>
                <w:szCs w:val="24"/>
              </w:rPr>
            </w:pPr>
            <w:r>
              <w:rPr>
                <w:b/>
                <w:sz w:val="24"/>
                <w:szCs w:val="24"/>
              </w:rPr>
              <w:t>Государственный заказчик</w:t>
            </w:r>
          </w:p>
        </w:tc>
        <w:tc>
          <w:tcPr>
            <w:tcW w:w="4962" w:type="dxa"/>
            <w:gridSpan w:val="3"/>
          </w:tcPr>
          <w:p w14:paraId="4E1DFB88">
            <w:pPr>
              <w:rPr>
                <w:b/>
                <w:sz w:val="24"/>
                <w:szCs w:val="24"/>
                <w:highlight w:val="yellow"/>
                <w:lang w:val="en-US"/>
              </w:rPr>
            </w:pPr>
            <w:r>
              <w:rPr>
                <w:b/>
                <w:sz w:val="24"/>
                <w:szCs w:val="24"/>
                <w:highlight w:val="yellow"/>
              </w:rPr>
              <w:t xml:space="preserve">     </w:t>
            </w:r>
          </w:p>
          <w:p w14:paraId="0E2074B0">
            <w:pPr>
              <w:rPr>
                <w:b/>
                <w:sz w:val="24"/>
                <w:szCs w:val="24"/>
                <w:highlight w:val="yellow"/>
              </w:rPr>
            </w:pPr>
            <w:r>
              <w:rPr>
                <w:b/>
                <w:sz w:val="24"/>
                <w:szCs w:val="24"/>
                <w:highlight w:val="yellow"/>
                <w:lang w:val="en-US"/>
              </w:rPr>
              <w:t xml:space="preserve">       </w:t>
            </w:r>
            <w:r>
              <w:rPr>
                <w:b/>
                <w:sz w:val="24"/>
                <w:szCs w:val="24"/>
                <w:highlight w:val="yellow"/>
              </w:rPr>
              <w:t>Поставщик</w:t>
            </w:r>
          </w:p>
        </w:tc>
      </w:tr>
      <w:tr w14:paraId="6B4B047A">
        <w:tblPrEx>
          <w:tblCellMar>
            <w:top w:w="0" w:type="dxa"/>
            <w:left w:w="108" w:type="dxa"/>
            <w:bottom w:w="0" w:type="dxa"/>
            <w:right w:w="108" w:type="dxa"/>
          </w:tblCellMar>
        </w:tblPrEx>
        <w:trPr>
          <w:trHeight w:val="577" w:hRule="atLeast"/>
        </w:trPr>
        <w:tc>
          <w:tcPr>
            <w:tcW w:w="4536" w:type="dxa"/>
          </w:tcPr>
          <w:p w14:paraId="43AFC86B">
            <w:pPr>
              <w:rPr>
                <w:sz w:val="24"/>
                <w:szCs w:val="24"/>
              </w:rPr>
            </w:pPr>
            <w:r>
              <w:rPr>
                <w:sz w:val="24"/>
                <w:szCs w:val="24"/>
                <w:lang w:val="ru-RU"/>
              </w:rPr>
              <w:t>Н</w:t>
            </w:r>
            <w:r>
              <w:rPr>
                <w:sz w:val="24"/>
                <w:szCs w:val="24"/>
              </w:rPr>
              <w:t>ачальник ФКУ ИК-17 УФСИН России по Вологодской области</w:t>
            </w:r>
          </w:p>
          <w:p w14:paraId="61E8340A">
            <w:pPr>
              <w:rPr>
                <w:sz w:val="24"/>
                <w:szCs w:val="24"/>
              </w:rPr>
            </w:pPr>
          </w:p>
          <w:p w14:paraId="2576614D">
            <w:pPr>
              <w:rPr>
                <w:sz w:val="24"/>
                <w:szCs w:val="24"/>
              </w:rPr>
            </w:pPr>
            <w:r>
              <w:rPr>
                <w:sz w:val="24"/>
                <w:szCs w:val="24"/>
              </w:rPr>
              <w:t>____________________  /С.А.Иванов</w:t>
            </w:r>
          </w:p>
        </w:tc>
        <w:tc>
          <w:tcPr>
            <w:tcW w:w="4962" w:type="dxa"/>
            <w:gridSpan w:val="3"/>
          </w:tcPr>
          <w:p w14:paraId="1A008CF7">
            <w:pPr>
              <w:ind w:left="318"/>
              <w:rPr>
                <w:sz w:val="24"/>
                <w:szCs w:val="24"/>
                <w:highlight w:val="yellow"/>
              </w:rPr>
            </w:pPr>
          </w:p>
        </w:tc>
      </w:tr>
      <w:tr w14:paraId="416821FE">
        <w:tblPrEx>
          <w:tblCellMar>
            <w:top w:w="0" w:type="dxa"/>
            <w:left w:w="108" w:type="dxa"/>
            <w:bottom w:w="0" w:type="dxa"/>
            <w:right w:w="108" w:type="dxa"/>
          </w:tblCellMar>
        </w:tblPrEx>
        <w:tc>
          <w:tcPr>
            <w:tcW w:w="4536" w:type="dxa"/>
          </w:tcPr>
          <w:p w14:paraId="62B0C41A">
            <w:pPr>
              <w:rPr>
                <w:sz w:val="24"/>
                <w:szCs w:val="24"/>
              </w:rPr>
            </w:pPr>
            <w:r>
              <w:rPr>
                <w:sz w:val="24"/>
                <w:szCs w:val="24"/>
              </w:rPr>
              <w:t>«__» __________ 202</w:t>
            </w:r>
            <w:r>
              <w:rPr>
                <w:rFonts w:hint="default"/>
                <w:sz w:val="24"/>
                <w:szCs w:val="24"/>
                <w:lang w:val="ru-RU"/>
              </w:rPr>
              <w:t>6</w:t>
            </w:r>
            <w:r>
              <w:rPr>
                <w:sz w:val="24"/>
                <w:szCs w:val="24"/>
              </w:rPr>
              <w:t xml:space="preserve"> г.</w:t>
            </w:r>
          </w:p>
        </w:tc>
        <w:tc>
          <w:tcPr>
            <w:tcW w:w="4962" w:type="dxa"/>
            <w:gridSpan w:val="3"/>
          </w:tcPr>
          <w:p w14:paraId="521F9723">
            <w:pPr>
              <w:jc w:val="both"/>
              <w:rPr>
                <w:sz w:val="24"/>
                <w:szCs w:val="24"/>
                <w:highlight w:val="yellow"/>
              </w:rPr>
            </w:pPr>
            <w:r>
              <w:rPr>
                <w:sz w:val="24"/>
                <w:szCs w:val="24"/>
                <w:highlight w:val="yellow"/>
              </w:rPr>
              <w:t xml:space="preserve">     «__» ___________ 202</w:t>
            </w:r>
            <w:r>
              <w:rPr>
                <w:rFonts w:hint="default"/>
                <w:sz w:val="24"/>
                <w:szCs w:val="24"/>
                <w:highlight w:val="yellow"/>
                <w:lang w:val="ru-RU"/>
              </w:rPr>
              <w:t>6</w:t>
            </w:r>
            <w:r>
              <w:rPr>
                <w:sz w:val="24"/>
                <w:szCs w:val="24"/>
                <w:highlight w:val="yellow"/>
              </w:rPr>
              <w:t xml:space="preserve"> г.</w:t>
            </w:r>
          </w:p>
        </w:tc>
      </w:tr>
      <w:tr w14:paraId="5DCFCBE2">
        <w:tblPrEx>
          <w:tblCellMar>
            <w:top w:w="0" w:type="dxa"/>
            <w:left w:w="108" w:type="dxa"/>
            <w:bottom w:w="0" w:type="dxa"/>
            <w:right w:w="108" w:type="dxa"/>
          </w:tblCellMar>
        </w:tblPrEx>
        <w:tc>
          <w:tcPr>
            <w:tcW w:w="4536" w:type="dxa"/>
          </w:tcPr>
          <w:p w14:paraId="39BF474A">
            <w:pPr>
              <w:rPr>
                <w:sz w:val="24"/>
                <w:szCs w:val="24"/>
              </w:rPr>
            </w:pPr>
            <w:r>
              <w:rPr>
                <w:sz w:val="24"/>
                <w:szCs w:val="24"/>
              </w:rPr>
              <w:t xml:space="preserve">                 МП</w:t>
            </w:r>
          </w:p>
        </w:tc>
        <w:tc>
          <w:tcPr>
            <w:tcW w:w="4962" w:type="dxa"/>
            <w:gridSpan w:val="3"/>
          </w:tcPr>
          <w:p w14:paraId="4EC7A009">
            <w:pPr>
              <w:rPr>
                <w:sz w:val="24"/>
                <w:szCs w:val="24"/>
              </w:rPr>
            </w:pPr>
            <w:r>
              <w:rPr>
                <w:sz w:val="24"/>
                <w:szCs w:val="24"/>
              </w:rPr>
              <w:t xml:space="preserve">                         МП</w:t>
            </w:r>
          </w:p>
        </w:tc>
      </w:tr>
    </w:tbl>
    <w:p w14:paraId="308E440C">
      <w:pPr>
        <w:tabs>
          <w:tab w:val="left" w:pos="6900"/>
        </w:tabs>
        <w:rPr>
          <w:color w:val="000000"/>
          <w:sz w:val="24"/>
          <w:szCs w:val="24"/>
        </w:rPr>
      </w:pPr>
    </w:p>
    <w:p w14:paraId="09E63BA7">
      <w:pPr>
        <w:tabs>
          <w:tab w:val="left" w:pos="6900"/>
        </w:tabs>
        <w:rPr>
          <w:color w:val="000000"/>
          <w:sz w:val="24"/>
          <w:szCs w:val="24"/>
        </w:rPr>
      </w:pPr>
    </w:p>
    <w:p w14:paraId="4299FDBF">
      <w:pPr>
        <w:tabs>
          <w:tab w:val="left" w:pos="12255"/>
        </w:tabs>
        <w:jc w:val="right"/>
        <w:rPr>
          <w:b/>
          <w:bCs/>
          <w:sz w:val="24"/>
          <w:szCs w:val="24"/>
        </w:rPr>
      </w:pPr>
      <w:r>
        <w:rPr>
          <w:b/>
          <w:bCs/>
          <w:sz w:val="24"/>
          <w:szCs w:val="24"/>
        </w:rPr>
        <w:t xml:space="preserve">Приложение №1 </w:t>
      </w:r>
    </w:p>
    <w:p w14:paraId="66030798">
      <w:pPr>
        <w:tabs>
          <w:tab w:val="left" w:pos="12255"/>
        </w:tabs>
        <w:jc w:val="right"/>
        <w:rPr>
          <w:b/>
          <w:bCs/>
          <w:sz w:val="24"/>
          <w:szCs w:val="24"/>
        </w:rPr>
      </w:pPr>
      <w:r>
        <w:rPr>
          <w:b/>
          <w:bCs/>
          <w:sz w:val="24"/>
          <w:szCs w:val="24"/>
        </w:rPr>
        <w:t>к Государственному контракту №____ «___»________202</w:t>
      </w:r>
      <w:r>
        <w:rPr>
          <w:rFonts w:hint="default"/>
          <w:b/>
          <w:bCs/>
          <w:sz w:val="24"/>
          <w:szCs w:val="24"/>
          <w:lang w:val="ru-RU"/>
        </w:rPr>
        <w:t>6</w:t>
      </w:r>
      <w:r>
        <w:rPr>
          <w:b/>
          <w:bCs/>
          <w:sz w:val="24"/>
          <w:szCs w:val="24"/>
        </w:rPr>
        <w:t xml:space="preserve"> г.</w:t>
      </w:r>
    </w:p>
    <w:p w14:paraId="15125B81">
      <w:pPr>
        <w:jc w:val="right"/>
        <w:rPr>
          <w:b/>
          <w:bCs/>
          <w:sz w:val="24"/>
          <w:szCs w:val="24"/>
        </w:rPr>
      </w:pPr>
    </w:p>
    <w:p w14:paraId="0CD1A341">
      <w:pPr>
        <w:jc w:val="center"/>
        <w:rPr>
          <w:b/>
          <w:sz w:val="20"/>
          <w:szCs w:val="20"/>
        </w:rPr>
      </w:pPr>
      <w:r>
        <w:rPr>
          <w:b/>
          <w:sz w:val="20"/>
          <w:szCs w:val="20"/>
        </w:rPr>
        <w:t>СПЕЦИФИКАЦИЯ</w:t>
      </w:r>
    </w:p>
    <w:tbl>
      <w:tblPr>
        <w:tblStyle w:val="5"/>
        <w:tblpPr w:leftFromText="180" w:rightFromText="180" w:vertAnchor="text" w:horzAnchor="margin" w:tblpY="64"/>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3994"/>
        <w:gridCol w:w="853"/>
        <w:gridCol w:w="897"/>
        <w:gridCol w:w="1693"/>
        <w:gridCol w:w="1264"/>
      </w:tblGrid>
      <w:tr w14:paraId="5B82B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449" w:type="pct"/>
            <w:vAlign w:val="center"/>
          </w:tcPr>
          <w:p w14:paraId="0A71E838">
            <w:pPr>
              <w:spacing w:line="240" w:lineRule="exact"/>
              <w:jc w:val="center"/>
              <w:rPr>
                <w:rFonts w:hint="default" w:ascii="Times New Roman" w:hAnsi="Times New Roman" w:cs="Times New Roman"/>
                <w:sz w:val="24"/>
                <w:szCs w:val="24"/>
              </w:rPr>
            </w:pPr>
            <w:r>
              <w:rPr>
                <w:rFonts w:hint="default" w:ascii="Times New Roman" w:hAnsi="Times New Roman" w:cs="Times New Roman"/>
                <w:sz w:val="24"/>
                <w:szCs w:val="24"/>
              </w:rPr>
              <w:t>№ п/п</w:t>
            </w:r>
          </w:p>
        </w:tc>
        <w:tc>
          <w:tcPr>
            <w:tcW w:w="2088" w:type="pct"/>
            <w:vAlign w:val="center"/>
          </w:tcPr>
          <w:p w14:paraId="24F8E449">
            <w:pPr>
              <w:spacing w:line="240" w:lineRule="exact"/>
              <w:jc w:val="center"/>
              <w:rPr>
                <w:rFonts w:hint="default" w:ascii="Times New Roman" w:hAnsi="Times New Roman" w:cs="Times New Roman"/>
                <w:sz w:val="24"/>
                <w:szCs w:val="24"/>
              </w:rPr>
            </w:pPr>
            <w:r>
              <w:rPr>
                <w:rFonts w:hint="default" w:ascii="Times New Roman" w:hAnsi="Times New Roman" w:cs="Times New Roman"/>
                <w:sz w:val="24"/>
                <w:szCs w:val="24"/>
              </w:rPr>
              <w:t>Наименование товара</w:t>
            </w:r>
          </w:p>
        </w:tc>
        <w:tc>
          <w:tcPr>
            <w:tcW w:w="446" w:type="pct"/>
            <w:vAlign w:val="center"/>
          </w:tcPr>
          <w:p w14:paraId="0D76BB88">
            <w:pPr>
              <w:spacing w:line="240" w:lineRule="exact"/>
              <w:jc w:val="center"/>
              <w:rPr>
                <w:rFonts w:hint="default" w:ascii="Times New Roman" w:hAnsi="Times New Roman" w:cs="Times New Roman"/>
                <w:sz w:val="24"/>
                <w:szCs w:val="24"/>
              </w:rPr>
            </w:pPr>
            <w:r>
              <w:rPr>
                <w:rFonts w:hint="default" w:ascii="Times New Roman" w:hAnsi="Times New Roman" w:cs="Times New Roman"/>
                <w:sz w:val="24"/>
                <w:szCs w:val="24"/>
              </w:rPr>
              <w:t>Ед. изм.</w:t>
            </w:r>
          </w:p>
        </w:tc>
        <w:tc>
          <w:tcPr>
            <w:tcW w:w="469" w:type="pct"/>
            <w:vAlign w:val="center"/>
          </w:tcPr>
          <w:p w14:paraId="3F306D30">
            <w:pPr>
              <w:spacing w:line="240" w:lineRule="exact"/>
              <w:jc w:val="center"/>
              <w:rPr>
                <w:rFonts w:hint="default" w:ascii="Times New Roman" w:hAnsi="Times New Roman" w:cs="Times New Roman"/>
                <w:sz w:val="24"/>
                <w:szCs w:val="24"/>
              </w:rPr>
            </w:pPr>
            <w:r>
              <w:rPr>
                <w:rFonts w:hint="default" w:ascii="Times New Roman" w:hAnsi="Times New Roman" w:cs="Times New Roman"/>
                <w:sz w:val="24"/>
                <w:szCs w:val="24"/>
              </w:rPr>
              <w:t>Кол-во</w:t>
            </w:r>
          </w:p>
        </w:tc>
        <w:tc>
          <w:tcPr>
            <w:tcW w:w="885" w:type="pct"/>
            <w:vAlign w:val="center"/>
          </w:tcPr>
          <w:p w14:paraId="17DB5468">
            <w:pPr>
              <w:spacing w:line="240" w:lineRule="exact"/>
              <w:jc w:val="center"/>
              <w:rPr>
                <w:rFonts w:hint="default" w:ascii="Times New Roman" w:hAnsi="Times New Roman" w:cs="Times New Roman"/>
                <w:sz w:val="24"/>
                <w:szCs w:val="24"/>
              </w:rPr>
            </w:pPr>
            <w:r>
              <w:rPr>
                <w:rFonts w:hint="default" w:ascii="Times New Roman" w:hAnsi="Times New Roman" w:cs="Times New Roman"/>
                <w:sz w:val="24"/>
                <w:szCs w:val="24"/>
              </w:rPr>
              <w:t>Цена за ед. с НДС/ без НДС                (руб. коп.)</w:t>
            </w:r>
          </w:p>
        </w:tc>
        <w:tc>
          <w:tcPr>
            <w:tcW w:w="661" w:type="pct"/>
            <w:vAlign w:val="center"/>
          </w:tcPr>
          <w:p w14:paraId="32B5B090">
            <w:pPr>
              <w:spacing w:line="240" w:lineRule="exact"/>
              <w:jc w:val="center"/>
              <w:rPr>
                <w:rFonts w:hint="default" w:ascii="Times New Roman" w:hAnsi="Times New Roman" w:cs="Times New Roman"/>
                <w:sz w:val="24"/>
                <w:szCs w:val="24"/>
              </w:rPr>
            </w:pPr>
            <w:r>
              <w:rPr>
                <w:rFonts w:hint="default" w:ascii="Times New Roman" w:hAnsi="Times New Roman" w:cs="Times New Roman"/>
                <w:sz w:val="24"/>
                <w:szCs w:val="24"/>
              </w:rPr>
              <w:t>Сумма с НДС/без НДС           (руб. коп.)</w:t>
            </w:r>
          </w:p>
        </w:tc>
      </w:tr>
      <w:tr w14:paraId="7C23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Align w:val="center"/>
          </w:tcPr>
          <w:p w14:paraId="33523658">
            <w:pPr>
              <w:spacing w:line="240" w:lineRule="exact"/>
              <w:jc w:val="center"/>
              <w:rPr>
                <w:rFonts w:hint="default" w:ascii="Times New Roman" w:hAnsi="Times New Roman" w:cs="Times New Roman"/>
                <w:sz w:val="24"/>
                <w:szCs w:val="24"/>
              </w:rPr>
            </w:pPr>
            <w:r>
              <w:rPr>
                <w:rFonts w:hint="default" w:ascii="Times New Roman" w:hAnsi="Times New Roman" w:cs="Times New Roman"/>
                <w:sz w:val="24"/>
                <w:szCs w:val="24"/>
              </w:rPr>
              <w:t>1</w:t>
            </w:r>
          </w:p>
        </w:tc>
        <w:tc>
          <w:tcPr>
            <w:tcW w:w="2088" w:type="pct"/>
            <w:vAlign w:val="center"/>
          </w:tcPr>
          <w:p w14:paraId="6BC10F5F">
            <w:pPr>
              <w:pStyle w:val="37"/>
              <w:rPr>
                <w:rFonts w:hint="default" w:ascii="Times New Roman" w:hAnsi="Times New Roman" w:cs="Times New Roman"/>
                <w:sz w:val="24"/>
                <w:szCs w:val="24"/>
              </w:rPr>
            </w:pPr>
            <w:r>
              <w:rPr>
                <w:rFonts w:hint="default" w:ascii="Times New Roman" w:hAnsi="Times New Roman" w:cs="Times New Roman"/>
                <w:sz w:val="24"/>
                <w:szCs w:val="24"/>
              </w:rPr>
              <w:t xml:space="preserve">Вилка переносная, пластик, 380 В, 3Р+РЕ, </w:t>
            </w:r>
          </w:p>
          <w:p w14:paraId="460E9B91">
            <w:pPr>
              <w:pStyle w:val="37"/>
              <w:rPr>
                <w:rFonts w:hint="default" w:ascii="Times New Roman" w:hAnsi="Times New Roman" w:cs="Times New Roman"/>
                <w:sz w:val="24"/>
                <w:szCs w:val="24"/>
              </w:rPr>
            </w:pPr>
            <w:r>
              <w:rPr>
                <w:rFonts w:hint="default" w:ascii="Times New Roman" w:hAnsi="Times New Roman" w:cs="Times New Roman"/>
                <w:sz w:val="24"/>
                <w:szCs w:val="24"/>
              </w:rPr>
              <w:t xml:space="preserve">16 А, </w:t>
            </w:r>
            <w:r>
              <w:rPr>
                <w:rFonts w:hint="default" w:ascii="Times New Roman" w:hAnsi="Times New Roman" w:cs="Times New Roman"/>
                <w:sz w:val="24"/>
                <w:szCs w:val="24"/>
                <w:lang w:val="en-US"/>
              </w:rPr>
              <w:t>IP</w:t>
            </w:r>
            <w:r>
              <w:rPr>
                <w:rFonts w:hint="default" w:ascii="Times New Roman" w:hAnsi="Times New Roman" w:cs="Times New Roman"/>
                <w:sz w:val="24"/>
                <w:szCs w:val="24"/>
              </w:rPr>
              <w:t>44</w:t>
            </w:r>
          </w:p>
        </w:tc>
        <w:tc>
          <w:tcPr>
            <w:tcW w:w="446" w:type="pct"/>
            <w:vAlign w:val="center"/>
          </w:tcPr>
          <w:p w14:paraId="277285CC">
            <w:pPr>
              <w:rPr>
                <w:rFonts w:hint="default" w:ascii="Times New Roman" w:hAnsi="Times New Roman" w:cs="Times New Roman"/>
                <w:bCs/>
                <w:color w:val="000000"/>
                <w:sz w:val="24"/>
                <w:szCs w:val="24"/>
              </w:rPr>
            </w:pPr>
            <w:r>
              <w:rPr>
                <w:rFonts w:hint="default" w:ascii="Times New Roman" w:hAnsi="Times New Roman" w:cs="Times New Roman"/>
                <w:bCs/>
                <w:color w:val="000000"/>
                <w:sz w:val="24"/>
                <w:szCs w:val="24"/>
                <w:lang w:eastAsia="ar-SA"/>
              </w:rPr>
              <w:t>шт</w:t>
            </w:r>
          </w:p>
        </w:tc>
        <w:tc>
          <w:tcPr>
            <w:tcW w:w="469" w:type="pct"/>
            <w:vAlign w:val="center"/>
          </w:tcPr>
          <w:p w14:paraId="7E0D1F89">
            <w:pPr>
              <w:pStyle w:val="37"/>
              <w:rPr>
                <w:rFonts w:hint="default" w:ascii="Times New Roman" w:hAnsi="Times New Roman" w:cs="Times New Roman"/>
                <w:color w:val="000000"/>
                <w:sz w:val="24"/>
                <w:szCs w:val="24"/>
              </w:rPr>
            </w:pPr>
            <w:r>
              <w:rPr>
                <w:rFonts w:hint="default" w:ascii="Times New Roman" w:hAnsi="Times New Roman" w:cs="Times New Roman"/>
                <w:sz w:val="24"/>
                <w:szCs w:val="24"/>
              </w:rPr>
              <w:t>10</w:t>
            </w:r>
          </w:p>
        </w:tc>
        <w:tc>
          <w:tcPr>
            <w:tcW w:w="885" w:type="pct"/>
            <w:vAlign w:val="center"/>
          </w:tcPr>
          <w:p w14:paraId="1B8FA2F5">
            <w:pPr>
              <w:pStyle w:val="23"/>
              <w:snapToGrid w:val="0"/>
              <w:spacing w:line="200" w:lineRule="atLeast"/>
              <w:ind w:firstLine="0"/>
              <w:jc w:val="center"/>
              <w:rPr>
                <w:rFonts w:hint="default" w:ascii="Times New Roman" w:hAnsi="Times New Roman" w:cs="Times New Roman"/>
                <w:sz w:val="24"/>
                <w:szCs w:val="24"/>
              </w:rPr>
            </w:pPr>
          </w:p>
        </w:tc>
        <w:tc>
          <w:tcPr>
            <w:tcW w:w="661" w:type="pct"/>
            <w:vAlign w:val="center"/>
          </w:tcPr>
          <w:p w14:paraId="7DAB5E50">
            <w:pPr>
              <w:pStyle w:val="23"/>
              <w:snapToGrid w:val="0"/>
              <w:spacing w:line="200" w:lineRule="atLeast"/>
              <w:ind w:firstLine="0"/>
              <w:jc w:val="center"/>
              <w:rPr>
                <w:rFonts w:hint="default" w:ascii="Times New Roman" w:hAnsi="Times New Roman" w:cs="Times New Roman"/>
                <w:sz w:val="24"/>
                <w:szCs w:val="24"/>
              </w:rPr>
            </w:pPr>
          </w:p>
        </w:tc>
      </w:tr>
      <w:tr w14:paraId="3833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Align w:val="center"/>
          </w:tcPr>
          <w:p w14:paraId="7FE8A723">
            <w:pPr>
              <w:spacing w:line="240" w:lineRule="exact"/>
              <w:jc w:val="center"/>
              <w:rPr>
                <w:rFonts w:hint="default" w:ascii="Times New Roman" w:hAnsi="Times New Roman" w:cs="Times New Roman"/>
                <w:sz w:val="24"/>
                <w:szCs w:val="24"/>
              </w:rPr>
            </w:pPr>
            <w:r>
              <w:rPr>
                <w:rFonts w:hint="default" w:ascii="Times New Roman" w:hAnsi="Times New Roman" w:cs="Times New Roman"/>
                <w:sz w:val="24"/>
                <w:szCs w:val="24"/>
              </w:rPr>
              <w:t>2</w:t>
            </w:r>
          </w:p>
        </w:tc>
        <w:tc>
          <w:tcPr>
            <w:tcW w:w="2088" w:type="pct"/>
            <w:vAlign w:val="center"/>
          </w:tcPr>
          <w:p w14:paraId="0BF3A74B">
            <w:pPr>
              <w:pStyle w:val="37"/>
              <w:rPr>
                <w:rFonts w:hint="default" w:ascii="Times New Roman" w:hAnsi="Times New Roman" w:cs="Times New Roman"/>
                <w:sz w:val="24"/>
                <w:szCs w:val="24"/>
              </w:rPr>
            </w:pPr>
            <w:r>
              <w:rPr>
                <w:rFonts w:hint="default" w:ascii="Times New Roman" w:hAnsi="Times New Roman" w:cs="Times New Roman"/>
                <w:sz w:val="24"/>
                <w:szCs w:val="24"/>
              </w:rPr>
              <w:t xml:space="preserve">Выключатель одноклавишный наружный,пластик, </w:t>
            </w:r>
            <w:r>
              <w:rPr>
                <w:rFonts w:hint="default" w:ascii="Times New Roman" w:hAnsi="Times New Roman" w:cs="Times New Roman"/>
                <w:sz w:val="24"/>
                <w:szCs w:val="24"/>
                <w:lang w:val="en-US"/>
              </w:rPr>
              <w:t>IP</w:t>
            </w:r>
            <w:r>
              <w:rPr>
                <w:rFonts w:hint="default" w:ascii="Times New Roman" w:hAnsi="Times New Roman" w:cs="Times New Roman"/>
                <w:sz w:val="24"/>
                <w:szCs w:val="24"/>
              </w:rPr>
              <w:t>20,10А,250В</w:t>
            </w:r>
          </w:p>
        </w:tc>
        <w:tc>
          <w:tcPr>
            <w:tcW w:w="446" w:type="pct"/>
            <w:vAlign w:val="center"/>
          </w:tcPr>
          <w:p w14:paraId="52FACCFB">
            <w:pPr>
              <w:rPr>
                <w:rFonts w:hint="default" w:ascii="Times New Roman" w:hAnsi="Times New Roman" w:cs="Times New Roman"/>
                <w:bCs/>
                <w:color w:val="000000"/>
                <w:sz w:val="24"/>
                <w:szCs w:val="24"/>
              </w:rPr>
            </w:pPr>
            <w:r>
              <w:rPr>
                <w:rFonts w:hint="default" w:ascii="Times New Roman" w:hAnsi="Times New Roman" w:cs="Times New Roman"/>
                <w:bCs/>
                <w:color w:val="000000"/>
                <w:sz w:val="24"/>
                <w:szCs w:val="24"/>
                <w:lang w:eastAsia="ar-SA"/>
              </w:rPr>
              <w:t>шт</w:t>
            </w:r>
          </w:p>
        </w:tc>
        <w:tc>
          <w:tcPr>
            <w:tcW w:w="469" w:type="pct"/>
            <w:vAlign w:val="center"/>
          </w:tcPr>
          <w:p w14:paraId="498D03CF">
            <w:pPr>
              <w:pStyle w:val="37"/>
              <w:rPr>
                <w:rFonts w:hint="default" w:ascii="Times New Roman" w:hAnsi="Times New Roman" w:cs="Times New Roman"/>
                <w:color w:val="000000"/>
                <w:sz w:val="24"/>
                <w:szCs w:val="24"/>
              </w:rPr>
            </w:pPr>
            <w:r>
              <w:rPr>
                <w:rFonts w:hint="default" w:ascii="Times New Roman" w:hAnsi="Times New Roman" w:cs="Times New Roman"/>
                <w:sz w:val="24"/>
                <w:szCs w:val="24"/>
              </w:rPr>
              <w:t>30</w:t>
            </w:r>
          </w:p>
        </w:tc>
        <w:tc>
          <w:tcPr>
            <w:tcW w:w="885" w:type="pct"/>
            <w:vAlign w:val="center"/>
          </w:tcPr>
          <w:p w14:paraId="64C8FDC6">
            <w:pPr>
              <w:pStyle w:val="23"/>
              <w:snapToGrid w:val="0"/>
              <w:spacing w:line="200" w:lineRule="atLeast"/>
              <w:ind w:firstLine="0"/>
              <w:jc w:val="center"/>
              <w:rPr>
                <w:rFonts w:hint="default" w:ascii="Times New Roman" w:hAnsi="Times New Roman" w:cs="Times New Roman"/>
                <w:sz w:val="24"/>
                <w:szCs w:val="24"/>
              </w:rPr>
            </w:pPr>
          </w:p>
        </w:tc>
        <w:tc>
          <w:tcPr>
            <w:tcW w:w="661" w:type="pct"/>
            <w:vAlign w:val="center"/>
          </w:tcPr>
          <w:p w14:paraId="53FBDB5E">
            <w:pPr>
              <w:pStyle w:val="23"/>
              <w:snapToGrid w:val="0"/>
              <w:spacing w:line="200" w:lineRule="atLeast"/>
              <w:ind w:firstLine="0"/>
              <w:jc w:val="center"/>
              <w:rPr>
                <w:rFonts w:hint="default" w:ascii="Times New Roman" w:hAnsi="Times New Roman" w:cs="Times New Roman"/>
                <w:sz w:val="24"/>
                <w:szCs w:val="24"/>
              </w:rPr>
            </w:pPr>
          </w:p>
        </w:tc>
      </w:tr>
      <w:tr w14:paraId="29BA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Align w:val="center"/>
          </w:tcPr>
          <w:p w14:paraId="187E5885">
            <w:pPr>
              <w:spacing w:line="240" w:lineRule="exact"/>
              <w:jc w:val="center"/>
              <w:rPr>
                <w:rFonts w:hint="default" w:ascii="Times New Roman" w:hAnsi="Times New Roman" w:cs="Times New Roman"/>
                <w:sz w:val="24"/>
                <w:szCs w:val="24"/>
              </w:rPr>
            </w:pPr>
            <w:r>
              <w:rPr>
                <w:rFonts w:hint="default" w:ascii="Times New Roman" w:hAnsi="Times New Roman" w:cs="Times New Roman"/>
                <w:sz w:val="24"/>
                <w:szCs w:val="24"/>
              </w:rPr>
              <w:t>3</w:t>
            </w:r>
          </w:p>
        </w:tc>
        <w:tc>
          <w:tcPr>
            <w:tcW w:w="2088" w:type="pct"/>
            <w:vAlign w:val="center"/>
          </w:tcPr>
          <w:p w14:paraId="469DAFD0">
            <w:pPr>
              <w:pStyle w:val="37"/>
              <w:rPr>
                <w:rFonts w:hint="default" w:ascii="Times New Roman" w:hAnsi="Times New Roman" w:cs="Times New Roman"/>
                <w:sz w:val="24"/>
                <w:szCs w:val="24"/>
              </w:rPr>
            </w:pPr>
            <w:r>
              <w:rPr>
                <w:rFonts w:hint="default" w:ascii="Times New Roman" w:hAnsi="Times New Roman" w:cs="Times New Roman"/>
                <w:sz w:val="24"/>
                <w:szCs w:val="24"/>
              </w:rPr>
              <w:t xml:space="preserve">Выключатель двухклавишный наружныйпластик, </w:t>
            </w:r>
            <w:r>
              <w:rPr>
                <w:rFonts w:hint="default" w:ascii="Times New Roman" w:hAnsi="Times New Roman" w:cs="Times New Roman"/>
                <w:sz w:val="24"/>
                <w:szCs w:val="24"/>
                <w:lang w:val="en-US"/>
              </w:rPr>
              <w:t>IP</w:t>
            </w:r>
            <w:r>
              <w:rPr>
                <w:rFonts w:hint="default" w:ascii="Times New Roman" w:hAnsi="Times New Roman" w:cs="Times New Roman"/>
                <w:sz w:val="24"/>
                <w:szCs w:val="24"/>
              </w:rPr>
              <w:t>20,10А,250В</w:t>
            </w:r>
          </w:p>
        </w:tc>
        <w:tc>
          <w:tcPr>
            <w:tcW w:w="446" w:type="pct"/>
            <w:vAlign w:val="center"/>
          </w:tcPr>
          <w:p w14:paraId="4D0C1FDB">
            <w:pPr>
              <w:rPr>
                <w:rFonts w:hint="default" w:ascii="Times New Roman" w:hAnsi="Times New Roman" w:cs="Times New Roman"/>
                <w:bCs/>
                <w:color w:val="000000"/>
                <w:sz w:val="24"/>
                <w:szCs w:val="24"/>
              </w:rPr>
            </w:pPr>
            <w:r>
              <w:rPr>
                <w:rFonts w:hint="default" w:ascii="Times New Roman" w:hAnsi="Times New Roman" w:cs="Times New Roman"/>
                <w:bCs/>
                <w:color w:val="000000"/>
                <w:sz w:val="24"/>
                <w:szCs w:val="24"/>
                <w:lang w:eastAsia="ar-SA"/>
              </w:rPr>
              <w:t>шт</w:t>
            </w:r>
          </w:p>
        </w:tc>
        <w:tc>
          <w:tcPr>
            <w:tcW w:w="469" w:type="pct"/>
            <w:vAlign w:val="center"/>
          </w:tcPr>
          <w:p w14:paraId="2935132E">
            <w:pPr>
              <w:pStyle w:val="37"/>
              <w:rPr>
                <w:rFonts w:hint="default" w:ascii="Times New Roman" w:hAnsi="Times New Roman" w:cs="Times New Roman"/>
                <w:color w:val="000000"/>
                <w:sz w:val="24"/>
                <w:szCs w:val="24"/>
              </w:rPr>
            </w:pPr>
            <w:r>
              <w:rPr>
                <w:rFonts w:hint="default" w:ascii="Times New Roman" w:hAnsi="Times New Roman" w:cs="Times New Roman"/>
                <w:sz w:val="24"/>
                <w:szCs w:val="24"/>
              </w:rPr>
              <w:t>30</w:t>
            </w:r>
          </w:p>
        </w:tc>
        <w:tc>
          <w:tcPr>
            <w:tcW w:w="885" w:type="pct"/>
            <w:vAlign w:val="center"/>
          </w:tcPr>
          <w:p w14:paraId="42470172">
            <w:pPr>
              <w:pStyle w:val="23"/>
              <w:snapToGrid w:val="0"/>
              <w:spacing w:line="200" w:lineRule="atLeast"/>
              <w:ind w:firstLine="0"/>
              <w:jc w:val="center"/>
              <w:rPr>
                <w:rFonts w:hint="default" w:ascii="Times New Roman" w:hAnsi="Times New Roman" w:cs="Times New Roman"/>
                <w:sz w:val="24"/>
                <w:szCs w:val="24"/>
              </w:rPr>
            </w:pPr>
          </w:p>
        </w:tc>
        <w:tc>
          <w:tcPr>
            <w:tcW w:w="661" w:type="pct"/>
            <w:vAlign w:val="center"/>
          </w:tcPr>
          <w:p w14:paraId="5643C7AC">
            <w:pPr>
              <w:pStyle w:val="23"/>
              <w:snapToGrid w:val="0"/>
              <w:spacing w:line="200" w:lineRule="atLeast"/>
              <w:ind w:firstLine="0"/>
              <w:jc w:val="center"/>
              <w:rPr>
                <w:rFonts w:hint="default" w:ascii="Times New Roman" w:hAnsi="Times New Roman" w:cs="Times New Roman"/>
                <w:sz w:val="24"/>
                <w:szCs w:val="24"/>
              </w:rPr>
            </w:pPr>
          </w:p>
        </w:tc>
      </w:tr>
      <w:tr w14:paraId="1ABB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Align w:val="center"/>
          </w:tcPr>
          <w:p w14:paraId="0C1AF4AA">
            <w:pPr>
              <w:spacing w:line="240" w:lineRule="exact"/>
              <w:jc w:val="center"/>
              <w:rPr>
                <w:rFonts w:hint="default" w:ascii="Times New Roman" w:hAnsi="Times New Roman" w:cs="Times New Roman"/>
                <w:sz w:val="24"/>
                <w:szCs w:val="24"/>
              </w:rPr>
            </w:pPr>
            <w:r>
              <w:rPr>
                <w:rFonts w:hint="default" w:ascii="Times New Roman" w:hAnsi="Times New Roman" w:cs="Times New Roman"/>
                <w:sz w:val="24"/>
                <w:szCs w:val="24"/>
              </w:rPr>
              <w:t>4</w:t>
            </w:r>
          </w:p>
        </w:tc>
        <w:tc>
          <w:tcPr>
            <w:tcW w:w="2088" w:type="pct"/>
            <w:vAlign w:val="center"/>
          </w:tcPr>
          <w:p w14:paraId="596E9557">
            <w:pPr>
              <w:pStyle w:val="37"/>
              <w:rPr>
                <w:rFonts w:hint="default" w:ascii="Times New Roman" w:hAnsi="Times New Roman" w:cs="Times New Roman"/>
                <w:sz w:val="24"/>
                <w:szCs w:val="24"/>
              </w:rPr>
            </w:pPr>
            <w:r>
              <w:rPr>
                <w:rFonts w:hint="default" w:ascii="Times New Roman" w:hAnsi="Times New Roman" w:cs="Times New Roman"/>
                <w:sz w:val="24"/>
                <w:szCs w:val="24"/>
                <w:lang w:val="en-US"/>
              </w:rPr>
              <w:t>DIN</w:t>
            </w:r>
            <w:r>
              <w:rPr>
                <w:rFonts w:hint="default" w:ascii="Times New Roman" w:hAnsi="Times New Roman" w:cs="Times New Roman"/>
                <w:sz w:val="24"/>
                <w:szCs w:val="24"/>
              </w:rPr>
              <w:t>-рейка перфорированная, оцинкованная,</w:t>
            </w:r>
          </w:p>
          <w:p w14:paraId="6359B1D7">
            <w:pPr>
              <w:pStyle w:val="37"/>
              <w:rPr>
                <w:rFonts w:hint="default" w:ascii="Times New Roman" w:hAnsi="Times New Roman" w:cs="Times New Roman"/>
                <w:sz w:val="24"/>
                <w:szCs w:val="24"/>
              </w:rPr>
            </w:pPr>
            <w:r>
              <w:rPr>
                <w:rFonts w:hint="default" w:ascii="Times New Roman" w:hAnsi="Times New Roman" w:cs="Times New Roman"/>
                <w:sz w:val="24"/>
                <w:szCs w:val="24"/>
              </w:rPr>
              <w:t>30 см, тип-омега,толщина-0,8 мм</w:t>
            </w:r>
          </w:p>
        </w:tc>
        <w:tc>
          <w:tcPr>
            <w:tcW w:w="446" w:type="pct"/>
            <w:vAlign w:val="center"/>
          </w:tcPr>
          <w:p w14:paraId="7A87D0CE">
            <w:pPr>
              <w:rPr>
                <w:rFonts w:hint="default" w:ascii="Times New Roman" w:hAnsi="Times New Roman" w:cs="Times New Roman"/>
                <w:bCs/>
                <w:color w:val="000000"/>
                <w:sz w:val="24"/>
                <w:szCs w:val="24"/>
              </w:rPr>
            </w:pPr>
            <w:r>
              <w:rPr>
                <w:rFonts w:hint="default" w:ascii="Times New Roman" w:hAnsi="Times New Roman" w:cs="Times New Roman"/>
                <w:bCs/>
                <w:color w:val="000000"/>
                <w:sz w:val="24"/>
                <w:szCs w:val="24"/>
                <w:lang w:eastAsia="ar-SA"/>
              </w:rPr>
              <w:t>шт</w:t>
            </w:r>
          </w:p>
        </w:tc>
        <w:tc>
          <w:tcPr>
            <w:tcW w:w="469" w:type="pct"/>
            <w:vAlign w:val="center"/>
          </w:tcPr>
          <w:p w14:paraId="2B2AD474">
            <w:pPr>
              <w:pStyle w:val="37"/>
              <w:rPr>
                <w:rFonts w:hint="default" w:ascii="Times New Roman" w:hAnsi="Times New Roman" w:cs="Times New Roman"/>
                <w:color w:val="000000"/>
                <w:sz w:val="24"/>
                <w:szCs w:val="24"/>
              </w:rPr>
            </w:pPr>
            <w:r>
              <w:rPr>
                <w:rFonts w:hint="default" w:ascii="Times New Roman" w:hAnsi="Times New Roman" w:cs="Times New Roman"/>
                <w:sz w:val="24"/>
                <w:szCs w:val="24"/>
              </w:rPr>
              <w:t>10</w:t>
            </w:r>
          </w:p>
        </w:tc>
        <w:tc>
          <w:tcPr>
            <w:tcW w:w="885" w:type="pct"/>
            <w:vAlign w:val="center"/>
          </w:tcPr>
          <w:p w14:paraId="740F44F2">
            <w:pPr>
              <w:pStyle w:val="23"/>
              <w:snapToGrid w:val="0"/>
              <w:spacing w:line="200" w:lineRule="atLeast"/>
              <w:ind w:firstLine="0"/>
              <w:jc w:val="center"/>
              <w:rPr>
                <w:rFonts w:hint="default" w:ascii="Times New Roman" w:hAnsi="Times New Roman" w:cs="Times New Roman"/>
                <w:sz w:val="24"/>
                <w:szCs w:val="24"/>
              </w:rPr>
            </w:pPr>
          </w:p>
        </w:tc>
        <w:tc>
          <w:tcPr>
            <w:tcW w:w="661" w:type="pct"/>
            <w:vAlign w:val="center"/>
          </w:tcPr>
          <w:p w14:paraId="2F7A65AB">
            <w:pPr>
              <w:pStyle w:val="23"/>
              <w:snapToGrid w:val="0"/>
              <w:spacing w:line="200" w:lineRule="atLeast"/>
              <w:ind w:firstLine="0"/>
              <w:jc w:val="center"/>
              <w:rPr>
                <w:rFonts w:hint="default" w:ascii="Times New Roman" w:hAnsi="Times New Roman" w:cs="Times New Roman"/>
                <w:sz w:val="24"/>
                <w:szCs w:val="24"/>
              </w:rPr>
            </w:pPr>
          </w:p>
        </w:tc>
      </w:tr>
      <w:tr w14:paraId="7E985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Align w:val="center"/>
          </w:tcPr>
          <w:p w14:paraId="4A9403C0">
            <w:pPr>
              <w:spacing w:line="240" w:lineRule="exact"/>
              <w:jc w:val="center"/>
              <w:rPr>
                <w:rFonts w:hint="default" w:ascii="Times New Roman" w:hAnsi="Times New Roman" w:cs="Times New Roman"/>
                <w:sz w:val="24"/>
                <w:szCs w:val="24"/>
              </w:rPr>
            </w:pPr>
            <w:r>
              <w:rPr>
                <w:rFonts w:hint="default" w:ascii="Times New Roman" w:hAnsi="Times New Roman" w:cs="Times New Roman"/>
                <w:sz w:val="24"/>
                <w:szCs w:val="24"/>
              </w:rPr>
              <w:t>5</w:t>
            </w:r>
          </w:p>
        </w:tc>
        <w:tc>
          <w:tcPr>
            <w:tcW w:w="2088" w:type="pct"/>
            <w:vAlign w:val="center"/>
          </w:tcPr>
          <w:p w14:paraId="4210CBCA">
            <w:pPr>
              <w:pStyle w:val="37"/>
              <w:rPr>
                <w:rFonts w:hint="default" w:ascii="Times New Roman" w:hAnsi="Times New Roman" w:cs="Times New Roman"/>
                <w:sz w:val="24"/>
                <w:szCs w:val="24"/>
              </w:rPr>
            </w:pPr>
            <w:r>
              <w:rPr>
                <w:rFonts w:hint="default" w:ascii="Times New Roman" w:hAnsi="Times New Roman" w:cs="Times New Roman"/>
                <w:sz w:val="24"/>
                <w:szCs w:val="24"/>
              </w:rPr>
              <w:t>Набор клеевой термоусадочной трубки №20 (2-сл. клеевая трубка,полиолефин, 100 мм,106 шт)</w:t>
            </w:r>
          </w:p>
        </w:tc>
        <w:tc>
          <w:tcPr>
            <w:tcW w:w="446" w:type="pct"/>
            <w:vAlign w:val="center"/>
          </w:tcPr>
          <w:p w14:paraId="50F7CBD4">
            <w:pPr>
              <w:rPr>
                <w:rFonts w:hint="default" w:ascii="Times New Roman" w:hAnsi="Times New Roman" w:cs="Times New Roman"/>
                <w:bCs/>
                <w:color w:val="000000"/>
                <w:sz w:val="24"/>
                <w:szCs w:val="24"/>
              </w:rPr>
            </w:pPr>
            <w:r>
              <w:rPr>
                <w:rFonts w:hint="default" w:ascii="Times New Roman" w:hAnsi="Times New Roman" w:cs="Times New Roman"/>
                <w:bCs/>
                <w:color w:val="000000"/>
                <w:sz w:val="24"/>
                <w:szCs w:val="24"/>
                <w:lang w:eastAsia="ar-SA"/>
              </w:rPr>
              <w:t>шт</w:t>
            </w:r>
          </w:p>
        </w:tc>
        <w:tc>
          <w:tcPr>
            <w:tcW w:w="469" w:type="pct"/>
            <w:vAlign w:val="center"/>
          </w:tcPr>
          <w:p w14:paraId="06917ABD">
            <w:pPr>
              <w:pStyle w:val="37"/>
              <w:rPr>
                <w:rFonts w:hint="default" w:ascii="Times New Roman" w:hAnsi="Times New Roman" w:cs="Times New Roman"/>
                <w:color w:val="000000"/>
                <w:sz w:val="24"/>
                <w:szCs w:val="24"/>
              </w:rPr>
            </w:pPr>
            <w:r>
              <w:rPr>
                <w:rFonts w:hint="default" w:ascii="Times New Roman" w:hAnsi="Times New Roman" w:cs="Times New Roman"/>
                <w:sz w:val="24"/>
                <w:szCs w:val="24"/>
              </w:rPr>
              <w:t>3</w:t>
            </w:r>
          </w:p>
        </w:tc>
        <w:tc>
          <w:tcPr>
            <w:tcW w:w="885" w:type="pct"/>
            <w:vAlign w:val="center"/>
          </w:tcPr>
          <w:p w14:paraId="4D580C9E">
            <w:pPr>
              <w:pStyle w:val="23"/>
              <w:snapToGrid w:val="0"/>
              <w:spacing w:line="200" w:lineRule="atLeast"/>
              <w:ind w:firstLine="0"/>
              <w:jc w:val="center"/>
              <w:rPr>
                <w:rFonts w:hint="default" w:ascii="Times New Roman" w:hAnsi="Times New Roman" w:cs="Times New Roman"/>
                <w:sz w:val="24"/>
                <w:szCs w:val="24"/>
              </w:rPr>
            </w:pPr>
          </w:p>
        </w:tc>
        <w:tc>
          <w:tcPr>
            <w:tcW w:w="661" w:type="pct"/>
            <w:vAlign w:val="center"/>
          </w:tcPr>
          <w:p w14:paraId="1C5D8658">
            <w:pPr>
              <w:pStyle w:val="23"/>
              <w:snapToGrid w:val="0"/>
              <w:spacing w:line="200" w:lineRule="atLeast"/>
              <w:ind w:firstLine="0"/>
              <w:jc w:val="center"/>
              <w:rPr>
                <w:rFonts w:hint="default" w:ascii="Times New Roman" w:hAnsi="Times New Roman" w:cs="Times New Roman"/>
                <w:sz w:val="24"/>
                <w:szCs w:val="24"/>
              </w:rPr>
            </w:pPr>
          </w:p>
        </w:tc>
      </w:tr>
      <w:tr w14:paraId="4A4C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Align w:val="center"/>
          </w:tcPr>
          <w:p w14:paraId="2AD370AE">
            <w:pPr>
              <w:spacing w:line="240" w:lineRule="exact"/>
              <w:jc w:val="center"/>
              <w:rPr>
                <w:rFonts w:hint="default" w:ascii="Times New Roman" w:hAnsi="Times New Roman" w:cs="Times New Roman"/>
                <w:sz w:val="24"/>
                <w:szCs w:val="24"/>
              </w:rPr>
            </w:pPr>
            <w:r>
              <w:rPr>
                <w:rFonts w:hint="default" w:ascii="Times New Roman" w:hAnsi="Times New Roman" w:cs="Times New Roman"/>
                <w:sz w:val="24"/>
                <w:szCs w:val="24"/>
              </w:rPr>
              <w:t>6</w:t>
            </w:r>
          </w:p>
        </w:tc>
        <w:tc>
          <w:tcPr>
            <w:tcW w:w="2088" w:type="pct"/>
            <w:vAlign w:val="center"/>
          </w:tcPr>
          <w:p w14:paraId="2B817F8C">
            <w:pPr>
              <w:pStyle w:val="37"/>
              <w:rPr>
                <w:rFonts w:hint="default" w:ascii="Times New Roman" w:hAnsi="Times New Roman" w:cs="Times New Roman"/>
                <w:sz w:val="24"/>
                <w:szCs w:val="24"/>
              </w:rPr>
            </w:pPr>
            <w:r>
              <w:rPr>
                <w:rFonts w:hint="default" w:ascii="Times New Roman" w:hAnsi="Times New Roman" w:cs="Times New Roman"/>
                <w:sz w:val="24"/>
                <w:szCs w:val="24"/>
              </w:rPr>
              <w:t>Изолента ПВХ,19мм х 20м,толщина 0,15 мм</w:t>
            </w:r>
          </w:p>
        </w:tc>
        <w:tc>
          <w:tcPr>
            <w:tcW w:w="446" w:type="pct"/>
            <w:vAlign w:val="center"/>
          </w:tcPr>
          <w:p w14:paraId="43B56902">
            <w:pPr>
              <w:rPr>
                <w:rFonts w:hint="default" w:ascii="Times New Roman" w:hAnsi="Times New Roman" w:cs="Times New Roman"/>
                <w:bCs/>
                <w:color w:val="000000"/>
                <w:sz w:val="24"/>
                <w:szCs w:val="24"/>
              </w:rPr>
            </w:pPr>
            <w:r>
              <w:rPr>
                <w:rFonts w:hint="default" w:ascii="Times New Roman" w:hAnsi="Times New Roman" w:cs="Times New Roman"/>
                <w:bCs/>
                <w:color w:val="000000"/>
                <w:sz w:val="24"/>
                <w:szCs w:val="24"/>
                <w:lang w:eastAsia="ar-SA"/>
              </w:rPr>
              <w:t>шт</w:t>
            </w:r>
          </w:p>
        </w:tc>
        <w:tc>
          <w:tcPr>
            <w:tcW w:w="469" w:type="pct"/>
            <w:vAlign w:val="center"/>
          </w:tcPr>
          <w:p w14:paraId="63E2C78E">
            <w:pPr>
              <w:pStyle w:val="37"/>
              <w:rPr>
                <w:rFonts w:hint="default" w:ascii="Times New Roman" w:hAnsi="Times New Roman" w:cs="Times New Roman"/>
                <w:color w:val="000000"/>
                <w:sz w:val="24"/>
                <w:szCs w:val="24"/>
              </w:rPr>
            </w:pPr>
            <w:r>
              <w:rPr>
                <w:rFonts w:hint="default" w:ascii="Times New Roman" w:hAnsi="Times New Roman" w:cs="Times New Roman"/>
                <w:sz w:val="24"/>
                <w:szCs w:val="24"/>
              </w:rPr>
              <w:t>20</w:t>
            </w:r>
          </w:p>
        </w:tc>
        <w:tc>
          <w:tcPr>
            <w:tcW w:w="885" w:type="pct"/>
            <w:vAlign w:val="center"/>
          </w:tcPr>
          <w:p w14:paraId="05AA4798">
            <w:pPr>
              <w:pStyle w:val="23"/>
              <w:snapToGrid w:val="0"/>
              <w:spacing w:line="200" w:lineRule="atLeast"/>
              <w:ind w:firstLine="0"/>
              <w:jc w:val="center"/>
              <w:rPr>
                <w:rFonts w:hint="default" w:ascii="Times New Roman" w:hAnsi="Times New Roman" w:cs="Times New Roman"/>
                <w:sz w:val="24"/>
                <w:szCs w:val="24"/>
              </w:rPr>
            </w:pPr>
          </w:p>
        </w:tc>
        <w:tc>
          <w:tcPr>
            <w:tcW w:w="661" w:type="pct"/>
            <w:vAlign w:val="center"/>
          </w:tcPr>
          <w:p w14:paraId="33AA9D0D">
            <w:pPr>
              <w:pStyle w:val="23"/>
              <w:snapToGrid w:val="0"/>
              <w:spacing w:line="200" w:lineRule="atLeast"/>
              <w:ind w:firstLine="0"/>
              <w:jc w:val="center"/>
              <w:rPr>
                <w:rFonts w:hint="default" w:ascii="Times New Roman" w:hAnsi="Times New Roman" w:cs="Times New Roman"/>
                <w:sz w:val="24"/>
                <w:szCs w:val="24"/>
              </w:rPr>
            </w:pPr>
          </w:p>
        </w:tc>
      </w:tr>
      <w:tr w14:paraId="2D5FD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Align w:val="center"/>
          </w:tcPr>
          <w:p w14:paraId="46845BCE">
            <w:pPr>
              <w:spacing w:line="240" w:lineRule="exact"/>
              <w:jc w:val="center"/>
              <w:rPr>
                <w:rFonts w:hint="default" w:ascii="Times New Roman" w:hAnsi="Times New Roman" w:cs="Times New Roman"/>
                <w:sz w:val="24"/>
                <w:szCs w:val="24"/>
              </w:rPr>
            </w:pPr>
            <w:r>
              <w:rPr>
                <w:rFonts w:hint="default" w:ascii="Times New Roman" w:hAnsi="Times New Roman" w:cs="Times New Roman"/>
                <w:sz w:val="24"/>
                <w:szCs w:val="24"/>
              </w:rPr>
              <w:t>7</w:t>
            </w:r>
          </w:p>
        </w:tc>
        <w:tc>
          <w:tcPr>
            <w:tcW w:w="2088" w:type="pct"/>
            <w:vAlign w:val="center"/>
          </w:tcPr>
          <w:p w14:paraId="73528633">
            <w:pPr>
              <w:suppressAutoHyphens/>
              <w:rPr>
                <w:rFonts w:hint="default" w:ascii="Times New Roman" w:hAnsi="Times New Roman" w:cs="Times New Roman"/>
                <w:sz w:val="24"/>
                <w:szCs w:val="24"/>
              </w:rPr>
            </w:pPr>
            <w:r>
              <w:rPr>
                <w:rFonts w:hint="default" w:ascii="Times New Roman" w:hAnsi="Times New Roman" w:cs="Times New Roman"/>
                <w:sz w:val="24"/>
                <w:szCs w:val="24"/>
                <w:lang w:eastAsia="ar-SA"/>
              </w:rPr>
              <w:t>Труба гофрированная ПВХ d16 мм серая с зондом</w:t>
            </w:r>
          </w:p>
        </w:tc>
        <w:tc>
          <w:tcPr>
            <w:tcW w:w="446" w:type="pct"/>
            <w:vAlign w:val="center"/>
          </w:tcPr>
          <w:p w14:paraId="68BECF89">
            <w:pPr>
              <w:suppressAutoHyphens/>
              <w:rPr>
                <w:rFonts w:hint="default" w:ascii="Times New Roman" w:hAnsi="Times New Roman" w:cs="Times New Roman"/>
                <w:bCs/>
                <w:color w:val="000000"/>
                <w:sz w:val="24"/>
                <w:szCs w:val="24"/>
              </w:rPr>
            </w:pPr>
            <w:r>
              <w:rPr>
                <w:rFonts w:hint="default" w:ascii="Times New Roman" w:hAnsi="Times New Roman" w:cs="Times New Roman"/>
                <w:bCs/>
                <w:color w:val="000000"/>
                <w:sz w:val="24"/>
                <w:szCs w:val="24"/>
                <w:lang w:eastAsia="ar-SA"/>
              </w:rPr>
              <w:t>м</w:t>
            </w:r>
          </w:p>
        </w:tc>
        <w:tc>
          <w:tcPr>
            <w:tcW w:w="469" w:type="pct"/>
            <w:vAlign w:val="center"/>
          </w:tcPr>
          <w:p w14:paraId="09E61EFF">
            <w:pPr>
              <w:suppressAutoHyphens/>
              <w:rPr>
                <w:rFonts w:hint="default" w:ascii="Times New Roman" w:hAnsi="Times New Roman" w:cs="Times New Roman"/>
                <w:color w:val="000000"/>
                <w:sz w:val="24"/>
                <w:szCs w:val="24"/>
              </w:rPr>
            </w:pPr>
            <w:r>
              <w:rPr>
                <w:rFonts w:hint="default" w:ascii="Times New Roman" w:hAnsi="Times New Roman" w:cs="Times New Roman"/>
                <w:color w:val="000000"/>
                <w:sz w:val="24"/>
                <w:szCs w:val="24"/>
                <w:lang w:eastAsia="ar-SA"/>
              </w:rPr>
              <w:t>100</w:t>
            </w:r>
          </w:p>
        </w:tc>
        <w:tc>
          <w:tcPr>
            <w:tcW w:w="885" w:type="pct"/>
            <w:vAlign w:val="center"/>
          </w:tcPr>
          <w:p w14:paraId="5CD9FBEC">
            <w:pPr>
              <w:pStyle w:val="23"/>
              <w:snapToGrid w:val="0"/>
              <w:spacing w:line="200" w:lineRule="atLeast"/>
              <w:ind w:firstLine="0"/>
              <w:jc w:val="center"/>
              <w:rPr>
                <w:rFonts w:hint="default" w:ascii="Times New Roman" w:hAnsi="Times New Roman" w:cs="Times New Roman"/>
                <w:sz w:val="24"/>
                <w:szCs w:val="24"/>
              </w:rPr>
            </w:pPr>
          </w:p>
        </w:tc>
        <w:tc>
          <w:tcPr>
            <w:tcW w:w="661" w:type="pct"/>
            <w:vAlign w:val="center"/>
          </w:tcPr>
          <w:p w14:paraId="73661E68">
            <w:pPr>
              <w:pStyle w:val="23"/>
              <w:snapToGrid w:val="0"/>
              <w:spacing w:line="200" w:lineRule="atLeast"/>
              <w:ind w:firstLine="0"/>
              <w:jc w:val="center"/>
              <w:rPr>
                <w:rFonts w:hint="default" w:ascii="Times New Roman" w:hAnsi="Times New Roman" w:cs="Times New Roman"/>
                <w:sz w:val="24"/>
                <w:szCs w:val="24"/>
              </w:rPr>
            </w:pPr>
          </w:p>
        </w:tc>
      </w:tr>
      <w:tr w14:paraId="621E6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Align w:val="center"/>
          </w:tcPr>
          <w:p w14:paraId="3EA5B7F3">
            <w:pPr>
              <w:spacing w:line="240" w:lineRule="exact"/>
              <w:jc w:val="center"/>
              <w:rPr>
                <w:rFonts w:hint="default" w:ascii="Times New Roman" w:hAnsi="Times New Roman" w:cs="Times New Roman"/>
                <w:sz w:val="24"/>
                <w:szCs w:val="24"/>
              </w:rPr>
            </w:pPr>
            <w:r>
              <w:rPr>
                <w:rFonts w:hint="default" w:ascii="Times New Roman" w:hAnsi="Times New Roman" w:cs="Times New Roman"/>
                <w:sz w:val="24"/>
                <w:szCs w:val="24"/>
              </w:rPr>
              <w:t>8</w:t>
            </w:r>
          </w:p>
        </w:tc>
        <w:tc>
          <w:tcPr>
            <w:tcW w:w="2088" w:type="pct"/>
            <w:vAlign w:val="center"/>
          </w:tcPr>
          <w:p w14:paraId="525267E7">
            <w:pPr>
              <w:suppressAutoHyphens/>
              <w:rPr>
                <w:rFonts w:hint="default" w:ascii="Times New Roman" w:hAnsi="Times New Roman" w:cs="Times New Roman"/>
                <w:sz w:val="24"/>
                <w:szCs w:val="24"/>
              </w:rPr>
            </w:pPr>
            <w:r>
              <w:rPr>
                <w:rFonts w:hint="default" w:ascii="Times New Roman" w:hAnsi="Times New Roman" w:cs="Times New Roman"/>
                <w:sz w:val="24"/>
                <w:szCs w:val="24"/>
                <w:lang w:eastAsia="ar-SA"/>
              </w:rPr>
              <w:t xml:space="preserve">Крепёж-клипса для труб Полистирол d16 мм </w:t>
            </w:r>
          </w:p>
        </w:tc>
        <w:tc>
          <w:tcPr>
            <w:tcW w:w="446" w:type="pct"/>
            <w:vAlign w:val="center"/>
          </w:tcPr>
          <w:p w14:paraId="15D08175">
            <w:pPr>
              <w:suppressAutoHyphens/>
              <w:rPr>
                <w:rFonts w:hint="default" w:ascii="Times New Roman" w:hAnsi="Times New Roman" w:cs="Times New Roman"/>
                <w:bCs/>
                <w:color w:val="000000"/>
                <w:sz w:val="24"/>
                <w:szCs w:val="24"/>
              </w:rPr>
            </w:pPr>
            <w:r>
              <w:rPr>
                <w:rFonts w:hint="default" w:ascii="Times New Roman" w:hAnsi="Times New Roman" w:cs="Times New Roman"/>
                <w:bCs/>
                <w:color w:val="000000"/>
                <w:sz w:val="24"/>
                <w:szCs w:val="24"/>
                <w:lang w:eastAsia="ar-SA"/>
              </w:rPr>
              <w:t>шт</w:t>
            </w:r>
          </w:p>
        </w:tc>
        <w:tc>
          <w:tcPr>
            <w:tcW w:w="469" w:type="pct"/>
            <w:vAlign w:val="center"/>
          </w:tcPr>
          <w:p w14:paraId="784B205E">
            <w:pPr>
              <w:suppressAutoHyphens/>
              <w:rPr>
                <w:rFonts w:hint="default" w:ascii="Times New Roman" w:hAnsi="Times New Roman" w:cs="Times New Roman"/>
                <w:color w:val="000000"/>
                <w:sz w:val="24"/>
                <w:szCs w:val="24"/>
              </w:rPr>
            </w:pPr>
            <w:r>
              <w:rPr>
                <w:rFonts w:hint="default" w:ascii="Times New Roman" w:hAnsi="Times New Roman" w:cs="Times New Roman"/>
                <w:color w:val="000000"/>
                <w:sz w:val="24"/>
                <w:szCs w:val="24"/>
                <w:lang w:eastAsia="ar-SA"/>
              </w:rPr>
              <w:t>100</w:t>
            </w:r>
          </w:p>
        </w:tc>
        <w:tc>
          <w:tcPr>
            <w:tcW w:w="885" w:type="pct"/>
            <w:vAlign w:val="center"/>
          </w:tcPr>
          <w:p w14:paraId="46A1D978">
            <w:pPr>
              <w:pStyle w:val="23"/>
              <w:snapToGrid w:val="0"/>
              <w:spacing w:line="200" w:lineRule="atLeast"/>
              <w:ind w:firstLine="0"/>
              <w:jc w:val="center"/>
              <w:rPr>
                <w:rFonts w:hint="default" w:ascii="Times New Roman" w:hAnsi="Times New Roman" w:cs="Times New Roman"/>
                <w:sz w:val="24"/>
                <w:szCs w:val="24"/>
              </w:rPr>
            </w:pPr>
          </w:p>
        </w:tc>
        <w:tc>
          <w:tcPr>
            <w:tcW w:w="661" w:type="pct"/>
            <w:vAlign w:val="center"/>
          </w:tcPr>
          <w:p w14:paraId="17BFF9F7">
            <w:pPr>
              <w:pStyle w:val="23"/>
              <w:snapToGrid w:val="0"/>
              <w:spacing w:line="200" w:lineRule="atLeast"/>
              <w:ind w:firstLine="0"/>
              <w:jc w:val="center"/>
              <w:rPr>
                <w:rFonts w:hint="default" w:ascii="Times New Roman" w:hAnsi="Times New Roman" w:cs="Times New Roman"/>
                <w:sz w:val="24"/>
                <w:szCs w:val="24"/>
              </w:rPr>
            </w:pPr>
          </w:p>
        </w:tc>
      </w:tr>
      <w:tr w14:paraId="6440E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Align w:val="center"/>
          </w:tcPr>
          <w:p w14:paraId="3F3D8E3E">
            <w:pPr>
              <w:spacing w:line="240" w:lineRule="exact"/>
              <w:jc w:val="center"/>
              <w:rPr>
                <w:rFonts w:hint="default" w:ascii="Times New Roman" w:hAnsi="Times New Roman" w:cs="Times New Roman"/>
                <w:sz w:val="24"/>
                <w:szCs w:val="24"/>
              </w:rPr>
            </w:pPr>
            <w:r>
              <w:rPr>
                <w:rFonts w:hint="default" w:ascii="Times New Roman" w:hAnsi="Times New Roman" w:cs="Times New Roman"/>
                <w:sz w:val="24"/>
                <w:szCs w:val="24"/>
              </w:rPr>
              <w:t>9</w:t>
            </w:r>
          </w:p>
        </w:tc>
        <w:tc>
          <w:tcPr>
            <w:tcW w:w="2088" w:type="pct"/>
            <w:vAlign w:val="center"/>
          </w:tcPr>
          <w:p w14:paraId="359CEB95">
            <w:pPr>
              <w:suppressAutoHyphens/>
              <w:rPr>
                <w:rFonts w:hint="default" w:ascii="Times New Roman" w:hAnsi="Times New Roman" w:cs="Times New Roman"/>
                <w:sz w:val="24"/>
                <w:szCs w:val="24"/>
              </w:rPr>
            </w:pPr>
            <w:r>
              <w:rPr>
                <w:rFonts w:hint="default" w:ascii="Times New Roman" w:hAnsi="Times New Roman" w:cs="Times New Roman"/>
                <w:sz w:val="24"/>
                <w:szCs w:val="24"/>
                <w:lang w:eastAsia="ar-SA"/>
              </w:rPr>
              <w:t xml:space="preserve">Труба гофрированная ПВХ  d25 мм </w:t>
            </w:r>
          </w:p>
        </w:tc>
        <w:tc>
          <w:tcPr>
            <w:tcW w:w="446" w:type="pct"/>
            <w:vAlign w:val="center"/>
          </w:tcPr>
          <w:p w14:paraId="370538F2">
            <w:pPr>
              <w:suppressAutoHyphens/>
              <w:rPr>
                <w:rFonts w:hint="default" w:ascii="Times New Roman" w:hAnsi="Times New Roman" w:cs="Times New Roman"/>
                <w:bCs/>
                <w:color w:val="000000"/>
                <w:sz w:val="24"/>
                <w:szCs w:val="24"/>
              </w:rPr>
            </w:pPr>
            <w:r>
              <w:rPr>
                <w:rFonts w:hint="default" w:ascii="Times New Roman" w:hAnsi="Times New Roman" w:cs="Times New Roman"/>
                <w:bCs/>
                <w:color w:val="000000"/>
                <w:sz w:val="24"/>
                <w:szCs w:val="24"/>
                <w:lang w:eastAsia="ar-SA"/>
              </w:rPr>
              <w:t>м</w:t>
            </w:r>
          </w:p>
        </w:tc>
        <w:tc>
          <w:tcPr>
            <w:tcW w:w="469" w:type="pct"/>
            <w:vAlign w:val="center"/>
          </w:tcPr>
          <w:p w14:paraId="57DFEB37">
            <w:pPr>
              <w:suppressAutoHyphens/>
              <w:rPr>
                <w:rFonts w:hint="default" w:ascii="Times New Roman" w:hAnsi="Times New Roman" w:cs="Times New Roman"/>
                <w:color w:val="000000"/>
                <w:sz w:val="24"/>
                <w:szCs w:val="24"/>
              </w:rPr>
            </w:pPr>
            <w:r>
              <w:rPr>
                <w:rFonts w:hint="default" w:ascii="Times New Roman" w:hAnsi="Times New Roman" w:cs="Times New Roman"/>
                <w:color w:val="000000"/>
                <w:sz w:val="24"/>
                <w:szCs w:val="24"/>
                <w:lang w:eastAsia="ar-SA"/>
              </w:rPr>
              <w:t>100</w:t>
            </w:r>
          </w:p>
        </w:tc>
        <w:tc>
          <w:tcPr>
            <w:tcW w:w="885" w:type="pct"/>
            <w:vAlign w:val="center"/>
          </w:tcPr>
          <w:p w14:paraId="1F1E5CF2">
            <w:pPr>
              <w:pStyle w:val="23"/>
              <w:snapToGrid w:val="0"/>
              <w:spacing w:line="200" w:lineRule="atLeast"/>
              <w:ind w:firstLine="0"/>
              <w:jc w:val="center"/>
              <w:rPr>
                <w:rFonts w:hint="default" w:ascii="Times New Roman" w:hAnsi="Times New Roman" w:cs="Times New Roman"/>
                <w:sz w:val="24"/>
                <w:szCs w:val="24"/>
              </w:rPr>
            </w:pPr>
          </w:p>
        </w:tc>
        <w:tc>
          <w:tcPr>
            <w:tcW w:w="661" w:type="pct"/>
            <w:vAlign w:val="center"/>
          </w:tcPr>
          <w:p w14:paraId="5D72FE42">
            <w:pPr>
              <w:pStyle w:val="23"/>
              <w:snapToGrid w:val="0"/>
              <w:spacing w:line="200" w:lineRule="atLeast"/>
              <w:ind w:firstLine="0"/>
              <w:jc w:val="center"/>
              <w:rPr>
                <w:rFonts w:hint="default" w:ascii="Times New Roman" w:hAnsi="Times New Roman" w:cs="Times New Roman"/>
                <w:sz w:val="24"/>
                <w:szCs w:val="24"/>
              </w:rPr>
            </w:pPr>
          </w:p>
        </w:tc>
      </w:tr>
      <w:tr w14:paraId="769CC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Align w:val="center"/>
          </w:tcPr>
          <w:p w14:paraId="1643EBD3">
            <w:pPr>
              <w:spacing w:line="240" w:lineRule="exact"/>
              <w:jc w:val="center"/>
              <w:rPr>
                <w:rFonts w:hint="default" w:ascii="Times New Roman" w:hAnsi="Times New Roman" w:cs="Times New Roman"/>
                <w:sz w:val="24"/>
                <w:szCs w:val="24"/>
              </w:rPr>
            </w:pPr>
            <w:r>
              <w:rPr>
                <w:rFonts w:hint="default" w:ascii="Times New Roman" w:hAnsi="Times New Roman" w:cs="Times New Roman"/>
                <w:sz w:val="24"/>
                <w:szCs w:val="24"/>
              </w:rPr>
              <w:t>10</w:t>
            </w:r>
          </w:p>
        </w:tc>
        <w:tc>
          <w:tcPr>
            <w:tcW w:w="2088" w:type="pct"/>
            <w:vAlign w:val="center"/>
          </w:tcPr>
          <w:p w14:paraId="6B326A2B">
            <w:pPr>
              <w:suppressAutoHyphens/>
              <w:rPr>
                <w:rFonts w:hint="default" w:ascii="Times New Roman" w:hAnsi="Times New Roman" w:cs="Times New Roman"/>
                <w:sz w:val="24"/>
                <w:szCs w:val="24"/>
              </w:rPr>
            </w:pPr>
            <w:r>
              <w:rPr>
                <w:rFonts w:hint="default" w:ascii="Times New Roman" w:hAnsi="Times New Roman" w:cs="Times New Roman"/>
                <w:sz w:val="24"/>
                <w:szCs w:val="24"/>
                <w:lang w:eastAsia="ar-SA"/>
              </w:rPr>
              <w:t xml:space="preserve">Крепёж-клипса для труб Полистирол d25 мм  </w:t>
            </w:r>
          </w:p>
        </w:tc>
        <w:tc>
          <w:tcPr>
            <w:tcW w:w="446" w:type="pct"/>
            <w:vAlign w:val="center"/>
          </w:tcPr>
          <w:p w14:paraId="2AF8EF2A">
            <w:pPr>
              <w:suppressAutoHyphens/>
              <w:rPr>
                <w:rFonts w:hint="default" w:ascii="Times New Roman" w:hAnsi="Times New Roman" w:cs="Times New Roman"/>
                <w:bCs/>
                <w:color w:val="000000"/>
                <w:sz w:val="24"/>
                <w:szCs w:val="24"/>
              </w:rPr>
            </w:pPr>
            <w:r>
              <w:rPr>
                <w:rFonts w:hint="default" w:ascii="Times New Roman" w:hAnsi="Times New Roman" w:cs="Times New Roman"/>
                <w:bCs/>
                <w:color w:val="000000"/>
                <w:sz w:val="24"/>
                <w:szCs w:val="24"/>
                <w:lang w:eastAsia="ar-SA"/>
              </w:rPr>
              <w:t>шт</w:t>
            </w:r>
          </w:p>
        </w:tc>
        <w:tc>
          <w:tcPr>
            <w:tcW w:w="469" w:type="pct"/>
            <w:vAlign w:val="center"/>
          </w:tcPr>
          <w:p w14:paraId="58DDD31F">
            <w:pPr>
              <w:suppressAutoHyphens/>
              <w:rPr>
                <w:rFonts w:hint="default" w:ascii="Times New Roman" w:hAnsi="Times New Roman" w:cs="Times New Roman"/>
                <w:color w:val="000000"/>
                <w:sz w:val="24"/>
                <w:szCs w:val="24"/>
              </w:rPr>
            </w:pPr>
            <w:r>
              <w:rPr>
                <w:rFonts w:hint="default" w:ascii="Times New Roman" w:hAnsi="Times New Roman" w:cs="Times New Roman"/>
                <w:color w:val="000000"/>
                <w:sz w:val="24"/>
                <w:szCs w:val="24"/>
                <w:lang w:eastAsia="ar-SA"/>
              </w:rPr>
              <w:t>100</w:t>
            </w:r>
          </w:p>
        </w:tc>
        <w:tc>
          <w:tcPr>
            <w:tcW w:w="885" w:type="pct"/>
            <w:vAlign w:val="center"/>
          </w:tcPr>
          <w:p w14:paraId="36F0A64D">
            <w:pPr>
              <w:pStyle w:val="23"/>
              <w:snapToGrid w:val="0"/>
              <w:spacing w:line="200" w:lineRule="atLeast"/>
              <w:ind w:firstLine="0"/>
              <w:jc w:val="center"/>
              <w:rPr>
                <w:rFonts w:hint="default" w:ascii="Times New Roman" w:hAnsi="Times New Roman" w:cs="Times New Roman"/>
                <w:sz w:val="24"/>
                <w:szCs w:val="24"/>
              </w:rPr>
            </w:pPr>
          </w:p>
        </w:tc>
        <w:tc>
          <w:tcPr>
            <w:tcW w:w="661" w:type="pct"/>
            <w:vAlign w:val="center"/>
          </w:tcPr>
          <w:p w14:paraId="64BACA68">
            <w:pPr>
              <w:pStyle w:val="23"/>
              <w:snapToGrid w:val="0"/>
              <w:spacing w:line="200" w:lineRule="atLeast"/>
              <w:ind w:firstLine="0"/>
              <w:jc w:val="center"/>
              <w:rPr>
                <w:rFonts w:hint="default" w:ascii="Times New Roman" w:hAnsi="Times New Roman" w:cs="Times New Roman"/>
                <w:sz w:val="24"/>
                <w:szCs w:val="24"/>
              </w:rPr>
            </w:pPr>
          </w:p>
        </w:tc>
      </w:tr>
    </w:tbl>
    <w:p w14:paraId="381010D2">
      <w:pPr>
        <w:rPr>
          <w:sz w:val="24"/>
          <w:szCs w:val="24"/>
        </w:rPr>
      </w:pPr>
    </w:p>
    <w:tbl>
      <w:tblPr>
        <w:tblStyle w:val="5"/>
        <w:tblW w:w="9356" w:type="dxa"/>
        <w:tblInd w:w="108" w:type="dxa"/>
        <w:tblLayout w:type="fixed"/>
        <w:tblCellMar>
          <w:top w:w="0" w:type="dxa"/>
          <w:left w:w="108" w:type="dxa"/>
          <w:bottom w:w="0" w:type="dxa"/>
          <w:right w:w="108" w:type="dxa"/>
        </w:tblCellMar>
      </w:tblPr>
      <w:tblGrid>
        <w:gridCol w:w="4536"/>
        <w:gridCol w:w="4820"/>
      </w:tblGrid>
      <w:tr w14:paraId="7E3555D2">
        <w:tc>
          <w:tcPr>
            <w:tcW w:w="4536" w:type="dxa"/>
          </w:tcPr>
          <w:p w14:paraId="539E4743">
            <w:pPr>
              <w:rPr>
                <w:rFonts w:cs="Times New Roman"/>
                <w:b/>
                <w:sz w:val="24"/>
                <w:szCs w:val="24"/>
              </w:rPr>
            </w:pPr>
          </w:p>
          <w:p w14:paraId="3FBF635A">
            <w:pPr>
              <w:rPr>
                <w:rFonts w:cs="Times New Roman"/>
                <w:b/>
                <w:sz w:val="24"/>
                <w:szCs w:val="24"/>
              </w:rPr>
            </w:pPr>
            <w:r>
              <w:rPr>
                <w:rFonts w:cs="Times New Roman"/>
                <w:b/>
                <w:sz w:val="24"/>
                <w:szCs w:val="24"/>
              </w:rPr>
              <w:t>Государственный заказчик</w:t>
            </w:r>
          </w:p>
        </w:tc>
        <w:tc>
          <w:tcPr>
            <w:tcW w:w="4820" w:type="dxa"/>
          </w:tcPr>
          <w:p w14:paraId="66377E54">
            <w:pPr>
              <w:rPr>
                <w:rFonts w:cs="Times New Roman"/>
                <w:b/>
                <w:sz w:val="24"/>
                <w:szCs w:val="24"/>
              </w:rPr>
            </w:pPr>
            <w:r>
              <w:rPr>
                <w:rFonts w:cs="Times New Roman"/>
                <w:b/>
                <w:sz w:val="24"/>
                <w:szCs w:val="24"/>
              </w:rPr>
              <w:t xml:space="preserve">     </w:t>
            </w:r>
          </w:p>
          <w:p w14:paraId="0111A472">
            <w:pPr>
              <w:rPr>
                <w:rFonts w:cs="Times New Roman"/>
                <w:b/>
                <w:sz w:val="24"/>
                <w:szCs w:val="24"/>
              </w:rPr>
            </w:pPr>
            <w:r>
              <w:rPr>
                <w:rFonts w:cs="Times New Roman"/>
                <w:b/>
                <w:sz w:val="24"/>
                <w:szCs w:val="24"/>
              </w:rPr>
              <w:t xml:space="preserve">       Поставщик</w:t>
            </w:r>
          </w:p>
        </w:tc>
      </w:tr>
      <w:tr w14:paraId="3B93A917">
        <w:tblPrEx>
          <w:tblCellMar>
            <w:top w:w="0" w:type="dxa"/>
            <w:left w:w="108" w:type="dxa"/>
            <w:bottom w:w="0" w:type="dxa"/>
            <w:right w:w="108" w:type="dxa"/>
          </w:tblCellMar>
        </w:tblPrEx>
        <w:trPr>
          <w:trHeight w:val="577" w:hRule="atLeast"/>
        </w:trPr>
        <w:tc>
          <w:tcPr>
            <w:tcW w:w="4536" w:type="dxa"/>
          </w:tcPr>
          <w:p w14:paraId="114D2AC3">
            <w:pPr>
              <w:rPr>
                <w:sz w:val="24"/>
                <w:szCs w:val="24"/>
              </w:rPr>
            </w:pPr>
            <w:r>
              <w:rPr>
                <w:sz w:val="24"/>
                <w:szCs w:val="24"/>
                <w:lang w:val="ru-RU"/>
              </w:rPr>
              <w:t>Н</w:t>
            </w:r>
            <w:r>
              <w:rPr>
                <w:sz w:val="24"/>
                <w:szCs w:val="24"/>
              </w:rPr>
              <w:t>ачальник ФКУ ИК-17 УФСИН России по Вологодской области</w:t>
            </w:r>
          </w:p>
          <w:p w14:paraId="32270697">
            <w:pPr>
              <w:rPr>
                <w:sz w:val="24"/>
                <w:szCs w:val="24"/>
              </w:rPr>
            </w:pPr>
          </w:p>
          <w:p w14:paraId="2BD81EE7">
            <w:pPr>
              <w:rPr>
                <w:sz w:val="24"/>
                <w:szCs w:val="24"/>
              </w:rPr>
            </w:pPr>
            <w:r>
              <w:rPr>
                <w:sz w:val="24"/>
                <w:szCs w:val="24"/>
              </w:rPr>
              <w:t>____________________  /С.А.Иванов</w:t>
            </w:r>
          </w:p>
        </w:tc>
        <w:tc>
          <w:tcPr>
            <w:tcW w:w="4820" w:type="dxa"/>
          </w:tcPr>
          <w:p w14:paraId="57F2B947">
            <w:pPr>
              <w:rPr>
                <w:rFonts w:cs="Times New Roman"/>
                <w:color w:val="FF0000"/>
                <w:sz w:val="24"/>
                <w:szCs w:val="24"/>
                <w:highlight w:val="yellow"/>
              </w:rPr>
            </w:pPr>
          </w:p>
          <w:p w14:paraId="5ABAA7D3">
            <w:pPr>
              <w:rPr>
                <w:rFonts w:cs="Times New Roman"/>
                <w:sz w:val="24"/>
                <w:szCs w:val="24"/>
                <w:highlight w:val="yellow"/>
              </w:rPr>
            </w:pPr>
          </w:p>
          <w:p w14:paraId="1B04CFE3">
            <w:pPr>
              <w:rPr>
                <w:rFonts w:cs="Times New Roman"/>
                <w:sz w:val="24"/>
                <w:szCs w:val="24"/>
                <w:highlight w:val="yellow"/>
              </w:rPr>
            </w:pPr>
          </w:p>
          <w:p w14:paraId="400DF834">
            <w:pPr>
              <w:ind w:left="318"/>
              <w:rPr>
                <w:rFonts w:cs="Times New Roman"/>
                <w:sz w:val="24"/>
                <w:szCs w:val="24"/>
                <w:highlight w:val="yellow"/>
              </w:rPr>
            </w:pPr>
            <w:r>
              <w:rPr>
                <w:rFonts w:cs="Times New Roman"/>
                <w:sz w:val="24"/>
                <w:szCs w:val="24"/>
                <w:highlight w:val="yellow"/>
              </w:rPr>
              <w:t>__________________/ _________</w:t>
            </w:r>
          </w:p>
        </w:tc>
      </w:tr>
      <w:tr w14:paraId="078DCD37">
        <w:tblPrEx>
          <w:tblCellMar>
            <w:top w:w="0" w:type="dxa"/>
            <w:left w:w="108" w:type="dxa"/>
            <w:bottom w:w="0" w:type="dxa"/>
            <w:right w:w="108" w:type="dxa"/>
          </w:tblCellMar>
        </w:tblPrEx>
        <w:tc>
          <w:tcPr>
            <w:tcW w:w="4536" w:type="dxa"/>
          </w:tcPr>
          <w:p w14:paraId="3CA37D2F">
            <w:pPr>
              <w:rPr>
                <w:sz w:val="24"/>
                <w:szCs w:val="24"/>
              </w:rPr>
            </w:pPr>
            <w:r>
              <w:rPr>
                <w:sz w:val="24"/>
                <w:szCs w:val="24"/>
              </w:rPr>
              <w:t>«__» __________ 202</w:t>
            </w:r>
            <w:r>
              <w:rPr>
                <w:rFonts w:hint="default"/>
                <w:sz w:val="24"/>
                <w:szCs w:val="24"/>
                <w:lang w:val="ru-RU"/>
              </w:rPr>
              <w:t>6</w:t>
            </w:r>
            <w:r>
              <w:rPr>
                <w:sz w:val="24"/>
                <w:szCs w:val="24"/>
              </w:rPr>
              <w:t xml:space="preserve"> г.</w:t>
            </w:r>
          </w:p>
        </w:tc>
        <w:tc>
          <w:tcPr>
            <w:tcW w:w="4820" w:type="dxa"/>
          </w:tcPr>
          <w:p w14:paraId="65662B5F">
            <w:pPr>
              <w:jc w:val="both"/>
              <w:rPr>
                <w:rFonts w:cs="Times New Roman"/>
                <w:sz w:val="24"/>
                <w:szCs w:val="24"/>
                <w:highlight w:val="yellow"/>
              </w:rPr>
            </w:pPr>
            <w:r>
              <w:rPr>
                <w:rFonts w:cs="Times New Roman"/>
                <w:sz w:val="24"/>
                <w:szCs w:val="24"/>
                <w:highlight w:val="yellow"/>
              </w:rPr>
              <w:t xml:space="preserve">     «__» ___________ 202</w:t>
            </w:r>
            <w:r>
              <w:rPr>
                <w:rFonts w:hint="default" w:cs="Times New Roman"/>
                <w:sz w:val="24"/>
                <w:szCs w:val="24"/>
                <w:highlight w:val="yellow"/>
                <w:lang w:val="ru-RU"/>
              </w:rPr>
              <w:t>6</w:t>
            </w:r>
            <w:r>
              <w:rPr>
                <w:rFonts w:cs="Times New Roman"/>
                <w:sz w:val="24"/>
                <w:szCs w:val="24"/>
                <w:highlight w:val="yellow"/>
              </w:rPr>
              <w:t xml:space="preserve"> г.</w:t>
            </w:r>
          </w:p>
        </w:tc>
      </w:tr>
      <w:tr w14:paraId="7A953578">
        <w:tblPrEx>
          <w:tblCellMar>
            <w:top w:w="0" w:type="dxa"/>
            <w:left w:w="108" w:type="dxa"/>
            <w:bottom w:w="0" w:type="dxa"/>
            <w:right w:w="108" w:type="dxa"/>
          </w:tblCellMar>
        </w:tblPrEx>
        <w:tc>
          <w:tcPr>
            <w:tcW w:w="4536" w:type="dxa"/>
          </w:tcPr>
          <w:p w14:paraId="18AD774B">
            <w:pPr>
              <w:rPr>
                <w:sz w:val="24"/>
                <w:szCs w:val="24"/>
              </w:rPr>
            </w:pPr>
            <w:r>
              <w:rPr>
                <w:sz w:val="24"/>
                <w:szCs w:val="24"/>
              </w:rPr>
              <w:t xml:space="preserve">                 МП</w:t>
            </w:r>
          </w:p>
        </w:tc>
        <w:tc>
          <w:tcPr>
            <w:tcW w:w="4820" w:type="dxa"/>
          </w:tcPr>
          <w:p w14:paraId="3192309E">
            <w:pPr>
              <w:rPr>
                <w:rFonts w:cs="Times New Roman"/>
                <w:sz w:val="24"/>
                <w:szCs w:val="24"/>
                <w:highlight w:val="yellow"/>
              </w:rPr>
            </w:pPr>
            <w:r>
              <w:rPr>
                <w:rFonts w:cs="Times New Roman"/>
                <w:sz w:val="24"/>
                <w:szCs w:val="24"/>
                <w:highlight w:val="yellow"/>
              </w:rPr>
              <w:t xml:space="preserve">                         МП</w:t>
            </w:r>
          </w:p>
        </w:tc>
      </w:tr>
    </w:tbl>
    <w:p w14:paraId="48DE2DF7">
      <w:pPr>
        <w:jc w:val="both"/>
        <w:rPr>
          <w:rFonts w:cs="Times New Roman"/>
          <w:sz w:val="20"/>
          <w:szCs w:val="20"/>
        </w:rPr>
      </w:pPr>
    </w:p>
    <w:sectPr>
      <w:pgSz w:w="11905" w:h="16837"/>
      <w:pgMar w:top="709" w:right="850" w:bottom="568" w:left="1701"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Arial">
    <w:panose1 w:val="020B0604020202020204"/>
    <w:charset w:val="CC"/>
    <w:family w:val="swiss"/>
    <w:pitch w:val="default"/>
    <w:sig w:usb0="E0002EFF" w:usb1="C000785B" w:usb2="00000009" w:usb3="00000000" w:csb0="400001FF" w:csb1="FFFF0000"/>
  </w:font>
  <w:font w:name="Lucida Sans Unicode">
    <w:panose1 w:val="020B0602030504020204"/>
    <w:charset w:val="CC"/>
    <w:family w:val="swiss"/>
    <w:pitch w:val="default"/>
    <w:sig w:usb0="80001AFF" w:usb1="0000396B" w:usb2="00000000" w:usb3="00000000" w:csb0="200000BF" w:csb1="D7F7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Cambria">
    <w:panose1 w:val="02040503050406030204"/>
    <w:charset w:val="00"/>
    <w:family w:val="auto"/>
    <w:pitch w:val="default"/>
    <w:sig w:usb0="E00006FF" w:usb1="420024FF" w:usb2="02000000" w:usb3="00000000" w:csb0="2000019F" w:csb1="00000000"/>
  </w:font>
  <w:font w:name="Liberation Serif">
    <w:altName w:val="Times New Roman"/>
    <w:panose1 w:val="00000000000000000000"/>
    <w:charset w:val="00"/>
    <w:family w:val="roman"/>
    <w:pitch w:val="default"/>
    <w:sig w:usb0="00000000" w:usb1="00000000" w:usb2="00000000" w:usb3="00000000" w:csb0="00040001" w:csb1="00000000"/>
  </w:font>
  <w:font w:name="Tahoma">
    <w:panose1 w:val="020B0604030504040204"/>
    <w:charset w:val="CC"/>
    <w:family w:val="swiss"/>
    <w:pitch w:val="default"/>
    <w:sig w:usb0="E1002EFF" w:usb1="C000605B" w:usb2="00000029" w:usb3="00000000" w:csb0="200101FF" w:csb1="20280000"/>
  </w:font>
  <w:font w:name="Lohit Devanagari">
    <w:altName w:val="Calibri"/>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7E1E60"/>
    <w:multiLevelType w:val="multilevel"/>
    <w:tmpl w:val="0B7E1E6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documentProtection w:enforcement="0"/>
  <w:defaultTabStop w:val="708"/>
  <w:drawingGridHorizontalSpacing w:val="0"/>
  <w:drawingGridVerticalSpacing w:val="0"/>
  <w:displayHorizontalDrawingGridEvery w:val="0"/>
  <w:displayVerticalDrawingGridEvery w:val="0"/>
  <w:doNotUseMarginsForDrawingGridOrigin w:val="1"/>
  <w:drawingGridHorizontalOrigin w:val="0"/>
  <w:drawingGridVerticalOrigin w:val="0"/>
  <w:characterSpacingControl w:val="doNotCompress"/>
  <w:compat>
    <w:compatSetting w:name="compatibilityMode" w:uri="http://schemas.microsoft.com/office/word" w:val="12"/>
  </w:compat>
  <w:rsids>
    <w:rsidRoot w:val="004F2836"/>
    <w:rsid w:val="00003139"/>
    <w:rsid w:val="000075DD"/>
    <w:rsid w:val="00011F6D"/>
    <w:rsid w:val="00017BFA"/>
    <w:rsid w:val="00025D22"/>
    <w:rsid w:val="00027F76"/>
    <w:rsid w:val="0003191F"/>
    <w:rsid w:val="000362BD"/>
    <w:rsid w:val="00037E4F"/>
    <w:rsid w:val="000421BE"/>
    <w:rsid w:val="000422B2"/>
    <w:rsid w:val="00043977"/>
    <w:rsid w:val="00044780"/>
    <w:rsid w:val="00055115"/>
    <w:rsid w:val="000636E4"/>
    <w:rsid w:val="00064B0A"/>
    <w:rsid w:val="00066768"/>
    <w:rsid w:val="0008559F"/>
    <w:rsid w:val="00086711"/>
    <w:rsid w:val="000873F8"/>
    <w:rsid w:val="00087A2A"/>
    <w:rsid w:val="00087A69"/>
    <w:rsid w:val="000940EE"/>
    <w:rsid w:val="000A53E7"/>
    <w:rsid w:val="000A6C91"/>
    <w:rsid w:val="000B2B88"/>
    <w:rsid w:val="000C0D40"/>
    <w:rsid w:val="001054E9"/>
    <w:rsid w:val="00107220"/>
    <w:rsid w:val="001125AC"/>
    <w:rsid w:val="00116C07"/>
    <w:rsid w:val="00125E06"/>
    <w:rsid w:val="00133FC7"/>
    <w:rsid w:val="00134247"/>
    <w:rsid w:val="001431F5"/>
    <w:rsid w:val="0014344E"/>
    <w:rsid w:val="00144DDC"/>
    <w:rsid w:val="0014572C"/>
    <w:rsid w:val="00146A45"/>
    <w:rsid w:val="00150F6C"/>
    <w:rsid w:val="001544F0"/>
    <w:rsid w:val="001637F2"/>
    <w:rsid w:val="00172B6A"/>
    <w:rsid w:val="00183C18"/>
    <w:rsid w:val="00186B20"/>
    <w:rsid w:val="00187E6F"/>
    <w:rsid w:val="0019044F"/>
    <w:rsid w:val="00195046"/>
    <w:rsid w:val="00195587"/>
    <w:rsid w:val="001A205D"/>
    <w:rsid w:val="001A2C76"/>
    <w:rsid w:val="001B1E0A"/>
    <w:rsid w:val="001C289A"/>
    <w:rsid w:val="001C4962"/>
    <w:rsid w:val="001C5445"/>
    <w:rsid w:val="001D0C51"/>
    <w:rsid w:val="001E4B9A"/>
    <w:rsid w:val="00204F2F"/>
    <w:rsid w:val="002114D3"/>
    <w:rsid w:val="00211682"/>
    <w:rsid w:val="00217AE3"/>
    <w:rsid w:val="00226B8F"/>
    <w:rsid w:val="002273C9"/>
    <w:rsid w:val="00233DEA"/>
    <w:rsid w:val="00237FFE"/>
    <w:rsid w:val="00240E76"/>
    <w:rsid w:val="002437CC"/>
    <w:rsid w:val="00246E7D"/>
    <w:rsid w:val="002562A7"/>
    <w:rsid w:val="00266874"/>
    <w:rsid w:val="002733A3"/>
    <w:rsid w:val="00276CAC"/>
    <w:rsid w:val="00277315"/>
    <w:rsid w:val="0028581F"/>
    <w:rsid w:val="002959AC"/>
    <w:rsid w:val="002967B9"/>
    <w:rsid w:val="002A1402"/>
    <w:rsid w:val="002A5E83"/>
    <w:rsid w:val="002B2959"/>
    <w:rsid w:val="002B48C6"/>
    <w:rsid w:val="002B624A"/>
    <w:rsid w:val="002C002F"/>
    <w:rsid w:val="002C0998"/>
    <w:rsid w:val="002C0D7A"/>
    <w:rsid w:val="002E4595"/>
    <w:rsid w:val="002F3CC5"/>
    <w:rsid w:val="002F4FF6"/>
    <w:rsid w:val="00300451"/>
    <w:rsid w:val="0030346C"/>
    <w:rsid w:val="00332C15"/>
    <w:rsid w:val="00336A9D"/>
    <w:rsid w:val="00344D68"/>
    <w:rsid w:val="003568ED"/>
    <w:rsid w:val="00363B59"/>
    <w:rsid w:val="00370F50"/>
    <w:rsid w:val="003763E2"/>
    <w:rsid w:val="003810D9"/>
    <w:rsid w:val="00381EB5"/>
    <w:rsid w:val="003A1824"/>
    <w:rsid w:val="003B6259"/>
    <w:rsid w:val="003B6A78"/>
    <w:rsid w:val="003C2B7F"/>
    <w:rsid w:val="003D1788"/>
    <w:rsid w:val="003D1FB7"/>
    <w:rsid w:val="003E366A"/>
    <w:rsid w:val="003E51F3"/>
    <w:rsid w:val="003E53E5"/>
    <w:rsid w:val="003E767F"/>
    <w:rsid w:val="003F5481"/>
    <w:rsid w:val="003F7881"/>
    <w:rsid w:val="0040242B"/>
    <w:rsid w:val="00403964"/>
    <w:rsid w:val="004049A7"/>
    <w:rsid w:val="0040696F"/>
    <w:rsid w:val="0041138F"/>
    <w:rsid w:val="00412A06"/>
    <w:rsid w:val="004261A0"/>
    <w:rsid w:val="004263FA"/>
    <w:rsid w:val="00440B3A"/>
    <w:rsid w:val="00451007"/>
    <w:rsid w:val="004649B9"/>
    <w:rsid w:val="00466118"/>
    <w:rsid w:val="0047715F"/>
    <w:rsid w:val="004825D4"/>
    <w:rsid w:val="004912E6"/>
    <w:rsid w:val="00493CE1"/>
    <w:rsid w:val="00495737"/>
    <w:rsid w:val="004A497B"/>
    <w:rsid w:val="004A4F68"/>
    <w:rsid w:val="004C2D75"/>
    <w:rsid w:val="004C53EE"/>
    <w:rsid w:val="004D0193"/>
    <w:rsid w:val="004D2C25"/>
    <w:rsid w:val="004E0DAB"/>
    <w:rsid w:val="004F1D79"/>
    <w:rsid w:val="004F2836"/>
    <w:rsid w:val="005039D7"/>
    <w:rsid w:val="00513D86"/>
    <w:rsid w:val="00527F2E"/>
    <w:rsid w:val="00531703"/>
    <w:rsid w:val="00554869"/>
    <w:rsid w:val="005561A3"/>
    <w:rsid w:val="00563D49"/>
    <w:rsid w:val="00565562"/>
    <w:rsid w:val="0058026F"/>
    <w:rsid w:val="005856FC"/>
    <w:rsid w:val="0058611D"/>
    <w:rsid w:val="00592196"/>
    <w:rsid w:val="005952C5"/>
    <w:rsid w:val="005964E7"/>
    <w:rsid w:val="005A14B6"/>
    <w:rsid w:val="005A74D7"/>
    <w:rsid w:val="005B4AE6"/>
    <w:rsid w:val="005B5092"/>
    <w:rsid w:val="005B516B"/>
    <w:rsid w:val="005B60F3"/>
    <w:rsid w:val="005B6330"/>
    <w:rsid w:val="005C3C27"/>
    <w:rsid w:val="005C6620"/>
    <w:rsid w:val="005E444D"/>
    <w:rsid w:val="005F4F24"/>
    <w:rsid w:val="00620046"/>
    <w:rsid w:val="0062606A"/>
    <w:rsid w:val="00626878"/>
    <w:rsid w:val="00634170"/>
    <w:rsid w:val="00645537"/>
    <w:rsid w:val="00645AE2"/>
    <w:rsid w:val="00661D42"/>
    <w:rsid w:val="0066776F"/>
    <w:rsid w:val="006708F9"/>
    <w:rsid w:val="00672936"/>
    <w:rsid w:val="00676AD6"/>
    <w:rsid w:val="00677463"/>
    <w:rsid w:val="00686021"/>
    <w:rsid w:val="00687AB4"/>
    <w:rsid w:val="00692124"/>
    <w:rsid w:val="00693E7C"/>
    <w:rsid w:val="006B15E1"/>
    <w:rsid w:val="006B4D8C"/>
    <w:rsid w:val="006C07E6"/>
    <w:rsid w:val="006C0E2D"/>
    <w:rsid w:val="006D14C8"/>
    <w:rsid w:val="006D1DD4"/>
    <w:rsid w:val="006D4BC0"/>
    <w:rsid w:val="006D7697"/>
    <w:rsid w:val="006F1496"/>
    <w:rsid w:val="006F50E3"/>
    <w:rsid w:val="006F67D9"/>
    <w:rsid w:val="00714A31"/>
    <w:rsid w:val="007224B7"/>
    <w:rsid w:val="0073548D"/>
    <w:rsid w:val="00735C25"/>
    <w:rsid w:val="00752724"/>
    <w:rsid w:val="007536D3"/>
    <w:rsid w:val="00761923"/>
    <w:rsid w:val="007819CA"/>
    <w:rsid w:val="007819F8"/>
    <w:rsid w:val="00786A4C"/>
    <w:rsid w:val="00791748"/>
    <w:rsid w:val="0079180C"/>
    <w:rsid w:val="007A0148"/>
    <w:rsid w:val="007A0975"/>
    <w:rsid w:val="007A7471"/>
    <w:rsid w:val="007B3B3C"/>
    <w:rsid w:val="007E005A"/>
    <w:rsid w:val="007E0213"/>
    <w:rsid w:val="007E382D"/>
    <w:rsid w:val="007F1529"/>
    <w:rsid w:val="007F5CF5"/>
    <w:rsid w:val="007F631A"/>
    <w:rsid w:val="008007F4"/>
    <w:rsid w:val="0082028D"/>
    <w:rsid w:val="00826EA4"/>
    <w:rsid w:val="00830980"/>
    <w:rsid w:val="0083355A"/>
    <w:rsid w:val="008425E3"/>
    <w:rsid w:val="00842991"/>
    <w:rsid w:val="008468B7"/>
    <w:rsid w:val="00847FEA"/>
    <w:rsid w:val="00854DE0"/>
    <w:rsid w:val="00866141"/>
    <w:rsid w:val="0087491C"/>
    <w:rsid w:val="00875763"/>
    <w:rsid w:val="008823E4"/>
    <w:rsid w:val="00891CB4"/>
    <w:rsid w:val="00892C54"/>
    <w:rsid w:val="00893979"/>
    <w:rsid w:val="008A4E94"/>
    <w:rsid w:val="008C7577"/>
    <w:rsid w:val="008D25AD"/>
    <w:rsid w:val="009062E2"/>
    <w:rsid w:val="009101FB"/>
    <w:rsid w:val="009105D9"/>
    <w:rsid w:val="00916C83"/>
    <w:rsid w:val="00926393"/>
    <w:rsid w:val="009314B4"/>
    <w:rsid w:val="00932939"/>
    <w:rsid w:val="009331A4"/>
    <w:rsid w:val="00943782"/>
    <w:rsid w:val="0095013E"/>
    <w:rsid w:val="00952010"/>
    <w:rsid w:val="00953CB5"/>
    <w:rsid w:val="009548FF"/>
    <w:rsid w:val="00962E06"/>
    <w:rsid w:val="0097404E"/>
    <w:rsid w:val="0098313B"/>
    <w:rsid w:val="009930BD"/>
    <w:rsid w:val="00995603"/>
    <w:rsid w:val="009A30DE"/>
    <w:rsid w:val="009A3D23"/>
    <w:rsid w:val="009B1286"/>
    <w:rsid w:val="009B40FE"/>
    <w:rsid w:val="009D4E85"/>
    <w:rsid w:val="009E0C6E"/>
    <w:rsid w:val="009E20DA"/>
    <w:rsid w:val="009E708D"/>
    <w:rsid w:val="009F0641"/>
    <w:rsid w:val="009F08BE"/>
    <w:rsid w:val="009F4A66"/>
    <w:rsid w:val="00A11E1D"/>
    <w:rsid w:val="00A171F1"/>
    <w:rsid w:val="00A23ADE"/>
    <w:rsid w:val="00A2594A"/>
    <w:rsid w:val="00A26389"/>
    <w:rsid w:val="00A52D19"/>
    <w:rsid w:val="00A5772F"/>
    <w:rsid w:val="00A6097B"/>
    <w:rsid w:val="00A61C3B"/>
    <w:rsid w:val="00A61FBB"/>
    <w:rsid w:val="00A63E0E"/>
    <w:rsid w:val="00A7114D"/>
    <w:rsid w:val="00A81199"/>
    <w:rsid w:val="00A849C6"/>
    <w:rsid w:val="00A86B49"/>
    <w:rsid w:val="00A8703C"/>
    <w:rsid w:val="00A93DC2"/>
    <w:rsid w:val="00AA3C68"/>
    <w:rsid w:val="00AA563E"/>
    <w:rsid w:val="00AB15D5"/>
    <w:rsid w:val="00AB6B2E"/>
    <w:rsid w:val="00AC5A98"/>
    <w:rsid w:val="00AC695B"/>
    <w:rsid w:val="00AD2F45"/>
    <w:rsid w:val="00AD701D"/>
    <w:rsid w:val="00AE6590"/>
    <w:rsid w:val="00AF594B"/>
    <w:rsid w:val="00B05EE4"/>
    <w:rsid w:val="00B17773"/>
    <w:rsid w:val="00B202A5"/>
    <w:rsid w:val="00B31C9E"/>
    <w:rsid w:val="00B3354B"/>
    <w:rsid w:val="00B342AC"/>
    <w:rsid w:val="00B4008E"/>
    <w:rsid w:val="00B50C59"/>
    <w:rsid w:val="00B6081A"/>
    <w:rsid w:val="00B63ADD"/>
    <w:rsid w:val="00B70A8F"/>
    <w:rsid w:val="00B81585"/>
    <w:rsid w:val="00B81D6D"/>
    <w:rsid w:val="00BA42EA"/>
    <w:rsid w:val="00BB71B6"/>
    <w:rsid w:val="00BC68C3"/>
    <w:rsid w:val="00BD1FAB"/>
    <w:rsid w:val="00BE1830"/>
    <w:rsid w:val="00BE362B"/>
    <w:rsid w:val="00BE5158"/>
    <w:rsid w:val="00BE65A7"/>
    <w:rsid w:val="00BE73E5"/>
    <w:rsid w:val="00BE7666"/>
    <w:rsid w:val="00C05C81"/>
    <w:rsid w:val="00C15443"/>
    <w:rsid w:val="00C161FE"/>
    <w:rsid w:val="00C23C95"/>
    <w:rsid w:val="00C3358B"/>
    <w:rsid w:val="00C33D18"/>
    <w:rsid w:val="00C53468"/>
    <w:rsid w:val="00C53D88"/>
    <w:rsid w:val="00C5655C"/>
    <w:rsid w:val="00C638D6"/>
    <w:rsid w:val="00C668EA"/>
    <w:rsid w:val="00C7583D"/>
    <w:rsid w:val="00C759B1"/>
    <w:rsid w:val="00C87F8C"/>
    <w:rsid w:val="00C970EF"/>
    <w:rsid w:val="00CA2CA3"/>
    <w:rsid w:val="00CA6153"/>
    <w:rsid w:val="00CA6E9E"/>
    <w:rsid w:val="00CB450D"/>
    <w:rsid w:val="00CB623E"/>
    <w:rsid w:val="00CC2E42"/>
    <w:rsid w:val="00CC4224"/>
    <w:rsid w:val="00CD3E25"/>
    <w:rsid w:val="00CE0966"/>
    <w:rsid w:val="00CF1AD6"/>
    <w:rsid w:val="00D01162"/>
    <w:rsid w:val="00D01FF8"/>
    <w:rsid w:val="00D07515"/>
    <w:rsid w:val="00D100F4"/>
    <w:rsid w:val="00D15F62"/>
    <w:rsid w:val="00D208A1"/>
    <w:rsid w:val="00D253AB"/>
    <w:rsid w:val="00D2745E"/>
    <w:rsid w:val="00D2784A"/>
    <w:rsid w:val="00D27D31"/>
    <w:rsid w:val="00D40FE7"/>
    <w:rsid w:val="00D5217D"/>
    <w:rsid w:val="00D60177"/>
    <w:rsid w:val="00D7203D"/>
    <w:rsid w:val="00D840F6"/>
    <w:rsid w:val="00DA5ABE"/>
    <w:rsid w:val="00DB751F"/>
    <w:rsid w:val="00DF53A7"/>
    <w:rsid w:val="00DF6DB5"/>
    <w:rsid w:val="00E016A7"/>
    <w:rsid w:val="00E121C4"/>
    <w:rsid w:val="00E12EBF"/>
    <w:rsid w:val="00E1449C"/>
    <w:rsid w:val="00E15CB6"/>
    <w:rsid w:val="00E17366"/>
    <w:rsid w:val="00E30B26"/>
    <w:rsid w:val="00E33875"/>
    <w:rsid w:val="00E33D92"/>
    <w:rsid w:val="00E4727A"/>
    <w:rsid w:val="00E56F06"/>
    <w:rsid w:val="00E613A5"/>
    <w:rsid w:val="00E65094"/>
    <w:rsid w:val="00E70EE4"/>
    <w:rsid w:val="00E70F1B"/>
    <w:rsid w:val="00E73086"/>
    <w:rsid w:val="00E8705D"/>
    <w:rsid w:val="00E8767D"/>
    <w:rsid w:val="00EB51FB"/>
    <w:rsid w:val="00EC68BC"/>
    <w:rsid w:val="00ED27C5"/>
    <w:rsid w:val="00EE1A4B"/>
    <w:rsid w:val="00EF0139"/>
    <w:rsid w:val="00EF3B48"/>
    <w:rsid w:val="00EF735D"/>
    <w:rsid w:val="00EF7861"/>
    <w:rsid w:val="00EF7D21"/>
    <w:rsid w:val="00F064EF"/>
    <w:rsid w:val="00F106D8"/>
    <w:rsid w:val="00F137E6"/>
    <w:rsid w:val="00F2343F"/>
    <w:rsid w:val="00F23905"/>
    <w:rsid w:val="00F363B8"/>
    <w:rsid w:val="00F3730E"/>
    <w:rsid w:val="00F57B17"/>
    <w:rsid w:val="00F57FBE"/>
    <w:rsid w:val="00F60898"/>
    <w:rsid w:val="00F63A02"/>
    <w:rsid w:val="00F70518"/>
    <w:rsid w:val="00F744B7"/>
    <w:rsid w:val="00F756E7"/>
    <w:rsid w:val="00F81D50"/>
    <w:rsid w:val="00F836E3"/>
    <w:rsid w:val="00F85954"/>
    <w:rsid w:val="00FA01A8"/>
    <w:rsid w:val="00FA4523"/>
    <w:rsid w:val="00FB2493"/>
    <w:rsid w:val="00FD6A47"/>
    <w:rsid w:val="00FE42EF"/>
    <w:rsid w:val="00FF4047"/>
    <w:rsid w:val="00FF6159"/>
    <w:rsid w:val="345D299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iPriority="99" w:semiHidden="0"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atentStyles>
  <w:style w:type="paragraph" w:default="1" w:styleId="1">
    <w:name w:val="Normal"/>
    <w:qFormat/>
    <w:uiPriority w:val="0"/>
    <w:pPr>
      <w:suppressAutoHyphens/>
    </w:pPr>
    <w:rPr>
      <w:rFonts w:ascii="Times New Roman" w:hAnsi="Times New Roman" w:eastAsia="Times New Roman" w:cs="Calibri"/>
      <w:sz w:val="28"/>
      <w:szCs w:val="28"/>
      <w:lang w:val="ru-RU" w:eastAsia="ar-SA" w:bidi="ar-SA"/>
    </w:rPr>
  </w:style>
  <w:style w:type="paragraph" w:styleId="2">
    <w:name w:val="heading 1"/>
    <w:basedOn w:val="1"/>
    <w:next w:val="1"/>
    <w:link w:val="35"/>
    <w:qFormat/>
    <w:uiPriority w:val="9"/>
    <w:pPr>
      <w:keepNext/>
      <w:keepLines/>
      <w:spacing w:before="480"/>
      <w:outlineLvl w:val="0"/>
    </w:pPr>
    <w:rPr>
      <w:rFonts w:asciiTheme="majorHAnsi" w:hAnsiTheme="majorHAnsi" w:eastAsiaTheme="majorEastAsia" w:cstheme="majorBidi"/>
      <w:b/>
      <w:bCs/>
      <w:color w:val="366091" w:themeColor="accent1" w:themeShade="BF"/>
    </w:rPr>
  </w:style>
  <w:style w:type="paragraph" w:styleId="3">
    <w:name w:val="heading 2"/>
    <w:basedOn w:val="1"/>
    <w:link w:val="34"/>
    <w:qFormat/>
    <w:uiPriority w:val="9"/>
    <w:pPr>
      <w:suppressAutoHyphens w:val="0"/>
      <w:spacing w:before="100" w:beforeAutospacing="1" w:after="100" w:afterAutospacing="1"/>
      <w:outlineLvl w:val="1"/>
    </w:pPr>
    <w:rPr>
      <w:rFonts w:cs="Times New Roman"/>
      <w:b/>
      <w:bCs/>
      <w:sz w:val="36"/>
      <w:szCs w:val="36"/>
      <w:lang w:eastAsia="ru-RU"/>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uiPriority w:val="0"/>
    <w:rPr>
      <w:color w:val="0000FF"/>
      <w:u w:val="single"/>
    </w:rPr>
  </w:style>
  <w:style w:type="paragraph" w:styleId="7">
    <w:name w:val="Balloon Text"/>
    <w:basedOn w:val="1"/>
    <w:link w:val="36"/>
    <w:semiHidden/>
    <w:unhideWhenUsed/>
    <w:qFormat/>
    <w:uiPriority w:val="99"/>
    <w:rPr>
      <w:rFonts w:ascii="Tahoma" w:hAnsi="Tahoma" w:cs="Tahoma"/>
      <w:sz w:val="16"/>
      <w:szCs w:val="16"/>
    </w:rPr>
  </w:style>
  <w:style w:type="paragraph" w:styleId="8">
    <w:name w:val="Body Text Indent 3"/>
    <w:basedOn w:val="1"/>
    <w:link w:val="30"/>
    <w:unhideWhenUsed/>
    <w:qFormat/>
    <w:uiPriority w:val="99"/>
    <w:pPr>
      <w:spacing w:after="120"/>
      <w:ind w:left="283"/>
    </w:pPr>
    <w:rPr>
      <w:sz w:val="16"/>
      <w:szCs w:val="16"/>
    </w:rPr>
  </w:style>
  <w:style w:type="paragraph" w:styleId="9">
    <w:name w:val="Body Text"/>
    <w:basedOn w:val="1"/>
    <w:qFormat/>
    <w:uiPriority w:val="0"/>
    <w:pPr>
      <w:spacing w:after="120"/>
    </w:pPr>
  </w:style>
  <w:style w:type="paragraph" w:styleId="10">
    <w:name w:val="Body Text Indent"/>
    <w:basedOn w:val="1"/>
    <w:qFormat/>
    <w:uiPriority w:val="0"/>
    <w:pPr>
      <w:widowControl w:val="0"/>
      <w:shd w:val="clear" w:color="auto" w:fill="FFFFFF"/>
      <w:suppressAutoHyphens w:val="0"/>
      <w:spacing w:after="120"/>
      <w:ind w:left="283" w:firstLine="709"/>
      <w:jc w:val="both"/>
    </w:pPr>
    <w:rPr>
      <w:sz w:val="20"/>
      <w:szCs w:val="20"/>
    </w:rPr>
  </w:style>
  <w:style w:type="paragraph" w:styleId="11">
    <w:name w:val="List"/>
    <w:basedOn w:val="9"/>
    <w:qFormat/>
    <w:uiPriority w:val="0"/>
    <w:rPr>
      <w:rFonts w:ascii="Arial" w:hAnsi="Arial" w:cs="Tahoma"/>
    </w:rPr>
  </w:style>
  <w:style w:type="paragraph" w:styleId="12">
    <w:name w:val="Normal (Web)"/>
    <w:basedOn w:val="1"/>
    <w:qFormat/>
    <w:uiPriority w:val="0"/>
    <w:pPr>
      <w:suppressAutoHyphens w:val="0"/>
      <w:spacing w:before="280" w:after="280"/>
    </w:pPr>
    <w:rPr>
      <w:sz w:val="24"/>
      <w:szCs w:val="24"/>
    </w:rPr>
  </w:style>
  <w:style w:type="character" w:customStyle="1" w:styleId="13">
    <w:name w:val="Absatz-Standardschriftart"/>
    <w:qFormat/>
    <w:uiPriority w:val="0"/>
  </w:style>
  <w:style w:type="character" w:customStyle="1" w:styleId="14">
    <w:name w:val="Основной шрифт абзаца1"/>
    <w:uiPriority w:val="0"/>
  </w:style>
  <w:style w:type="character" w:customStyle="1" w:styleId="15">
    <w:name w:val="ConsPlusNormal Знак"/>
    <w:qFormat/>
    <w:uiPriority w:val="0"/>
    <w:rPr>
      <w:rFonts w:ascii="Arial" w:hAnsi="Arial" w:eastAsia="Arial" w:cs="Arial"/>
      <w:lang w:val="ru-RU" w:eastAsia="ar-SA" w:bidi="ar-SA"/>
    </w:rPr>
  </w:style>
  <w:style w:type="character" w:customStyle="1" w:styleId="16">
    <w:name w:val="Основной текст с отступом 3 Знак"/>
    <w:uiPriority w:val="0"/>
    <w:rPr>
      <w:rFonts w:ascii="Times New Roman" w:hAnsi="Times New Roman" w:eastAsia="Times New Roman" w:cs="Times New Roman"/>
      <w:sz w:val="16"/>
      <w:szCs w:val="16"/>
    </w:rPr>
  </w:style>
  <w:style w:type="character" w:customStyle="1" w:styleId="17">
    <w:name w:val="Основной текст с отступом Знак"/>
    <w:uiPriority w:val="0"/>
    <w:rPr>
      <w:rFonts w:ascii="Times New Roman" w:hAnsi="Times New Roman" w:eastAsia="Times New Roman" w:cs="Times New Roman"/>
      <w:shd w:val="clear" w:color="auto" w:fill="FFFFFF"/>
    </w:rPr>
  </w:style>
  <w:style w:type="character" w:customStyle="1" w:styleId="18">
    <w:name w:val="apple-converted-space"/>
    <w:basedOn w:val="14"/>
    <w:qFormat/>
    <w:uiPriority w:val="0"/>
  </w:style>
  <w:style w:type="character" w:customStyle="1" w:styleId="19">
    <w:name w:val="Символ нумерации"/>
    <w:qFormat/>
    <w:uiPriority w:val="0"/>
  </w:style>
  <w:style w:type="paragraph" w:customStyle="1" w:styleId="20">
    <w:name w:val="Заголовок"/>
    <w:basedOn w:val="1"/>
    <w:next w:val="9"/>
    <w:qFormat/>
    <w:uiPriority w:val="0"/>
    <w:pPr>
      <w:keepNext/>
      <w:spacing w:before="240" w:after="120"/>
    </w:pPr>
    <w:rPr>
      <w:rFonts w:ascii="Arial" w:hAnsi="Arial" w:eastAsia="Lucida Sans Unicode" w:cs="Tahoma"/>
    </w:rPr>
  </w:style>
  <w:style w:type="paragraph" w:customStyle="1" w:styleId="21">
    <w:name w:val="Название1"/>
    <w:basedOn w:val="1"/>
    <w:qFormat/>
    <w:uiPriority w:val="0"/>
    <w:pPr>
      <w:suppressLineNumbers/>
      <w:spacing w:before="120" w:after="120"/>
    </w:pPr>
    <w:rPr>
      <w:rFonts w:ascii="Arial" w:hAnsi="Arial" w:cs="Tahoma"/>
      <w:i/>
      <w:iCs/>
      <w:sz w:val="20"/>
      <w:szCs w:val="24"/>
    </w:rPr>
  </w:style>
  <w:style w:type="paragraph" w:customStyle="1" w:styleId="22">
    <w:name w:val="Указатель1"/>
    <w:basedOn w:val="1"/>
    <w:qFormat/>
    <w:uiPriority w:val="0"/>
    <w:pPr>
      <w:suppressLineNumbers/>
    </w:pPr>
    <w:rPr>
      <w:rFonts w:ascii="Arial" w:hAnsi="Arial" w:cs="Tahoma"/>
    </w:rPr>
  </w:style>
  <w:style w:type="paragraph" w:customStyle="1" w:styleId="23">
    <w:name w:val="ConsPlusNormal"/>
    <w:qFormat/>
    <w:uiPriority w:val="0"/>
    <w:pPr>
      <w:widowControl w:val="0"/>
      <w:suppressAutoHyphens/>
      <w:autoSpaceDE w:val="0"/>
      <w:ind w:firstLine="720"/>
    </w:pPr>
    <w:rPr>
      <w:rFonts w:ascii="Arial" w:hAnsi="Arial" w:eastAsia="Arial" w:cs="Arial"/>
      <w:lang w:val="ru-RU" w:eastAsia="ar-SA" w:bidi="ar-SA"/>
    </w:rPr>
  </w:style>
  <w:style w:type="paragraph" w:customStyle="1" w:styleId="24">
    <w:name w:val="Основной текст с отступом 31"/>
    <w:basedOn w:val="1"/>
    <w:qFormat/>
    <w:uiPriority w:val="0"/>
    <w:pPr>
      <w:suppressAutoHyphens w:val="0"/>
      <w:spacing w:after="120"/>
      <w:ind w:left="283"/>
    </w:pPr>
    <w:rPr>
      <w:sz w:val="16"/>
      <w:szCs w:val="16"/>
    </w:rPr>
  </w:style>
  <w:style w:type="paragraph" w:customStyle="1" w:styleId="25">
    <w:name w:val="Обычный7"/>
    <w:qFormat/>
    <w:uiPriority w:val="0"/>
    <w:pPr>
      <w:widowControl w:val="0"/>
      <w:suppressAutoHyphens/>
      <w:spacing w:line="300" w:lineRule="auto"/>
      <w:ind w:firstLine="720"/>
      <w:jc w:val="both"/>
    </w:pPr>
    <w:rPr>
      <w:rFonts w:ascii="Times New Roman" w:hAnsi="Times New Roman" w:eastAsia="Times New Roman" w:cs="Calibri"/>
      <w:sz w:val="24"/>
      <w:lang w:val="ru-RU" w:eastAsia="ar-SA" w:bidi="ar-SA"/>
    </w:rPr>
  </w:style>
  <w:style w:type="paragraph" w:customStyle="1" w:styleId="26">
    <w:name w:val="Содержимое таблицы"/>
    <w:basedOn w:val="1"/>
    <w:qFormat/>
    <w:uiPriority w:val="0"/>
    <w:pPr>
      <w:suppressLineNumbers/>
    </w:pPr>
  </w:style>
  <w:style w:type="paragraph" w:customStyle="1" w:styleId="27">
    <w:name w:val="Заголовок таблицы"/>
    <w:basedOn w:val="26"/>
    <w:qFormat/>
    <w:uiPriority w:val="0"/>
    <w:pPr>
      <w:jc w:val="center"/>
    </w:pPr>
    <w:rPr>
      <w:b/>
      <w:bCs/>
    </w:rPr>
  </w:style>
  <w:style w:type="paragraph" w:styleId="28">
    <w:name w:val="No Spacing"/>
    <w:link w:val="33"/>
    <w:qFormat/>
    <w:uiPriority w:val="1"/>
    <w:rPr>
      <w:rFonts w:ascii="Calibri" w:hAnsi="Calibri" w:eastAsia="Times New Roman" w:cs="Times New Roman"/>
      <w:sz w:val="22"/>
      <w:szCs w:val="22"/>
      <w:lang w:val="ru-RU" w:eastAsia="ru-RU" w:bidi="ar-SA"/>
    </w:rPr>
  </w:style>
  <w:style w:type="paragraph" w:customStyle="1" w:styleId="29">
    <w:name w:val="Обычный4"/>
    <w:uiPriority w:val="0"/>
    <w:pPr>
      <w:widowControl w:val="0"/>
      <w:spacing w:line="300" w:lineRule="auto"/>
      <w:ind w:firstLine="720"/>
      <w:jc w:val="both"/>
    </w:pPr>
    <w:rPr>
      <w:rFonts w:ascii="Times New Roman" w:hAnsi="Times New Roman" w:eastAsia="Times New Roman" w:cs="Times New Roman"/>
      <w:snapToGrid w:val="0"/>
      <w:sz w:val="24"/>
      <w:lang w:val="ru-RU" w:eastAsia="ru-RU" w:bidi="ar-SA"/>
    </w:rPr>
  </w:style>
  <w:style w:type="character" w:customStyle="1" w:styleId="30">
    <w:name w:val="Основной текст с отступом 3 Знак1"/>
    <w:basedOn w:val="4"/>
    <w:link w:val="8"/>
    <w:qFormat/>
    <w:uiPriority w:val="99"/>
    <w:rPr>
      <w:rFonts w:cs="Calibri"/>
      <w:sz w:val="16"/>
      <w:szCs w:val="16"/>
      <w:lang w:eastAsia="ar-SA"/>
    </w:rPr>
  </w:style>
  <w:style w:type="character" w:customStyle="1" w:styleId="31">
    <w:name w:val="Цветовое выделение"/>
    <w:qFormat/>
    <w:uiPriority w:val="0"/>
    <w:rPr>
      <w:b/>
      <w:color w:val="26282F"/>
    </w:rPr>
  </w:style>
  <w:style w:type="character" w:customStyle="1" w:styleId="32">
    <w:name w:val="extended-text__short"/>
    <w:basedOn w:val="4"/>
    <w:qFormat/>
    <w:uiPriority w:val="0"/>
  </w:style>
  <w:style w:type="character" w:customStyle="1" w:styleId="33">
    <w:name w:val="Без интервала Знак"/>
    <w:link w:val="28"/>
    <w:qFormat/>
    <w:locked/>
    <w:uiPriority w:val="1"/>
    <w:rPr>
      <w:rFonts w:ascii="Calibri" w:hAnsi="Calibri"/>
      <w:sz w:val="22"/>
      <w:szCs w:val="22"/>
    </w:rPr>
  </w:style>
  <w:style w:type="character" w:customStyle="1" w:styleId="34">
    <w:name w:val="Заголовок 2 Знак"/>
    <w:basedOn w:val="4"/>
    <w:link w:val="3"/>
    <w:qFormat/>
    <w:uiPriority w:val="9"/>
    <w:rPr>
      <w:b/>
      <w:bCs/>
      <w:sz w:val="36"/>
      <w:szCs w:val="36"/>
    </w:rPr>
  </w:style>
  <w:style w:type="character" w:customStyle="1" w:styleId="35">
    <w:name w:val="Заголовок 1 Знак"/>
    <w:basedOn w:val="4"/>
    <w:link w:val="2"/>
    <w:uiPriority w:val="9"/>
    <w:rPr>
      <w:rFonts w:asciiTheme="majorHAnsi" w:hAnsiTheme="majorHAnsi" w:eastAsiaTheme="majorEastAsia" w:cstheme="majorBidi"/>
      <w:b/>
      <w:bCs/>
      <w:color w:val="366091" w:themeColor="accent1" w:themeShade="BF"/>
      <w:sz w:val="28"/>
      <w:szCs w:val="28"/>
      <w:lang w:eastAsia="ar-SA"/>
    </w:rPr>
  </w:style>
  <w:style w:type="character" w:customStyle="1" w:styleId="36">
    <w:name w:val="Текст выноски Знак"/>
    <w:basedOn w:val="4"/>
    <w:link w:val="7"/>
    <w:semiHidden/>
    <w:uiPriority w:val="99"/>
    <w:rPr>
      <w:rFonts w:ascii="Tahoma" w:hAnsi="Tahoma" w:cs="Tahoma"/>
      <w:sz w:val="16"/>
      <w:szCs w:val="16"/>
      <w:lang w:eastAsia="ar-SA"/>
    </w:rPr>
  </w:style>
  <w:style w:type="paragraph" w:customStyle="1" w:styleId="37">
    <w:name w:val="Standard"/>
    <w:qFormat/>
    <w:uiPriority w:val="0"/>
    <w:pPr>
      <w:suppressAutoHyphens/>
      <w:autoSpaceDN w:val="0"/>
      <w:textAlignment w:val="baseline"/>
    </w:pPr>
    <w:rPr>
      <w:rFonts w:ascii="Liberation Serif" w:hAnsi="Liberation Serif" w:eastAsia="Tahoma" w:cs="Lohit Devanagari"/>
      <w:kern w:val="3"/>
      <w:sz w:val="24"/>
      <w:szCs w:val="24"/>
      <w:lang w:val="ru-RU" w:eastAsia="zh-CN" w:bidi="hi-I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iskoj</Company>
  <Pages>9</Pages>
  <Words>3329</Words>
  <Characters>23999</Characters>
  <Lines>198</Lines>
  <Paragraphs>55</Paragraphs>
  <TotalTime>1</TotalTime>
  <ScaleCrop>false</ScaleCrop>
  <LinksUpToDate>false</LinksUpToDate>
  <CharactersWithSpaces>27338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2020-12-08T14:42:00Z</dcterms:created>
  <dc:creator>Natali</dc:creator>
  <cp:lastModifiedBy>WPS_1779108803</cp:lastModifiedBy>
  <cp:lastPrinted>2022-04-18T07:22:00Z</cp:lastPrinted>
  <dcterms:modified xsi:type="dcterms:W3CDTF">2026-09-28T09:43:39Z</dcterms:modified>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eyJoZGlkIjoiZDQxZTMwOTQ0OGMxZDI2NjNjNzk0MGU5ZWUxMjdkMDkiLCJ1c2VySWQiOiI4MjQ2MzUzMTc2MjIifQ==</vt:lpwstr>
  </property>
  <property fmtid="{D5CDD505-2E9C-101B-9397-08002B2CF9AE}" pid="3" name="KSOProductBuildVer">
    <vt:lpwstr>1049-12.1.0.28485</vt:lpwstr>
  </property>
  <property fmtid="{D5CDD505-2E9C-101B-9397-08002B2CF9AE}" pid="4" name="ICV">
    <vt:lpwstr>808F2401C1584C7699B9398738517CC7_12</vt:lpwstr>
  </property>
</Properties>
</file>