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i/>
        </w:rPr>
      </w:pPr>
      <w:r>
        <w:rPr>
          <w:rFonts w:ascii="Times New Roman" w:hAnsi="Times New Roman" w:eastAsia="Times New Roman" w:cs="Times New Roman"/>
          <w:i/>
        </w:rPr>
        <w:t xml:space="preserve">Проект государственного контракта</w:t>
      </w:r>
      <w:r>
        <w:rPr>
          <w:i/>
        </w:rPr>
      </w:r>
    </w:p>
    <w:p>
      <w:pPr>
        <w:pStyle w:val="624"/>
        <w:ind w:firstLine="567"/>
        <w:jc w:val="center"/>
        <w:spacing w:line="276" w:lineRule="auto"/>
        <w:rPr>
          <w:rFonts w:ascii="Times New Roman" w:hAnsi="Times New Roman" w:eastAsia="Arial Unicode MS" w:cs="Times New Roman"/>
          <w:b/>
          <w:color w:val="000000"/>
          <w:sz w:val="26"/>
          <w:szCs w:val="26"/>
          <w:lang w:eastAsia="ar-SA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Государственный контракт №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________</w:t>
      </w:r>
      <w:r>
        <w:rPr>
          <w:rFonts w:ascii="Times New Roman" w:hAnsi="Times New Roman" w:eastAsia="Arial Unicode MS" w:cs="Times New Roman"/>
          <w:b/>
          <w:color w:val="000000"/>
          <w:sz w:val="26"/>
          <w:szCs w:val="26"/>
          <w:lang w:eastAsia="ar-SA"/>
        </w:rPr>
      </w:r>
    </w:p>
    <w:p>
      <w:pPr>
        <w:jc w:val="center"/>
        <w:rPr>
          <w:rFonts w:ascii="Times New Roman" w:hAnsi="Times New Roman" w:eastAsia="Arial Unicode MS" w:cs="Times New Roman"/>
          <w:b/>
          <w:color w:val="000000"/>
          <w:sz w:val="26"/>
          <w:szCs w:val="26"/>
          <w:lang w:eastAsia="ar-SA"/>
        </w:rPr>
      </w:pPr>
      <w:r>
        <w:rPr>
          <w:rFonts w:ascii="Times New Roman" w:hAnsi="Times New Roman" w:eastAsia="Arial Unicode MS" w:cs="Times New Roman"/>
          <w:b/>
          <w:color w:val="000000"/>
          <w:sz w:val="26"/>
          <w:szCs w:val="26"/>
          <w:lang w:eastAsia="ar-SA"/>
        </w:rPr>
        <w:t xml:space="preserve">на поставку </w:t>
      </w:r>
      <w:r>
        <w:rPr>
          <w:rFonts w:ascii="Times New Roman" w:hAnsi="Times New Roman" w:eastAsia="Arial Unicode MS" w:cs="Times New Roman"/>
          <w:b/>
          <w:color w:val="000000"/>
          <w:sz w:val="26"/>
          <w:szCs w:val="26"/>
          <w:lang w:eastAsia="ar-SA"/>
        </w:rPr>
        <w:t xml:space="preserve">коммутаторов</w:t>
      </w:r>
      <w:r>
        <w:rPr>
          <w:rFonts w:ascii="Times New Roman" w:hAnsi="Times New Roman" w:eastAsia="Arial Unicode MS" w:cs="Times New Roman"/>
          <w:b/>
          <w:color w:val="000000"/>
          <w:sz w:val="26"/>
          <w:szCs w:val="26"/>
          <w:lang w:eastAsia="ar-SA"/>
        </w:rPr>
      </w:r>
    </w:p>
    <w:p>
      <w:pPr>
        <w:pStyle w:val="624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5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г.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Рязань                                                                                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                  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            __.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__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.2026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г.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7"/>
        <w:ind w:firstLine="426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Управление Федеральной службы по ветеринарному и фитосанитарному надзору по Рязанской и Тамбовской областям</w:t>
      </w:r>
      <w:r>
        <w:rPr>
          <w:rFonts w:ascii="Times New Roman" w:hAnsi="Times New Roman" w:cs="Times New Roman"/>
          <w:sz w:val="25"/>
          <w:szCs w:val="25"/>
        </w:rPr>
        <w:t xml:space="preserve">  в лице заместителя руководителя </w:t>
      </w:r>
      <w:r>
        <w:rPr>
          <w:rFonts w:ascii="Times New Roman" w:hAnsi="Times New Roman" w:cs="Times New Roman"/>
          <w:sz w:val="25"/>
          <w:szCs w:val="25"/>
        </w:rPr>
        <w:t xml:space="preserve">Степашкиной Ольги Сергеевны, действующей</w:t>
      </w:r>
      <w:r>
        <w:rPr>
          <w:rFonts w:ascii="Times New Roman" w:hAnsi="Times New Roman" w:cs="Times New Roman"/>
          <w:sz w:val="25"/>
          <w:szCs w:val="25"/>
        </w:rPr>
        <w:t xml:space="preserve"> на основании доверенности </w:t>
      </w:r>
      <w:r>
        <w:rPr>
          <w:rFonts w:ascii="Times New Roman" w:hAnsi="Times New Roman" w:cs="Times New Roman"/>
          <w:sz w:val="25"/>
          <w:szCs w:val="25"/>
        </w:rPr>
        <w:t xml:space="preserve">УФС-Н-02/26 от 12.01.2026</w:t>
      </w:r>
      <w:r>
        <w:rPr>
          <w:rFonts w:ascii="Times New Roman" w:hAnsi="Times New Roman" w:cs="Times New Roman"/>
          <w:sz w:val="25"/>
          <w:szCs w:val="25"/>
        </w:rPr>
        <w:t xml:space="preserve"> года,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с одной стороны и </w:t>
      </w:r>
      <w:r>
        <w:rPr>
          <w:rFonts w:ascii="Times New Roman" w:hAnsi="Times New Roman" w:cs="Times New Roman"/>
          <w:sz w:val="25"/>
          <w:szCs w:val="25"/>
          <w:lang w:eastAsia="en-US"/>
        </w:rPr>
        <w:t xml:space="preserve">_____________________, именуемый в дальнейшем «Поставщик», в лице _______________________ действующе</w:t>
      </w:r>
      <w:r>
        <w:rPr>
          <w:rFonts w:ascii="Times New Roman" w:hAnsi="Times New Roman" w:cs="Times New Roman"/>
          <w:sz w:val="25"/>
          <w:szCs w:val="25"/>
          <w:lang w:eastAsia="en-US"/>
        </w:rPr>
        <w:t xml:space="preserve">го</w:t>
      </w:r>
      <w:r>
        <w:rPr>
          <w:rFonts w:ascii="Times New Roman" w:hAnsi="Times New Roman" w:cs="Times New Roman"/>
          <w:sz w:val="25"/>
          <w:szCs w:val="25"/>
          <w:lang w:eastAsia="en-US"/>
        </w:rPr>
        <w:t xml:space="preserve"> на основании __________________ </w:t>
      </w:r>
      <w:r>
        <w:rPr>
          <w:rFonts w:ascii="Times New Roman" w:hAnsi="Times New Roman" w:cs="Times New Roman"/>
          <w:sz w:val="25"/>
          <w:szCs w:val="25"/>
        </w:rPr>
        <w:t xml:space="preserve">с другой стороны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, совместно именуемые «Стороны», </w:t>
      </w:r>
      <w:r>
        <w:rPr>
          <w:rFonts w:ascii="Times New Roman" w:hAnsi="Times New Roman" w:cs="Times New Roman"/>
          <w:sz w:val="25"/>
          <w:szCs w:val="25"/>
        </w:rPr>
        <w:t xml:space="preserve">на основании состоявшейся закупочной сессии от __________ №</w:t>
      </w:r>
      <w:r>
        <w:rPr>
          <w:rStyle w:val="628"/>
          <w:rFonts w:ascii="Times New Roman" w:hAnsi="Times New Roman" w:cs="Times New Roman"/>
          <w:color w:val="auto"/>
          <w:sz w:val="25"/>
          <w:szCs w:val="25"/>
        </w:rPr>
        <w:t xml:space="preserve">_____________</w:t>
      </w:r>
      <w:r>
        <w:rPr>
          <w:rFonts w:ascii="Times New Roman" w:hAnsi="Times New Roman" w:cs="Times New Roman"/>
          <w:sz w:val="25"/>
          <w:szCs w:val="25"/>
        </w:rPr>
        <w:t xml:space="preserve"> проведённой на Едином </w:t>
      </w:r>
      <w:r>
        <w:rPr>
          <w:rFonts w:ascii="Times New Roman" w:hAnsi="Times New Roman" w:cs="Times New Roman"/>
          <w:sz w:val="25"/>
          <w:szCs w:val="25"/>
        </w:rPr>
        <w:t xml:space="preserve">агрегаторе</w:t>
      </w:r>
      <w:r>
        <w:rPr>
          <w:rFonts w:ascii="Times New Roman" w:hAnsi="Times New Roman" w:cs="Times New Roman"/>
          <w:sz w:val="25"/>
          <w:szCs w:val="25"/>
        </w:rPr>
        <w:t xml:space="preserve"> торговли, в соответствии с п. 4 ч.1 ст. 93 Федерального закона №</w:t>
      </w:r>
      <w:r>
        <w:rPr>
          <w:rFonts w:ascii="Times New Roman" w:hAnsi="Times New Roman" w:cs="Times New Roman"/>
          <w:sz w:val="25"/>
          <w:szCs w:val="25"/>
        </w:rPr>
        <w:t xml:space="preserve"> 44-ФЗ от 05.04.2013 г. </w:t>
      </w:r>
      <w:r>
        <w:rPr>
          <w:rFonts w:ascii="Times New Roman" w:hAnsi="Times New Roman" w:cs="Times New Roman"/>
          <w:sz w:val="25"/>
          <w:szCs w:val="25"/>
        </w:rPr>
        <w:t xml:space="preserve">заключили настоящий </w:t>
      </w:r>
      <w:r>
        <w:rPr>
          <w:rFonts w:ascii="Times New Roman" w:hAnsi="Times New Roman" w:cs="Times New Roman"/>
          <w:sz w:val="25"/>
          <w:szCs w:val="25"/>
        </w:rPr>
        <w:t xml:space="preserve">Государственный </w:t>
      </w:r>
      <w:r>
        <w:rPr>
          <w:rFonts w:ascii="Times New Roman" w:hAnsi="Times New Roman" w:cs="Times New Roman"/>
          <w:sz w:val="25"/>
          <w:szCs w:val="25"/>
        </w:rPr>
        <w:t xml:space="preserve">Контракт (далее </w:t>
      </w:r>
      <w:r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Контракт) о следующем: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7"/>
        <w:ind w:firstLine="709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jc w:val="center"/>
        <w:spacing w:line="276" w:lineRule="auto"/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1. Предмет 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онтракта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1.1.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Контракт</w:t>
      </w:r>
      <w:r>
        <w:rPr>
          <w:rFonts w:ascii="Times New Roman" w:hAnsi="Times New Roman" w:cs="Times New Roman"/>
          <w:sz w:val="25"/>
          <w:szCs w:val="25"/>
        </w:rPr>
        <w:t xml:space="preserve">ом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Поставщик обязуется в порядке и сроки, предусмотренные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онтрактом, передать Заказчику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коммутаторы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(далее – Товар) в соответствии со Спецификацией (</w:t>
      </w:r>
      <w:hyperlink w:tooltip="#Par365" w:anchor="Par365" w:history="1">
        <w:r>
          <w:rPr>
            <w:rFonts w:ascii="Times New Roman" w:hAnsi="Times New Roman" w:eastAsia="Times New Roman" w:cs="Times New Roman"/>
            <w:sz w:val="25"/>
            <w:szCs w:val="25"/>
          </w:rPr>
          <w:t xml:space="preserve">приложение № 1</w:t>
        </w:r>
      </w:hyperlink>
      <w:r>
        <w:rPr>
          <w:rFonts w:ascii="Times New Roman" w:hAnsi="Times New Roman" w:eastAsia="Times New Roman" w:cs="Times New Roman"/>
          <w:sz w:val="25"/>
          <w:szCs w:val="25"/>
        </w:rPr>
        <w:t xml:space="preserve"> к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онтракту), а Заказчик обязуется в порядке и сроки, предусмотренные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онтрактом, принять и оплатить поставленный Товар.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1.2.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Срок поставки: в течение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5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(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пяти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) рабоч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их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дн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ей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с даты подписания Контракта.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7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/>
      <w:bookmarkStart w:id="0" w:name="Par46"/>
      <w:r/>
      <w:bookmarkEnd w:id="0"/>
      <w:r>
        <w:rPr>
          <w:rFonts w:ascii="Times New Roman" w:hAnsi="Times New Roman" w:eastAsia="Times New Roman" w:cs="Times New Roman"/>
          <w:sz w:val="25"/>
          <w:szCs w:val="25"/>
        </w:rPr>
        <w:t xml:space="preserve">1.3. Поставка Товара осуществляется по адресу заказчика: </w:t>
      </w:r>
      <w:r>
        <w:rPr>
          <w:rFonts w:ascii="Times New Roman" w:hAnsi="Times New Roman" w:cs="Times New Roman"/>
          <w:sz w:val="25"/>
          <w:szCs w:val="25"/>
        </w:rPr>
        <w:t xml:space="preserve">390044, г. Рязань, ул. Костычева, д. 17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(далее – Место доставки)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с разгрузкой на 3 этаж. Погрузочно-разгрузочные работы производятся Поставщиком.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7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jc w:val="center"/>
        <w:spacing w:line="276" w:lineRule="auto"/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2. Цена контракта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2.1. Цена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онтракта и валюта платежа устанавливаются в российских рублях.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5"/>
        <w:ind w:firstLine="567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2.2. Цена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контракта составляет </w:t>
      </w:r>
      <w:r>
        <w:rPr>
          <w:rFonts w:ascii="Times New Roman" w:hAnsi="Times New Roman" w:cs="Times New Roman"/>
          <w:color w:val="334059"/>
          <w:sz w:val="25"/>
          <w:szCs w:val="25"/>
        </w:rPr>
        <w:t xml:space="preserve">_____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(_______) руб. __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коп,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в том числе НДС/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без НДС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2.3. Цена контракта включает в себя стоимость Товара, а также все расходы на транспортировку, погрузо-разгрузочные работы (в случае поставки Тов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ара с разгрузкой транспортного средства),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2.4. Цена контракта является твердой и определяется на весь срок его исполнения.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p>
      <w:pPr>
        <w:pStyle w:val="624"/>
        <w:jc w:val="center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3. Обязанности Сторон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3.1. Поставщик обязан: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3.1.1. Передать Заказчику Товар, соответствующий требованиям законодательства Российской Федерации, в соответствии с условиями контракта, в полном объеме,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надлежащего качества и в установленные сроки.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3.1.2. Представлять по требованию Заказчика информацию и документы, относящиеся к предмету контракта.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3.1.3. Незамедлительно информировать Заказчика обо всех обстоятельствах, препятствующих исполнению контракта.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3.1.4. Устранять своими силами и за свой счет допущенные недостатки при поставке Товара.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/>
      <w:bookmarkStart w:id="1" w:name="Par73"/>
      <w:r/>
      <w:bookmarkEnd w:id="1"/>
      <w:r>
        <w:rPr>
          <w:rFonts w:ascii="Times New Roman" w:hAnsi="Times New Roman" w:eastAsia="Times New Roman" w:cs="Times New Roman"/>
          <w:sz w:val="25"/>
          <w:szCs w:val="25"/>
        </w:rPr>
        <w:t xml:space="preserve">3.2. Поставщик вправе: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3.2.1. Требовать от Заказчика приемки переданного Товара в Месте доставки.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3.2.2. Требовать от Заказчика предоставления имеющейся у него информации, необходимой для исполнения обязательств по контракту.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3.2.3. Требовать от Заказчика своевременной оплаты переданного Товара в порядке и на условиях, предусмотренных контрактом.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3.3. Заказчик обязан: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3.3.2. Своевременно принять и оплатить переданный Товар.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3.4. Заказчик вправе: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3.4.1. Требовать от Поставщика надлежащего исполнения обязательств, предусмотренных контрактом.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3.4.2. Запрашивать у Поставщика информацию об исполнении им обязательств по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онтракту.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3.4.3. Проверять в любое время ход исполнения Поставщиком обязательств по контракту, в том числе осуществлять контроль сроков передачи Товара в соответствии с условиями контракта.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3.4.4. Осуществлять выборочную проверку качества переданного Товара, в том числе после приемки Товара.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3.4.5. Требовать от Поставщика устранения недостатков, допущенных при исполнении контракта, за его счет.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3.4.6. Отказаться от приемки Товара, не соответствующего условиям контракта, и потребовать безвозмездного устранения недостатков.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3.4.7. 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требованиям, установленным контрактом.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center"/>
        <w:spacing w:line="276" w:lineRule="auto"/>
        <w:rPr>
          <w:rFonts w:ascii="Times New Roman" w:hAnsi="Times New Roman" w:cs="Times New Roman"/>
          <w:b/>
          <w:spacing w:val="-2"/>
          <w:sz w:val="25"/>
          <w:szCs w:val="25"/>
        </w:rPr>
      </w:pPr>
      <w:r>
        <w:rPr>
          <w:rFonts w:ascii="Times New Roman" w:hAnsi="Times New Roman" w:cs="Times New Roman"/>
          <w:b/>
          <w:spacing w:val="-2"/>
          <w:sz w:val="25"/>
          <w:szCs w:val="25"/>
        </w:rPr>
        <w:t xml:space="preserve">4</w:t>
      </w:r>
      <w:r>
        <w:rPr>
          <w:rFonts w:ascii="Times New Roman" w:hAnsi="Times New Roman" w:cs="Times New Roman"/>
          <w:b/>
          <w:spacing w:val="-2"/>
          <w:sz w:val="25"/>
          <w:szCs w:val="25"/>
        </w:rPr>
        <w:t xml:space="preserve">. Качество и порядок приемки товара</w:t>
      </w:r>
      <w:r>
        <w:rPr>
          <w:rFonts w:ascii="Times New Roman" w:hAnsi="Times New Roman" w:cs="Times New Roman"/>
          <w:b/>
          <w:spacing w:val="-2"/>
          <w:sz w:val="25"/>
          <w:szCs w:val="25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</w:t>
      </w:r>
      <w:r>
        <w:rPr>
          <w:rFonts w:ascii="Times New Roman" w:hAnsi="Times New Roman" w:cs="Times New Roman"/>
          <w:sz w:val="25"/>
          <w:szCs w:val="25"/>
        </w:rPr>
        <w:t xml:space="preserve">.1. Качество и безопасность тов</w:t>
      </w:r>
      <w:r>
        <w:rPr>
          <w:rFonts w:ascii="Times New Roman" w:hAnsi="Times New Roman" w:cs="Times New Roman"/>
          <w:sz w:val="25"/>
          <w:szCs w:val="25"/>
        </w:rPr>
        <w:t xml:space="preserve">ара должны соответствовать установленным для данных видов товаров нормам и требованиям технических регламентов, государственных стандартов, техническим условиям и иной нормативно-технической документации, условиям спецификации (приложение №1 к Контракту). 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</w:t>
      </w:r>
      <w:r>
        <w:rPr>
          <w:rFonts w:ascii="Times New Roman" w:hAnsi="Times New Roman" w:cs="Times New Roman"/>
          <w:sz w:val="25"/>
          <w:szCs w:val="25"/>
        </w:rPr>
        <w:t xml:space="preserve">.2. Поставляемый товар должен быть новым (товаром, который не был в употреблении), а также свободным от прав на него третьих лиц, не имеющим дефектов. Тара и материалы, используемые для упаковывания товара, должны </w:t>
      </w:r>
      <w:r>
        <w:rPr>
          <w:rFonts w:ascii="Times New Roman" w:hAnsi="Times New Roman" w:cs="Times New Roman"/>
          <w:sz w:val="25"/>
          <w:szCs w:val="25"/>
        </w:rPr>
        <w:t xml:space="preserve">соответствовать требованиям законодательных, нормативных и/или технических документов и гарантировать целостность и сохранность товара при перевозке. Стоимость упаковочных материалов включается в стоимость товара.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567"/>
        <w:jc w:val="both"/>
        <w:spacing w:line="276" w:lineRule="auto"/>
        <w:shd w:val="clear" w:color="auto" w:fill="ffffff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</w:t>
      </w:r>
      <w:r>
        <w:rPr>
          <w:rFonts w:ascii="Times New Roman" w:hAnsi="Times New Roman" w:cs="Times New Roman"/>
          <w:sz w:val="25"/>
          <w:szCs w:val="25"/>
        </w:rPr>
        <w:t xml:space="preserve">.3. В целях провер</w:t>
      </w:r>
      <w:r>
        <w:rPr>
          <w:rFonts w:ascii="Times New Roman" w:hAnsi="Times New Roman" w:cs="Times New Roman"/>
          <w:sz w:val="25"/>
          <w:szCs w:val="25"/>
        </w:rPr>
        <w:t xml:space="preserve">ки поставленного товара условиям Контракта Заказчик проводит экспертизу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05.04.2013г. № 44-ФЗ.</w:t>
      </w:r>
      <w:r>
        <w:rPr>
          <w:rStyle w:val="629"/>
          <w:rFonts w:ascii="Times New Roman" w:hAnsi="Times New Roman" w:cs="Times New Roman"/>
          <w:i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567"/>
        <w:jc w:val="both"/>
        <w:spacing w:line="276" w:lineRule="auto"/>
        <w:shd w:val="clear" w:color="auto" w:fill="ffffff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</w:t>
      </w:r>
      <w:r>
        <w:rPr>
          <w:rFonts w:ascii="Times New Roman" w:hAnsi="Times New Roman" w:cs="Times New Roman"/>
          <w:sz w:val="25"/>
          <w:szCs w:val="25"/>
        </w:rPr>
        <w:t xml:space="preserve">.4. Некачественный товар считается не поставленным и подлежит замене Поставщиком в течение </w:t>
      </w:r>
      <w:r>
        <w:rPr>
          <w:rFonts w:ascii="Times New Roman" w:hAnsi="Times New Roman" w:cs="Times New Roman"/>
          <w:sz w:val="25"/>
          <w:szCs w:val="25"/>
        </w:rPr>
        <w:t xml:space="preserve">7 (семи</w:t>
      </w:r>
      <w:r>
        <w:rPr>
          <w:rFonts w:ascii="Times New Roman" w:hAnsi="Times New Roman" w:cs="Times New Roman"/>
          <w:sz w:val="25"/>
          <w:szCs w:val="25"/>
        </w:rPr>
        <w:t xml:space="preserve">) рабочих дней</w:t>
      </w:r>
      <w:r>
        <w:rPr>
          <w:rFonts w:ascii="Times New Roman" w:hAnsi="Times New Roman" w:cs="Times New Roman"/>
          <w:sz w:val="25"/>
          <w:szCs w:val="25"/>
        </w:rPr>
        <w:t xml:space="preserve"> с момента получения уведомления Заказчика. При этом все расходы по замене товара несет Поставщик.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jc w:val="center"/>
        <w:spacing w:line="276" w:lineRule="auto"/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. Порядок расчетов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5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.1. Оплата по контракту осуществляется за счет средств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федерального бюджета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КБК: 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081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0405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25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4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02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900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20 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24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2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5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Start w:id="2" w:name="Par176"/>
      <w:r/>
      <w:bookmarkEnd w:id="2"/>
      <w:r>
        <w:rPr>
          <w:rFonts w:ascii="Times New Roman" w:hAnsi="Times New Roman" w:eastAsia="Times New Roman" w:cs="Times New Roman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Оплата по контракту осуществляется после исполнения Поставщиком обязательств по передаче Товара.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5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3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 Оплата по контракту осуществляется по факту приобретения Товара, предусмотренного Спецификацией (</w:t>
      </w:r>
      <w:hyperlink w:tooltip="#Par365" w:anchor="Par365" w:history="1">
        <w:r>
          <w:rPr>
            <w:rFonts w:ascii="Times New Roman" w:hAnsi="Times New Roman" w:eastAsia="Times New Roman" w:cs="Times New Roman"/>
            <w:sz w:val="25"/>
            <w:szCs w:val="25"/>
          </w:rPr>
          <w:t xml:space="preserve">приложение № 1</w:t>
        </w:r>
      </w:hyperlink>
      <w:r>
        <w:rPr>
          <w:rFonts w:ascii="Times New Roman" w:hAnsi="Times New Roman" w:eastAsia="Times New Roman" w:cs="Times New Roman"/>
          <w:sz w:val="25"/>
          <w:szCs w:val="25"/>
        </w:rPr>
        <w:t xml:space="preserve"> к контракту), в течение 5 (пяти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) рабочих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дней с даты подписания Заказчиком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документов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о приемке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Товара.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jc w:val="center"/>
        <w:spacing w:line="276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6</w:t>
      </w:r>
      <w:r>
        <w:rPr>
          <w:rFonts w:ascii="Times New Roman" w:hAnsi="Times New Roman" w:cs="Times New Roman"/>
          <w:b/>
          <w:sz w:val="25"/>
          <w:szCs w:val="25"/>
        </w:rPr>
        <w:t xml:space="preserve">. Отве</w:t>
      </w:r>
      <w:r>
        <w:rPr>
          <w:rFonts w:ascii="Times New Roman" w:hAnsi="Times New Roman" w:cs="Times New Roman"/>
          <w:b/>
          <w:sz w:val="25"/>
          <w:szCs w:val="25"/>
        </w:rPr>
        <w:t xml:space="preserve">тственность сторон</w:t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</w:t>
      </w:r>
      <w:r>
        <w:rPr>
          <w:rFonts w:ascii="Times New Roman" w:hAnsi="Times New Roman" w:cs="Times New Roman"/>
          <w:sz w:val="25"/>
          <w:szCs w:val="25"/>
        </w:rPr>
        <w:t xml:space="preserve">.1. 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Федерации. 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eastAsia="Calibri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</w:t>
      </w:r>
      <w:r>
        <w:rPr>
          <w:rFonts w:ascii="Times New Roman" w:hAnsi="Times New Roman" w:cs="Times New Roman"/>
          <w:sz w:val="25"/>
          <w:szCs w:val="25"/>
        </w:rPr>
        <w:t xml:space="preserve">.2. 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контракто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8" w:tooltip="consultantplus://offline/ref=E7774EBBAA42A02866BB3D89961B4C3E3E21C6F4815262C63D34F272FF171ED90873B2F88B1309D8E4CF201FBFB89C2F81C5120B4962D776Y3cFM" w:history="1">
        <w:r>
          <w:rPr>
            <w:rFonts w:ascii="Times New Roman" w:hAnsi="Times New Roman" w:eastAsia="Calibri" w:cs="Times New Roman"/>
            <w:bCs/>
            <w:sz w:val="25"/>
            <w:szCs w:val="25"/>
          </w:rPr>
          <w:t xml:space="preserve">порядке</w:t>
        </w:r>
      </w:hyperlink>
      <w:r>
        <w:rPr>
          <w:rFonts w:ascii="Times New Roman" w:hAnsi="Times New Roman" w:eastAsia="Calibri" w:cs="Times New Roman"/>
          <w:bCs/>
          <w:sz w:val="25"/>
          <w:szCs w:val="25"/>
        </w:rPr>
        <w:t xml:space="preserve">, установленном Правительством Российской Федерации.  </w:t>
      </w:r>
      <w:r>
        <w:rPr>
          <w:rFonts w:ascii="Times New Roman" w:hAnsi="Times New Roman" w:eastAsia="Calibri" w:cs="Times New Roman"/>
          <w:bCs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eastAsia="Calibri" w:cs="Times New Roman"/>
          <w:sz w:val="25"/>
          <w:szCs w:val="25"/>
        </w:rPr>
      </w:pPr>
      <w:r>
        <w:rPr>
          <w:rFonts w:ascii="Times New Roman" w:hAnsi="Times New Roman" w:eastAsia="Calibri" w:cs="Times New Roman"/>
          <w:sz w:val="25"/>
          <w:szCs w:val="25"/>
        </w:rPr>
        <w:t xml:space="preserve">6</w:t>
      </w:r>
      <w:r>
        <w:rPr>
          <w:rFonts w:ascii="Times New Roman" w:hAnsi="Times New Roman" w:eastAsia="Calibri" w:cs="Times New Roman"/>
          <w:sz w:val="25"/>
          <w:szCs w:val="25"/>
        </w:rPr>
        <w:t xml:space="preserve">.3. В случае просрочки исполнения поставщиком (подрядчиком, исполнителем) обязательств (в том числе гарантийного обязательства), предус</w:t>
      </w:r>
      <w:r>
        <w:rPr>
          <w:rFonts w:ascii="Times New Roman" w:hAnsi="Times New Roman" w:eastAsia="Calibri" w:cs="Times New Roman"/>
          <w:sz w:val="25"/>
          <w:szCs w:val="25"/>
        </w:rPr>
        <w:t xml:space="preserve">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</w:t>
      </w:r>
      <w:r>
        <w:rPr>
          <w:rFonts w:ascii="Times New Roman" w:hAnsi="Times New Roman" w:eastAsia="Calibri" w:cs="Times New Roman"/>
          <w:sz w:val="25"/>
          <w:szCs w:val="25"/>
        </w:rPr>
        <w:t xml:space="preserve">(штрафов, пеней).</w:t>
      </w:r>
      <w:r>
        <w:rPr>
          <w:rFonts w:ascii="Times New Roman" w:hAnsi="Times New Roman" w:eastAsia="Calibri" w:cs="Times New Roman"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eastAsia="Calibri" w:cs="Times New Roman"/>
          <w:bCs/>
          <w:sz w:val="25"/>
          <w:szCs w:val="25"/>
        </w:rPr>
      </w:pPr>
      <w:r>
        <w:rPr>
          <w:rFonts w:ascii="Times New Roman" w:hAnsi="Times New Roman" w:eastAsia="Calibri" w:cs="Times New Roman"/>
          <w:bCs/>
          <w:sz w:val="25"/>
          <w:szCs w:val="25"/>
        </w:rPr>
        <w:t xml:space="preserve">6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.4. Пеня начисляется за каждый день просрочки исполнения поставщиком (подрядчиком, исполнителем) обязательства, предусмотренного 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</w:t>
      </w:r>
      <w:r>
        <w:rPr>
          <w:rFonts w:ascii="Times New Roman" w:hAnsi="Times New Roman" w:eastAsia="Calibri" w:cs="Times New Roman"/>
          <w:bCs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Calibri" w:cs="Times New Roman"/>
          <w:bCs/>
          <w:sz w:val="25"/>
          <w:szCs w:val="25"/>
        </w:rPr>
        <w:t xml:space="preserve">6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.5. Штрафы начисляются за неисполнение или ненадлежащее исполнение поставщиком (подрядчиком, ис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полнителем)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9" w:tooltip="consultantplus://offline/ref=21BFB8ADD230D9A85D0C373DD3BD0751FA113D568EF6F47B7443D1409A43B91580D43972CAC8F3A429B3F4122AE1A03286EB8847BABDA6B4N3T0L" w:history="1">
        <w:r>
          <w:rPr>
            <w:rFonts w:ascii="Times New Roman" w:hAnsi="Times New Roman" w:eastAsia="Calibri" w:cs="Times New Roman"/>
            <w:bCs/>
            <w:sz w:val="25"/>
            <w:szCs w:val="25"/>
          </w:rPr>
          <w:t xml:space="preserve">порядке</w:t>
        </w:r>
      </w:hyperlink>
      <w:r>
        <w:rPr>
          <w:rFonts w:ascii="Times New Roman" w:hAnsi="Times New Roman" w:eastAsia="Calibri" w:cs="Times New Roman"/>
          <w:bCs/>
          <w:sz w:val="25"/>
          <w:szCs w:val="25"/>
        </w:rPr>
        <w:t xml:space="preserve"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 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eastAsia="Calibri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</w:t>
      </w:r>
      <w:r>
        <w:rPr>
          <w:rFonts w:ascii="Times New Roman" w:hAnsi="Times New Roman" w:cs="Times New Roman"/>
          <w:sz w:val="25"/>
          <w:szCs w:val="25"/>
        </w:rPr>
        <w:t xml:space="preserve">.6. </w:t>
      </w:r>
      <w:r>
        <w:rPr>
          <w:rFonts w:ascii="Times New Roman" w:hAnsi="Times New Roman" w:eastAsia="Calibri" w:cs="Times New Roman"/>
          <w:sz w:val="25"/>
          <w:szCs w:val="25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</w:t>
      </w:r>
      <w:r>
        <w:rPr>
          <w:rFonts w:ascii="Times New Roman" w:hAnsi="Times New Roman" w:eastAsia="Calibri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г) 100000 рублей, если цена контракта превышает 100 млн. рублей.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eastAsia="Calibri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</w:t>
      </w:r>
      <w:r>
        <w:rPr>
          <w:rFonts w:ascii="Times New Roman" w:hAnsi="Times New Roman" w:cs="Times New Roman"/>
          <w:sz w:val="25"/>
          <w:szCs w:val="25"/>
        </w:rPr>
        <w:t xml:space="preserve">.7. </w:t>
      </w:r>
      <w:r>
        <w:rPr>
          <w:rFonts w:ascii="Times New Roman" w:hAnsi="Times New Roman" w:eastAsia="Calibri" w:cs="Times New Roman"/>
          <w:sz w:val="25"/>
          <w:szCs w:val="25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</w:t>
      </w:r>
      <w:r>
        <w:rPr>
          <w:rFonts w:ascii="Times New Roman" w:hAnsi="Times New Roman" w:eastAsia="Calibri" w:cs="Times New Roman"/>
          <w:sz w:val="25"/>
          <w:szCs w:val="25"/>
        </w:rPr>
        <w:t xml:space="preserve">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 </w:t>
      </w:r>
      <w:r>
        <w:rPr>
          <w:rFonts w:ascii="Times New Roman" w:hAnsi="Times New Roman" w:eastAsia="Calibri" w:cs="Times New Roman"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eastAsia="Calibri" w:cs="Times New Roman"/>
          <w:bCs/>
          <w:sz w:val="25"/>
          <w:szCs w:val="25"/>
        </w:rPr>
      </w:pPr>
      <w:r>
        <w:rPr>
          <w:rFonts w:ascii="Times New Roman" w:hAnsi="Times New Roman" w:eastAsia="Calibri" w:cs="Times New Roman"/>
          <w:sz w:val="25"/>
          <w:szCs w:val="25"/>
        </w:rPr>
        <w:t xml:space="preserve">6</w:t>
      </w:r>
      <w:r>
        <w:rPr>
          <w:rFonts w:ascii="Times New Roman" w:hAnsi="Times New Roman" w:eastAsia="Calibri" w:cs="Times New Roman"/>
          <w:sz w:val="25"/>
          <w:szCs w:val="25"/>
        </w:rPr>
        <w:t xml:space="preserve">.8. 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hyperlink r:id="rId10" w:tooltip="consultantplus://offline/ref=EB47FF6A90316075A5D6C4320FAC4A9EA6FE26F51AE752214E551DB8A1D7B721ECC639EE4C304C894ACBB50AC2vD7CK" w:history="1">
        <w:r>
          <w:rPr>
            <w:rFonts w:ascii="Times New Roman" w:hAnsi="Times New Roman" w:eastAsia="Calibri" w:cs="Times New Roman"/>
            <w:bCs/>
            <w:sz w:val="25"/>
            <w:szCs w:val="25"/>
          </w:rPr>
          <w:t xml:space="preserve">законом</w:t>
        </w:r>
      </w:hyperlink>
      <w:r>
        <w:rPr>
          <w:rFonts w:ascii="Times New Roman" w:hAnsi="Times New Roman" w:eastAsia="Calibri" w:cs="Times New Roman"/>
          <w:bCs/>
          <w:sz w:val="25"/>
          <w:szCs w:val="25"/>
        </w:rPr>
        <w:t xml:space="preserve">), предложившим наиболее высокую цену за право заключения кон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тракта, размер штрафа рассчитывается в порядке, установленном Правительством Российской Федерации,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r>
        <w:rPr>
          <w:rFonts w:ascii="Times New Roman" w:hAnsi="Times New Roman" w:eastAsia="Calibri" w:cs="Times New Roman"/>
          <w:bCs/>
          <w:sz w:val="25"/>
          <w:szCs w:val="25"/>
        </w:rPr>
      </w:r>
    </w:p>
    <w:p>
      <w:pPr>
        <w:ind w:firstLine="540"/>
        <w:jc w:val="both"/>
        <w:spacing w:line="276" w:lineRule="auto"/>
        <w:rPr>
          <w:rFonts w:ascii="Times New Roman" w:hAnsi="Times New Roman" w:eastAsia="Calibri" w:cs="Times New Roman"/>
          <w:bCs/>
          <w:sz w:val="25"/>
          <w:szCs w:val="25"/>
        </w:rPr>
      </w:pP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а) в случае, если цена контракта не превышает начальную (максимальную) цену контракта:</w:t>
      </w:r>
      <w:r>
        <w:rPr>
          <w:rFonts w:ascii="Times New Roman" w:hAnsi="Times New Roman" w:eastAsia="Calibri" w:cs="Times New Roman"/>
          <w:bCs/>
          <w:sz w:val="25"/>
          <w:szCs w:val="25"/>
        </w:rPr>
      </w:r>
    </w:p>
    <w:p>
      <w:pPr>
        <w:ind w:firstLine="540"/>
        <w:jc w:val="both"/>
        <w:spacing w:line="276" w:lineRule="auto"/>
        <w:rPr>
          <w:rFonts w:ascii="Times New Roman" w:hAnsi="Times New Roman" w:eastAsia="Calibri" w:cs="Times New Roman"/>
          <w:bCs/>
          <w:sz w:val="25"/>
          <w:szCs w:val="25"/>
        </w:rPr>
      </w:pPr>
      <w:r>
        <w:rPr>
          <w:rFonts w:ascii="Times New Roman" w:hAnsi="Times New Roman" w:eastAsia="Calibri" w:cs="Times New Roman"/>
          <w:bCs/>
          <w:sz w:val="25"/>
          <w:szCs w:val="25"/>
        </w:rPr>
        <w:t xml:space="preserve">10 процентов начальной (максимальной) цены контракта, если цена контракта не </w:t>
      </w: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превышает 3 млн. рублей;</w:t>
      </w:r>
      <w:r>
        <w:rPr>
          <w:rFonts w:ascii="Times New Roman" w:hAnsi="Times New Roman" w:eastAsia="Calibri" w:cs="Times New Roman"/>
          <w:bCs/>
          <w:sz w:val="25"/>
          <w:szCs w:val="25"/>
        </w:rPr>
      </w:r>
    </w:p>
    <w:p>
      <w:pPr>
        <w:ind w:firstLine="540"/>
        <w:jc w:val="both"/>
        <w:spacing w:line="276" w:lineRule="auto"/>
        <w:rPr>
          <w:rFonts w:ascii="Times New Roman" w:hAnsi="Times New Roman" w:eastAsia="Calibri" w:cs="Times New Roman"/>
          <w:bCs/>
          <w:sz w:val="25"/>
          <w:szCs w:val="25"/>
        </w:rPr>
      </w:pPr>
      <w:r>
        <w:rPr>
          <w:rFonts w:ascii="Times New Roman" w:hAnsi="Times New Roman" w:eastAsia="Calibri" w:cs="Times New Roman"/>
          <w:bCs/>
          <w:sz w:val="25"/>
          <w:szCs w:val="25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 w:eastAsia="Calibri" w:cs="Times New Roman"/>
          <w:bCs/>
          <w:sz w:val="25"/>
          <w:szCs w:val="25"/>
        </w:rPr>
      </w:r>
    </w:p>
    <w:p>
      <w:pPr>
        <w:ind w:firstLine="540"/>
        <w:jc w:val="both"/>
        <w:spacing w:line="276" w:lineRule="auto"/>
        <w:rPr>
          <w:rFonts w:ascii="Times New Roman" w:hAnsi="Times New Roman" w:eastAsia="Calibri" w:cs="Times New Roman"/>
          <w:bCs/>
          <w:sz w:val="25"/>
          <w:szCs w:val="25"/>
        </w:rPr>
      </w:pPr>
      <w:r>
        <w:rPr>
          <w:rFonts w:ascii="Times New Roman" w:hAnsi="Times New Roman" w:eastAsia="Calibri" w:cs="Times New Roman"/>
          <w:bCs/>
          <w:sz w:val="25"/>
          <w:szCs w:val="25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>
        <w:rPr>
          <w:rFonts w:ascii="Times New Roman" w:hAnsi="Times New Roman" w:eastAsia="Calibri" w:cs="Times New Roman"/>
          <w:bCs/>
          <w:sz w:val="25"/>
          <w:szCs w:val="25"/>
        </w:rPr>
      </w:r>
    </w:p>
    <w:p>
      <w:pPr>
        <w:ind w:firstLine="540"/>
        <w:jc w:val="both"/>
        <w:spacing w:line="276" w:lineRule="auto"/>
        <w:rPr>
          <w:rFonts w:ascii="Times New Roman" w:hAnsi="Times New Roman" w:eastAsia="Calibri" w:cs="Times New Roman"/>
          <w:bCs/>
          <w:sz w:val="25"/>
          <w:szCs w:val="25"/>
        </w:rPr>
      </w:pPr>
      <w:r>
        <w:rPr>
          <w:rFonts w:ascii="Times New Roman" w:hAnsi="Times New Roman" w:eastAsia="Calibri" w:cs="Times New Roman"/>
          <w:bCs/>
          <w:sz w:val="25"/>
          <w:szCs w:val="25"/>
        </w:rPr>
        <w:t xml:space="preserve">б) в случае, если цена контракта превышает начальную (максимальную) цену контракта:</w:t>
      </w:r>
      <w:r>
        <w:rPr>
          <w:rFonts w:ascii="Times New Roman" w:hAnsi="Times New Roman" w:eastAsia="Calibri" w:cs="Times New Roman"/>
          <w:bCs/>
          <w:sz w:val="25"/>
          <w:szCs w:val="25"/>
        </w:rPr>
      </w:r>
    </w:p>
    <w:p>
      <w:pPr>
        <w:ind w:firstLine="540"/>
        <w:jc w:val="both"/>
        <w:spacing w:line="276" w:lineRule="auto"/>
        <w:rPr>
          <w:rFonts w:ascii="Times New Roman" w:hAnsi="Times New Roman" w:eastAsia="Calibri" w:cs="Times New Roman"/>
          <w:bCs/>
          <w:sz w:val="25"/>
          <w:szCs w:val="25"/>
        </w:rPr>
      </w:pPr>
      <w:r>
        <w:rPr>
          <w:rFonts w:ascii="Times New Roman" w:hAnsi="Times New Roman" w:eastAsia="Calibri" w:cs="Times New Roman"/>
          <w:bCs/>
          <w:sz w:val="25"/>
          <w:szCs w:val="25"/>
        </w:rPr>
        <w:t xml:space="preserve">10 процентов цены контракта, если цена контракта не превышает 3 млн. рублей;</w:t>
      </w:r>
      <w:r>
        <w:rPr>
          <w:rFonts w:ascii="Times New Roman" w:hAnsi="Times New Roman" w:eastAsia="Calibri" w:cs="Times New Roman"/>
          <w:bCs/>
          <w:sz w:val="25"/>
          <w:szCs w:val="25"/>
        </w:rPr>
      </w:r>
    </w:p>
    <w:p>
      <w:pPr>
        <w:ind w:firstLine="540"/>
        <w:jc w:val="both"/>
        <w:spacing w:line="276" w:lineRule="auto"/>
        <w:rPr>
          <w:rFonts w:ascii="Times New Roman" w:hAnsi="Times New Roman" w:eastAsia="Calibri" w:cs="Times New Roman"/>
          <w:bCs/>
          <w:sz w:val="25"/>
          <w:szCs w:val="25"/>
        </w:rPr>
      </w:pPr>
      <w:r>
        <w:rPr>
          <w:rFonts w:ascii="Times New Roman" w:hAnsi="Times New Roman" w:eastAsia="Calibri" w:cs="Times New Roman"/>
          <w:bCs/>
          <w:sz w:val="25"/>
          <w:szCs w:val="25"/>
        </w:rPr>
        <w:t xml:space="preserve">5 процентов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 w:eastAsia="Calibri" w:cs="Times New Roman"/>
          <w:bCs/>
          <w:sz w:val="25"/>
          <w:szCs w:val="25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Calibri" w:cs="Times New Roman"/>
          <w:sz w:val="25"/>
          <w:szCs w:val="25"/>
        </w:rPr>
      </w:pPr>
      <w:r>
        <w:rPr>
          <w:rFonts w:ascii="Times New Roman" w:hAnsi="Times New Roman" w:eastAsia="Calibri" w:cs="Times New Roman"/>
          <w:bCs/>
          <w:sz w:val="25"/>
          <w:szCs w:val="25"/>
        </w:rPr>
        <w:t xml:space="preserve">1 процент цены контракта, если цена контракта составляет от 50 млн. рублей до 100 млн. рублей (включительно). </w:t>
      </w:r>
      <w:r>
        <w:rPr>
          <w:rFonts w:ascii="Times New Roman" w:hAnsi="Times New Roman" w:eastAsia="Calibri" w:cs="Times New Roman"/>
          <w:sz w:val="25"/>
          <w:szCs w:val="25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Calibri" w:cs="Times New Roman"/>
          <w:sz w:val="25"/>
          <w:szCs w:val="25"/>
        </w:rPr>
      </w:pPr>
      <w:r>
        <w:rPr>
          <w:rFonts w:ascii="Times New Roman" w:hAnsi="Times New Roman" w:eastAsia="Calibri" w:cs="Times New Roman"/>
          <w:sz w:val="25"/>
          <w:szCs w:val="25"/>
        </w:rPr>
        <w:t xml:space="preserve">6</w:t>
      </w:r>
      <w:r>
        <w:rPr>
          <w:rFonts w:ascii="Times New Roman" w:hAnsi="Times New Roman" w:eastAsia="Calibri" w:cs="Times New Roman"/>
          <w:sz w:val="25"/>
          <w:szCs w:val="25"/>
        </w:rPr>
        <w:t xml:space="preserve">.9. За каждый факт неисполнения или не</w:t>
      </w:r>
      <w:r>
        <w:rPr>
          <w:rFonts w:ascii="Times New Roman" w:hAnsi="Times New Roman" w:eastAsia="Calibri" w:cs="Times New Roman"/>
          <w:sz w:val="25"/>
          <w:szCs w:val="25"/>
        </w:rPr>
        <w:t xml:space="preserve">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1000 рублей.</w:t>
      </w:r>
      <w:r>
        <w:rPr>
          <w:rFonts w:ascii="Times New Roman" w:hAnsi="Times New Roman" w:eastAsia="Calibri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1000 рублей, если цена контракта не превышает 3 млн. Рублей;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г) 100000 рублей, если цена контракта превышает 100 млн. Рублей.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Calibri" w:cs="Times New Roman"/>
          <w:sz w:val="25"/>
          <w:szCs w:val="25"/>
        </w:rPr>
      </w:pPr>
      <w:r>
        <w:rPr>
          <w:rFonts w:ascii="Times New Roman" w:hAnsi="Times New Roman" w:eastAsia="Calibri" w:cs="Times New Roman"/>
          <w:sz w:val="25"/>
          <w:szCs w:val="25"/>
        </w:rPr>
        <w:t xml:space="preserve">6</w:t>
      </w:r>
      <w:r>
        <w:rPr>
          <w:rFonts w:ascii="Times New Roman" w:hAnsi="Times New Roman" w:eastAsia="Calibri" w:cs="Times New Roman"/>
          <w:sz w:val="25"/>
          <w:szCs w:val="25"/>
        </w:rPr>
        <w:t xml:space="preserve">.10. Общая сумма начисленных штрафов за неисполне</w:t>
      </w:r>
      <w:r>
        <w:rPr>
          <w:rFonts w:ascii="Times New Roman" w:hAnsi="Times New Roman" w:eastAsia="Calibri" w:cs="Times New Roman"/>
          <w:sz w:val="25"/>
          <w:szCs w:val="25"/>
        </w:rPr>
        <w:t xml:space="preserve">ние или ненадлежащее исполнение </w:t>
      </w:r>
      <w:r>
        <w:rPr>
          <w:rFonts w:ascii="Times New Roman" w:hAnsi="Times New Roman" w:eastAsia="Calibri" w:cs="Times New Roman"/>
          <w:sz w:val="25"/>
          <w:szCs w:val="25"/>
        </w:rPr>
        <w:t xml:space="preserve">поставщиком (подрядчиком, исполнителем) обязательств, предусмотренных контрактом, не может превышать цену контракта. </w:t>
      </w:r>
      <w:r>
        <w:rPr>
          <w:rFonts w:ascii="Times New Roman" w:hAnsi="Times New Roman" w:eastAsia="Calibri" w:cs="Times New Roman"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eastAsia="Calibri" w:cs="Times New Roman"/>
          <w:sz w:val="25"/>
          <w:szCs w:val="25"/>
        </w:rPr>
      </w:pPr>
      <w:r>
        <w:rPr>
          <w:rFonts w:ascii="Times New Roman" w:hAnsi="Times New Roman" w:eastAsia="Calibri" w:cs="Times New Roman"/>
          <w:sz w:val="25"/>
          <w:szCs w:val="25"/>
        </w:rPr>
        <w:t xml:space="preserve">6</w:t>
      </w:r>
      <w:r>
        <w:rPr>
          <w:rFonts w:ascii="Times New Roman" w:hAnsi="Times New Roman" w:eastAsia="Calibri" w:cs="Times New Roman"/>
          <w:sz w:val="25"/>
          <w:szCs w:val="25"/>
        </w:rPr>
        <w:t xml:space="preserve">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Calibri" w:cs="Times New Roman"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6</w:t>
      </w:r>
      <w:r>
        <w:rPr>
          <w:rFonts w:ascii="Times New Roman" w:hAnsi="Times New Roman" w:cs="Times New Roman"/>
          <w:bCs/>
          <w:sz w:val="25"/>
          <w:szCs w:val="25"/>
        </w:rPr>
        <w:t xml:space="preserve">.12.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bCs/>
          <w:sz w:val="25"/>
          <w:szCs w:val="25"/>
        </w:rPr>
      </w:r>
    </w:p>
    <w:p>
      <w:pPr>
        <w:ind w:firstLine="708"/>
        <w:jc w:val="both"/>
        <w:spacing w:line="276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</w:r>
      <w:r>
        <w:rPr>
          <w:rFonts w:ascii="Times New Roman" w:hAnsi="Times New Roman" w:cs="Times New Roman"/>
          <w:bCs/>
          <w:sz w:val="25"/>
          <w:szCs w:val="25"/>
        </w:rPr>
      </w:r>
    </w:p>
    <w:p>
      <w:pPr>
        <w:pStyle w:val="624"/>
        <w:jc w:val="center"/>
        <w:spacing w:line="276" w:lineRule="auto"/>
        <w:tabs>
          <w:tab w:val="left" w:pos="450" w:leader="none"/>
        </w:tabs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7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. Срок Действия Контракта,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Изменение и Расторжение Контракта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p>
      <w:pPr>
        <w:pStyle w:val="624"/>
        <w:ind w:firstLine="567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7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.1.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онтракт вступает в силу с момента подписания его сторона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ми и действует до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30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сентября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2026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года.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7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.2. Все изменения контракта должны быть совершены в письменном виде и оформлены дополнительными соглашениями к контракту.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7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.3.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онтракт может быть расторгнут по основаниям в соответствии с гражданским законодательством Российской Федерации.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7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.4. Стороны вправе принять решение об одностороннем отказе от исполнения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онтракта по основаниям, предусмотренным Гражданским </w:t>
      </w:r>
      <w:hyperlink r:id="rId11" w:tooltip="file:///C:\mnt\disk1\8.%20МЕДСЛУЖБА\3.%20НАЧ%20АПТЕКИ\Закуп%202020-100тр\29.12.2017)%7bКонсультантПлюс%7d" w:history="1">
        <w:r>
          <w:rPr>
            <w:rFonts w:ascii="Times New Roman" w:hAnsi="Times New Roman" w:eastAsia="Times New Roman" w:cs="Times New Roman"/>
            <w:sz w:val="25"/>
            <w:szCs w:val="25"/>
          </w:rPr>
          <w:t xml:space="preserve">кодексом</w:t>
        </w:r>
      </w:hyperlink>
      <w:r>
        <w:rPr>
          <w:rFonts w:ascii="Times New Roman" w:hAnsi="Times New Roman" w:eastAsia="Times New Roman" w:cs="Times New Roman"/>
          <w:sz w:val="25"/>
          <w:szCs w:val="25"/>
        </w:rPr>
        <w:t xml:space="preserve"> Российской Федерации, для одностороннего отказа от исполнения отдельных видов обязательств в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порядке и сроки, определенные </w:t>
      </w:r>
      <w:hyperlink r:id="rId12" w:tooltip="file:///C:\mnt\disk1\8.%20МЕДСЛУЖБА\3.%20НАЧ%20АПТЕКИ\Закуп%202020-100тр\11.01.2018)%7bКонсультантПлюс%7d" w:history="1">
        <w:r>
          <w:rPr>
            <w:rFonts w:ascii="Times New Roman" w:hAnsi="Times New Roman" w:eastAsia="Times New Roman" w:cs="Times New Roman"/>
            <w:sz w:val="25"/>
            <w:szCs w:val="25"/>
          </w:rPr>
          <w:t xml:space="preserve">статьей 95</w:t>
        </w:r>
      </w:hyperlink>
      <w:r>
        <w:rPr>
          <w:rFonts w:ascii="Times New Roman" w:hAnsi="Times New Roman" w:eastAsia="Times New Roman" w:cs="Times New Roman"/>
          <w:sz w:val="25"/>
          <w:szCs w:val="25"/>
        </w:rPr>
        <w:t xml:space="preserve"> Федерального закона о контрактной системе.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7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.5. В случае если Заказчиком проведена экспертиза Товара с привлечением экспертов, экспертных организаций, решение об одностороннем отказе от исполнения контракта может бы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ть принято Заказчиком только при условии, что по результатам экспертизы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jc w:val="center"/>
        <w:spacing w:line="276" w:lineRule="auto"/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8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. Обстоятельства непреодолимой силы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8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8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.2. Сторона, у которой возникли обстоятельства непреодолимой силы, обязана в течение 14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8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.3. Если, по мнению Сторон, исполнение конт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center"/>
        <w:spacing w:line="276" w:lineRule="auto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</w:rPr>
        <w:t xml:space="preserve">9</w:t>
      </w:r>
      <w:r>
        <w:rPr>
          <w:rFonts w:ascii="Times New Roman" w:hAnsi="Times New Roman" w:eastAsia="Times New Roman" w:cs="Times New Roman"/>
          <w:b/>
          <w:sz w:val="25"/>
          <w:szCs w:val="25"/>
        </w:rPr>
        <w:t xml:space="preserve">. Требования к гарантийному сроку и (или) объему предоставления гарантий качества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9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.1. Качество товаров должно соответствовать ГОСТам, ТУ, действующим на мо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мент поставки, и подтверждаться при поставке предоставлением соответствующих документов на поставляемые товары (наличие регистрационных документов, предусмотренных законодательством РФ (гарантийный талон, и/или сервисная книжка, и/или формуляр и/или т.п.).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9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9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.3. Гарантия на поставляемый товар должна составлять 12 месяцев с момента подписания документа о приемке товара.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jc w:val="center"/>
        <w:spacing w:line="276" w:lineRule="auto"/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0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. Заключительные положения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1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0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.1.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/>
      <w:bookmarkStart w:id="3" w:name="Par313"/>
      <w:r/>
      <w:bookmarkEnd w:id="3"/>
      <w:r>
        <w:rPr>
          <w:rFonts w:ascii="Times New Roman" w:hAnsi="Times New Roman" w:eastAsia="Times New Roman" w:cs="Times New Roman"/>
          <w:sz w:val="25"/>
          <w:szCs w:val="25"/>
        </w:rPr>
        <w:t xml:space="preserve">1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0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.2. Обязательства по контракту считаются выполненными Поставщиком после подписания Сторонами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документов о приемке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Товара.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1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0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.3. Все споры и разногласия в связи с исполнением контракта разрешаются путем переговоров. Если по результатам переговоров Стороны не приходят к согласию, дело передается на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рассмотрение в Арбитражный суд Рязанской области.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firstLine="540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jc w:val="center"/>
        <w:spacing w:line="276" w:lineRule="auto"/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. Реквизиты и подписи Сторон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p>
      <w:pPr>
        <w:pStyle w:val="624"/>
        <w:jc w:val="center"/>
        <w:spacing w:line="276" w:lineRule="auto"/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tbl>
      <w:tblPr>
        <w:tblW w:w="981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8"/>
        <w:gridCol w:w="4640"/>
      </w:tblGrid>
      <w:tr>
        <w:tblPrEx/>
        <w:trPr>
          <w:trHeight w:val="486"/>
        </w:trPr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178" w:type="dxa"/>
            <w:textDirection w:val="lrTb"/>
            <w:noWrap w:val="false"/>
          </w:tcPr>
          <w:p>
            <w:pPr>
              <w:pStyle w:val="622"/>
              <w:spacing w:line="276" w:lineRule="auto"/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ar-SA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ar-SA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40" w:type="dxa"/>
            <w:textDirection w:val="lrTb"/>
            <w:noWrap w:val="false"/>
          </w:tcPr>
          <w:p>
            <w:pPr>
              <w:pStyle w:val="622"/>
              <w:spacing w:line="276" w:lineRule="auto"/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ar-SA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ar-SA"/>
              </w:rPr>
            </w:r>
          </w:p>
        </w:tc>
      </w:tr>
      <w:tr>
        <w:tblPrEx/>
        <w:trPr>
          <w:trHeight w:val="3622"/>
        </w:trPr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178" w:type="dxa"/>
            <w:textDirection w:val="lrTb"/>
            <w:noWrap w:val="false"/>
          </w:tcPr>
          <w:p>
            <w:pPr>
              <w:pStyle w:val="631"/>
              <w:spacing w:line="276" w:lineRule="auto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Управление Федеральной службы по ветеринарному и фитосанитарному надзору по Рязанской и Тамбовской областям</w:t>
            </w:r>
            <w:r>
              <w:rPr>
                <w:rFonts w:ascii="Times New Roman" w:hAnsi="Times New Roman"/>
                <w:b/>
                <w:sz w:val="25"/>
                <w:szCs w:val="25"/>
              </w:rPr>
            </w:r>
          </w:p>
          <w:p>
            <w:pPr>
              <w:pStyle w:val="631"/>
              <w:rPr>
                <w:rFonts w:ascii="Times New Roman" w:hAnsi="Times New Roman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/>
                <w:sz w:val="25"/>
                <w:szCs w:val="25"/>
                <w:lang w:eastAsia="hi-IN"/>
              </w:rPr>
              <w:t xml:space="preserve">Юридический и почтовый адрес: </w:t>
            </w:r>
            <w:r>
              <w:rPr>
                <w:rFonts w:ascii="Times New Roman" w:hAnsi="Times New Roman"/>
                <w:sz w:val="25"/>
                <w:szCs w:val="25"/>
                <w:lang w:eastAsia="hi-IN"/>
              </w:rPr>
            </w:r>
          </w:p>
          <w:p>
            <w:pPr>
              <w:pStyle w:val="631"/>
              <w:rPr>
                <w:rFonts w:ascii="Times New Roman" w:hAnsi="Times New Roman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/>
                <w:sz w:val="25"/>
                <w:szCs w:val="25"/>
                <w:lang w:eastAsia="hi-IN"/>
              </w:rPr>
              <w:t xml:space="preserve">390044, г. Рязань, ул. Костычева, д. 17</w:t>
            </w:r>
            <w:r>
              <w:rPr>
                <w:rFonts w:ascii="Times New Roman" w:hAnsi="Times New Roman"/>
                <w:sz w:val="25"/>
                <w:szCs w:val="25"/>
                <w:lang w:eastAsia="hi-IN"/>
              </w:rPr>
            </w:r>
          </w:p>
          <w:p>
            <w:pPr>
              <w:pStyle w:val="633"/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  <w:t xml:space="preserve">ИНН: 6229060674</w:t>
            </w: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r>
          </w:p>
          <w:p>
            <w:pPr>
              <w:pStyle w:val="633"/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  <w:t xml:space="preserve">КПП: 622901001</w:t>
            </w: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r>
          </w:p>
          <w:p>
            <w:pPr>
              <w:pStyle w:val="633"/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  <w:t xml:space="preserve">к/с 03211643000000013251</w:t>
            </w: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r>
          </w:p>
          <w:p>
            <w:pPr>
              <w:pStyle w:val="633"/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  <w:t xml:space="preserve">БИК 012202102</w:t>
            </w: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r>
          </w:p>
          <w:p>
            <w:pPr>
              <w:pStyle w:val="633"/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  <w:t xml:space="preserve">ОКЦ №1 ВВГУ Банка России//</w:t>
            </w: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r>
          </w:p>
          <w:p>
            <w:pPr>
              <w:pStyle w:val="633"/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  <w:t xml:space="preserve">УФК по Нижегородской области,</w:t>
            </w: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r>
          </w:p>
          <w:p>
            <w:pPr>
              <w:pStyle w:val="633"/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  <w:t xml:space="preserve">г. Нижний Новгород</w:t>
            </w: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r>
          </w:p>
          <w:p>
            <w:pPr>
              <w:pStyle w:val="633"/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  <w:t xml:space="preserve">ЕКС 40102810745370000024</w:t>
            </w: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r>
          </w:p>
          <w:p>
            <w:pPr>
              <w:pStyle w:val="633"/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  <w:t xml:space="preserve">Телефон: +7(4912) 37-36-13</w:t>
            </w: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r>
          </w:p>
          <w:p>
            <w:pPr>
              <w:pStyle w:val="633"/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  <w:t xml:space="preserve">Эл. почта: </w:t>
            </w:r>
            <w:hyperlink r:id="rId13" w:tooltip="mailto:tu29-zakypki@fsvps.gov.ru" w:history="1">
              <w:r>
                <w:rPr>
                  <w:rFonts w:ascii="Times New Roman" w:hAnsi="Times New Roman" w:cs="Times New Roman"/>
                  <w:color w:val="auto"/>
                  <w:sz w:val="25"/>
                  <w:szCs w:val="25"/>
                  <w:lang w:eastAsia="hi-IN"/>
                </w:rPr>
                <w:t xml:space="preserve">tu29-zakypki@fsvps.gov.ru</w:t>
              </w:r>
            </w:hyperlink>
            <w:r/>
            <w:r>
              <w:rPr>
                <w:rFonts w:ascii="Times New Roman" w:hAnsi="Times New Roman" w:cs="Times New Roman"/>
                <w:color w:val="auto"/>
                <w:sz w:val="25"/>
                <w:szCs w:val="25"/>
                <w:lang w:eastAsia="hi-IN"/>
              </w:rPr>
            </w:r>
          </w:p>
          <w:p>
            <w:pPr>
              <w:pStyle w:val="631"/>
              <w:jc w:val="both"/>
              <w:rPr>
                <w:rFonts w:ascii="Times New Roman" w:hAnsi="Times New Roman"/>
                <w:sz w:val="25"/>
                <w:szCs w:val="25"/>
                <w:lang w:eastAsia="hi-IN"/>
              </w:rPr>
            </w:pPr>
            <w:r>
              <w:rPr>
                <w:rFonts w:ascii="Times New Roman" w:hAnsi="Times New Roman"/>
                <w:sz w:val="25"/>
                <w:szCs w:val="25"/>
                <w:lang w:eastAsia="hi-IN"/>
              </w:rPr>
            </w:r>
            <w:r>
              <w:rPr>
                <w:rFonts w:ascii="Times New Roman" w:hAnsi="Times New Roman"/>
                <w:sz w:val="25"/>
                <w:szCs w:val="25"/>
                <w:lang w:eastAsia="hi-IN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40" w:type="dxa"/>
            <w:textDirection w:val="lrTb"/>
            <w:noWrap w:val="false"/>
          </w:tcPr>
          <w:p>
            <w:pPr>
              <w:pStyle w:val="622"/>
              <w:spacing w:line="276" w:lineRule="auto"/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ar-SA"/>
              </w:rPr>
            </w:r>
          </w:p>
        </w:tc>
      </w:tr>
      <w:tr>
        <w:tblPrEx/>
        <w:trPr>
          <w:trHeight w:val="286"/>
        </w:trPr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178" w:type="dxa"/>
            <w:textDirection w:val="lrTb"/>
            <w:noWrap w:val="false"/>
          </w:tcPr>
          <w:p>
            <w:pPr>
              <w:pStyle w:val="622"/>
              <w:jc w:val="both"/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eastAsia="ar-SA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622"/>
              <w:jc w:val="both"/>
              <w:spacing w:line="276" w:lineRule="auto"/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</w:p>
          <w:p>
            <w:pPr>
              <w:pStyle w:val="622"/>
              <w:jc w:val="both"/>
              <w:spacing w:line="276" w:lineRule="auto"/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О.С. Степашкина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40" w:type="dxa"/>
            <w:textDirection w:val="lrTb"/>
            <w:noWrap w:val="false"/>
          </w:tcPr>
          <w:p>
            <w:pPr>
              <w:pStyle w:val="622"/>
              <w:jc w:val="both"/>
              <w:spacing w:line="276" w:lineRule="auto"/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</w:p>
          <w:p>
            <w:pPr>
              <w:pStyle w:val="622"/>
              <w:jc w:val="both"/>
              <w:spacing w:line="276" w:lineRule="auto"/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</w:p>
          <w:p>
            <w:pPr>
              <w:pStyle w:val="622"/>
              <w:jc w:val="both"/>
              <w:spacing w:line="276" w:lineRule="auto"/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  <w:t xml:space="preserve">_____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  <w:t xml:space="preserve">И.О. Фамилия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</w:p>
        </w:tc>
      </w:tr>
    </w:tbl>
    <w:p>
      <w:pPr>
        <w:spacing w:after="200" w:line="276" w:lineRule="auto"/>
        <w:widowControl/>
        <w:rPr>
          <w:rFonts w:ascii="Times New Roman" w:hAnsi="Times New Roman" w:eastAsia="Times New Roman" w:cs="Times New Roman"/>
          <w:sz w:val="25"/>
          <w:szCs w:val="25"/>
          <w:lang w:eastAsia="hi-IN"/>
        </w:rPr>
      </w:pPr>
      <w:r>
        <w:rPr>
          <w:rFonts w:ascii="Times New Roman" w:hAnsi="Times New Roman" w:eastAsia="Times New Roman" w:cs="Times New Roman"/>
          <w:sz w:val="25"/>
          <w:szCs w:val="25"/>
        </w:rPr>
        <w:br w:type="page" w:clear="all"/>
      </w:r>
      <w:r>
        <w:rPr>
          <w:rFonts w:ascii="Times New Roman" w:hAnsi="Times New Roman" w:eastAsia="Times New Roman" w:cs="Times New Roman"/>
          <w:sz w:val="25"/>
          <w:szCs w:val="25"/>
          <w:lang w:eastAsia="hi-IN"/>
        </w:rPr>
      </w:r>
    </w:p>
    <w:p>
      <w:pPr>
        <w:pStyle w:val="624"/>
        <w:jc w:val="right"/>
        <w:spacing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Приложение № 1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4"/>
        <w:ind w:left="5669"/>
        <w:jc w:val="right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к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онтракту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№__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_______ от __.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__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 2026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г.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left="5669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jc w:val="center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СПЕЦИФИКАЦИЯ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4"/>
        <w:ind w:left="5669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tbl>
      <w:tblPr>
        <w:tblW w:w="1006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77"/>
        <w:gridCol w:w="2835"/>
        <w:gridCol w:w="2694"/>
        <w:gridCol w:w="698"/>
        <w:gridCol w:w="997"/>
        <w:gridCol w:w="1130"/>
        <w:gridCol w:w="1134"/>
      </w:tblGrid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line="254" w:lineRule="auto"/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line="254" w:lineRule="auto"/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Наименование товара, страна происхождения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jc w:val="center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Технические характеристики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dxa"/>
            <w:vAlign w:val="center"/>
            <w:textDirection w:val="lrTb"/>
            <w:noWrap w:val="false"/>
          </w:tcPr>
          <w:p>
            <w:pPr>
              <w:jc w:val="center"/>
              <w:spacing w:line="254" w:lineRule="auto"/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vAlign w:val="center"/>
            <w:textDirection w:val="lrTb"/>
            <w:noWrap w:val="false"/>
          </w:tcPr>
          <w:p>
            <w:pPr>
              <w:jc w:val="center"/>
              <w:spacing w:line="254" w:lineRule="auto"/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spacing w:line="254" w:lineRule="auto"/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Цена за ед.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, руб.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54" w:lineRule="auto"/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Сумма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, руб.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53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line="254" w:lineRule="auto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line="254" w:lineRule="auto"/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Коммутатор неуправляемый 24-портовый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Базовая скорость передачи данных: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widowControl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 Мбит/сек, 1000 Мбит/сек.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widowControl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портов коммутатора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x RJ-45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9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line="254" w:lineRule="auto"/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line="254" w:lineRule="auto"/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Коммутатор неуправляемый 8-портовый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Базовая скорость передачи данных: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 Мбит/сек, 1000 Мбит/сек.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портов коммутатора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x RJ-45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626"/>
        <w:spacing w:before="0"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6"/>
        <w:jc w:val="left"/>
        <w:spacing w:before="0" w:line="276" w:lineRule="auto"/>
        <w:rPr>
          <w:rFonts w:ascii="Times New Roman" w:hAnsi="Times New Roman" w:eastAsia="Times New Roman" w:cs="Times New Roman"/>
          <w:sz w:val="25"/>
          <w:szCs w:val="25"/>
          <w:u w:val="single"/>
        </w:rPr>
      </w:pPr>
      <w:r>
        <w:rPr>
          <w:rFonts w:ascii="Times New Roman" w:hAnsi="Times New Roman" w:eastAsia="Times New Roman" w:cs="Times New Roman"/>
          <w:sz w:val="25"/>
          <w:szCs w:val="25"/>
          <w:u w:val="single"/>
        </w:rPr>
      </w:r>
      <w:r>
        <w:rPr>
          <w:rFonts w:ascii="Times New Roman" w:hAnsi="Times New Roman" w:eastAsia="Times New Roman" w:cs="Times New Roman"/>
          <w:sz w:val="25"/>
          <w:szCs w:val="25"/>
          <w:u w:val="single"/>
        </w:rPr>
      </w:r>
    </w:p>
    <w:p>
      <w:pPr>
        <w:pStyle w:val="625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Цена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онтракта составляет </w:t>
      </w:r>
      <w:r>
        <w:rPr>
          <w:rFonts w:ascii="Times New Roman" w:hAnsi="Times New Roman" w:cs="Times New Roman"/>
          <w:color w:val="334059"/>
          <w:sz w:val="25"/>
          <w:szCs w:val="25"/>
        </w:rPr>
        <w:t xml:space="preserve">______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(_________) руб. __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коп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,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в том числе НДС/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без НДС</w:t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5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Style w:val="625"/>
        <w:jc w:val="both"/>
        <w:spacing w:line="276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tbl>
      <w:tblPr>
        <w:tblW w:w="1030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4"/>
        <w:gridCol w:w="5187"/>
      </w:tblGrid>
      <w:tr>
        <w:tblPrEx/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114" w:type="dxa"/>
            <w:textDirection w:val="lrTb"/>
            <w:noWrap w:val="false"/>
          </w:tcPr>
          <w:p>
            <w:pPr>
              <w:pStyle w:val="624"/>
              <w:jc w:val="both"/>
              <w:spacing w:line="276" w:lineRule="auto"/>
              <w:rPr>
                <w:rFonts w:ascii="Times New Roman" w:hAnsi="Times New Roman" w:eastAsia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</w:rPr>
            </w:r>
          </w:p>
          <w:p>
            <w:pPr>
              <w:pStyle w:val="622"/>
              <w:jc w:val="both"/>
              <w:spacing w:line="276" w:lineRule="auto"/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</w:p>
          <w:p>
            <w:pPr>
              <w:pStyle w:val="622"/>
              <w:jc w:val="both"/>
              <w:spacing w:line="276" w:lineRule="auto"/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О.С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Степашкина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ar-SA"/>
              </w:rPr>
            </w:r>
          </w:p>
          <w:p>
            <w:pPr>
              <w:pStyle w:val="622"/>
              <w:jc w:val="both"/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624"/>
              <w:jc w:val="both"/>
              <w:spacing w:line="276" w:lineRule="auto"/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187" w:type="dxa"/>
            <w:textDirection w:val="lrTb"/>
            <w:noWrap w:val="false"/>
          </w:tcPr>
          <w:p>
            <w:pPr>
              <w:pStyle w:val="624"/>
              <w:jc w:val="both"/>
              <w:spacing w:line="276" w:lineRule="auto"/>
              <w:widowControl/>
              <w:rPr>
                <w:rFonts w:ascii="Times New Roman" w:hAnsi="Times New Roman" w:eastAsia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</w:rPr>
              <w:t xml:space="preserve">                  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</w:rPr>
            </w:r>
          </w:p>
          <w:tbl>
            <w:tblPr>
              <w:tblW w:w="1030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301"/>
            </w:tblGrid>
            <w:tr>
              <w:tblPrEx/>
              <w:trPr/>
              <w:tc>
                <w:tcPr>
                  <w:shd w:val="clear" w:color="auto" w:fill="auto"/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5187" w:type="dxa"/>
                  <w:textDirection w:val="lrTb"/>
                  <w:noWrap w:val="false"/>
                </w:tcPr>
                <w:p>
                  <w:pPr>
                    <w:pStyle w:val="624"/>
                    <w:jc w:val="both"/>
                    <w:spacing w:line="276" w:lineRule="auto"/>
                    <w:widowControl/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</w:r>
                </w:p>
                <w:p>
                  <w:pPr>
                    <w:pStyle w:val="624"/>
                    <w:jc w:val="both"/>
                    <w:spacing w:line="276" w:lineRule="auto"/>
                    <w:widowControl/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  <w:t xml:space="preserve">_________________</w:t>
                  </w: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  <w:t xml:space="preserve">/</w:t>
                  </w: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  <w:t xml:space="preserve">И.О. Фамилия</w:t>
                  </w: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</w:r>
                </w:p>
                <w:p>
                  <w:pPr>
                    <w:pStyle w:val="624"/>
                    <w:jc w:val="both"/>
                    <w:spacing w:line="276" w:lineRule="auto"/>
                    <w:widowControl/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lang w:eastAsia="en-US"/>
                    </w:rPr>
                  </w:r>
                </w:p>
              </w:tc>
            </w:tr>
          </w:tbl>
          <w:p>
            <w:pPr>
              <w:pStyle w:val="624"/>
              <w:jc w:val="both"/>
              <w:spacing w:line="276" w:lineRule="auto"/>
              <w:widowControl/>
              <w:rPr>
                <w:rFonts w:ascii="Times New Roman" w:hAnsi="Times New Roman" w:eastAsia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en-US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imes New Roman">
    <w:panose1 w:val="02020603050405020304"/>
  </w:font>
  <w:font w:name="Calibri">
    <w:panose1 w:val="020F0502020204030204"/>
  </w:font>
  <w:font w:name="Georgia">
    <w:panose1 w:val="02040502050405020303"/>
  </w:font>
  <w:font w:name="Arial Unicode MS">
    <w:panose1 w:val="020B0604020202020204"/>
  </w:font>
  <w:font w:name="Arial">
    <w:panose1 w:val="020B0604020202020204"/>
  </w:font>
  <w:font w:name="PT Astra Serif">
    <w:panose1 w:val="020A0603040505020204"/>
  </w:font>
  <w:font w:name="Courier New">
    <w:panose1 w:val="02070309020205020404"/>
  </w:font>
  <w:font w:name="Lohit Devanagari">
    <w:panose1 w:val="02000603000000000000"/>
  </w:font>
  <w:font w:name="Source Han Sans CN Regular">
    <w:panose1 w:val="02000603000000000000"/>
  </w:font>
  <w:font w:name="Liberation Serif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pPr>
      <w:spacing w:after="0" w:line="240" w:lineRule="auto"/>
      <w:widowControl w:val="off"/>
    </w:pPr>
    <w:rPr>
      <w:rFonts w:ascii="Liberation Serif" w:hAnsi="Liberation Serif" w:eastAsia="Source Han Sans CN Regular" w:cs="Lohit Devanagari"/>
      <w:sz w:val="24"/>
      <w:szCs w:val="24"/>
      <w:lang w:eastAsia="ru-RU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 w:customStyle="1">
    <w:name w:val="Standard"/>
    <w:pPr>
      <w:jc w:val="center"/>
      <w:spacing w:after="0" w:line="240" w:lineRule="auto"/>
      <w:widowControl w:val="off"/>
    </w:pPr>
    <w:rPr>
      <w:rFonts w:ascii="PT Astra Serif" w:hAnsi="PT Astra Serif" w:eastAsia="Source Han Sans CN Regular" w:cs="Lohit Devanagari"/>
      <w:sz w:val="28"/>
      <w:szCs w:val="24"/>
      <w:lang w:eastAsia="ru-RU"/>
    </w:rPr>
  </w:style>
  <w:style w:type="paragraph" w:styleId="623" w:customStyle="1">
    <w:name w:val="Table Contents"/>
    <w:basedOn w:val="622"/>
  </w:style>
  <w:style w:type="paragraph" w:styleId="624" w:customStyle="1">
    <w:name w:val="ConsPlusNormal"/>
    <w:link w:val="630"/>
    <w:qFormat/>
    <w:pPr>
      <w:spacing w:after="0" w:line="240" w:lineRule="auto"/>
      <w:widowControl w:val="off"/>
    </w:pPr>
    <w:rPr>
      <w:rFonts w:ascii="Arial" w:hAnsi="Arial" w:eastAsia="Liberation Serif" w:cs="Liberation Serif"/>
      <w:sz w:val="20"/>
      <w:szCs w:val="24"/>
      <w:lang w:eastAsia="hi-IN"/>
    </w:rPr>
  </w:style>
  <w:style w:type="paragraph" w:styleId="625" w:customStyle="1">
    <w:name w:val="ConsPlusCell"/>
    <w:pPr>
      <w:spacing w:after="0" w:line="240" w:lineRule="auto"/>
      <w:widowControl w:val="off"/>
    </w:pPr>
    <w:rPr>
      <w:rFonts w:ascii="Courier New" w:hAnsi="Courier New" w:eastAsia="Liberation Serif" w:cs="Liberation Serif"/>
      <w:sz w:val="20"/>
      <w:szCs w:val="24"/>
      <w:lang w:eastAsia="hi-IN"/>
    </w:rPr>
  </w:style>
  <w:style w:type="paragraph" w:styleId="626" w:customStyle="1">
    <w:name w:val="Основной текст (4)"/>
    <w:basedOn w:val="622"/>
    <w:pPr>
      <w:spacing w:before="600" w:line="240" w:lineRule="exact"/>
      <w:shd w:val="clear" w:color="auto" w:fill="ffffff"/>
    </w:pPr>
    <w:rPr>
      <w:rFonts w:ascii="Georgia" w:hAnsi="Georgia"/>
    </w:rPr>
  </w:style>
  <w:style w:type="paragraph" w:styleId="627">
    <w:name w:val="No Spacing"/>
    <w:uiPriority w:val="1"/>
    <w:qFormat/>
    <w:pPr>
      <w:spacing w:after="0" w:line="240" w:lineRule="auto"/>
    </w:pPr>
    <w:rPr>
      <w:rFonts w:ascii="Arial Unicode MS" w:hAnsi="Arial Unicode MS" w:eastAsia="Arial Unicode MS" w:cs="Liberation Serif"/>
      <w:color w:val="000000"/>
      <w:sz w:val="24"/>
      <w:szCs w:val="24"/>
      <w:lang w:eastAsia="ar-SA"/>
    </w:rPr>
  </w:style>
  <w:style w:type="character" w:styleId="628" w:customStyle="1">
    <w:name w:val="text-green1"/>
    <w:basedOn w:val="619"/>
    <w:rPr>
      <w:color w:val="00ae76"/>
    </w:rPr>
  </w:style>
  <w:style w:type="character" w:styleId="629">
    <w:name w:val="endnote reference"/>
    <w:unhideWhenUsed/>
    <w:rPr>
      <w:position w:val="0"/>
      <w:vertAlign w:val="superscript"/>
    </w:rPr>
  </w:style>
  <w:style w:type="character" w:styleId="630" w:customStyle="1">
    <w:name w:val="ConsPlusNormal Знак"/>
    <w:link w:val="624"/>
    <w:qFormat/>
    <w:rPr>
      <w:rFonts w:ascii="Arial" w:hAnsi="Arial" w:eastAsia="Liberation Serif" w:cs="Liberation Serif"/>
      <w:sz w:val="20"/>
      <w:szCs w:val="24"/>
      <w:lang w:eastAsia="hi-IN"/>
    </w:rPr>
  </w:style>
  <w:style w:type="paragraph" w:styleId="631" w:customStyle="1">
    <w:name w:val="Без интервала3"/>
    <w:link w:val="632"/>
    <w:qFormat/>
    <w:pPr>
      <w:spacing w:after="0" w:line="240" w:lineRule="auto"/>
    </w:pPr>
    <w:rPr>
      <w:rFonts w:ascii="Calibri" w:hAnsi="Calibri" w:eastAsia="Times New Roman" w:cs="Times New Roman"/>
    </w:rPr>
  </w:style>
  <w:style w:type="character" w:styleId="632" w:customStyle="1">
    <w:name w:val="No Spacing Char2"/>
    <w:link w:val="631"/>
    <w:rPr>
      <w:rFonts w:ascii="Calibri" w:hAnsi="Calibri" w:eastAsia="Times New Roman" w:cs="Times New Roman"/>
    </w:rPr>
  </w:style>
  <w:style w:type="paragraph" w:styleId="633" w:customStyle="1">
    <w:name w:val="rel"/>
    <w:basedOn w:val="618"/>
    <w:pPr>
      <w:widowControl/>
    </w:pPr>
    <w:rPr>
      <w:rFonts w:ascii="Verdana" w:hAnsi="Verdana" w:eastAsia="Times New Roman" w:cs="Verdana"/>
      <w:color w:val="333333"/>
      <w:sz w:val="20"/>
      <w:szCs w:val="20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consultantplus://offline/ref=E7774EBBAA42A02866BB3D89961B4C3E3E21C6F4815262C63D34F272FF171ED90873B2F88B1309D8E4CF201FBFB89C2F81C5120B4962D776Y3cFM" TargetMode="External"/><Relationship Id="rId9" Type="http://schemas.openxmlformats.org/officeDocument/2006/relationships/hyperlink" Target="consultantplus://offline/ref=21BFB8ADD230D9A85D0C373DD3BD0751FA113D568EF6F47B7443D1409A43B91580D43972CAC8F3A429B3F4122AE1A03286EB8847BABDA6B4N3T0L" TargetMode="External"/><Relationship Id="rId10" Type="http://schemas.openxmlformats.org/officeDocument/2006/relationships/hyperlink" Target="consultantplus://offline/ref=EB47FF6A90316075A5D6C4320FAC4A9EA6FE26F51AE752214E551DB8A1D7B721ECC639EE4C304C894ACBB50AC2vD7CK" TargetMode="External"/><Relationship Id="rId11" Type="http://schemas.openxmlformats.org/officeDocument/2006/relationships/hyperlink" Target="file:///C:\mnt\disk1\8.%20&#1052;&#1045;&#1044;&#1057;&#1051;&#1059;&#1046;&#1041;&#1040;\3.%20&#1053;&#1040;&#1063;%20&#1040;&#1055;&#1058;&#1045;&#1050;&#1048;\&#1047;&#1072;&#1082;&#1091;&#1087;%202020-100&#1090;&#1088;\29.12.2017)%7b&#1050;&#1086;&#1085;&#1089;&#1091;&#1083;&#1100;&#1090;&#1072;&#1085;&#1090;&#1055;&#1083;&#1102;&#1089;%7d" TargetMode="External"/><Relationship Id="rId12" Type="http://schemas.openxmlformats.org/officeDocument/2006/relationships/hyperlink" Target="file:///C:\mnt\disk1\8.%20&#1052;&#1045;&#1044;&#1057;&#1051;&#1059;&#1046;&#1041;&#1040;\3.%20&#1053;&#1040;&#1063;%20&#1040;&#1055;&#1058;&#1045;&#1050;&#1048;\&#1047;&#1072;&#1082;&#1091;&#1087;%202020-100&#1090;&#1088;\11.01.2018)%7b&#1050;&#1086;&#1085;&#1089;&#1091;&#1083;&#1100;&#1090;&#1072;&#1085;&#1090;&#1055;&#1083;&#1102;&#1089;%7d" TargetMode="External"/><Relationship Id="rId13" Type="http://schemas.openxmlformats.org/officeDocument/2006/relationships/hyperlink" Target="mailto:tu29-zakypki@fsvps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Романов</cp:lastModifiedBy>
  <cp:revision>3</cp:revision>
  <dcterms:created xsi:type="dcterms:W3CDTF">2026-08-27T14:24:00Z</dcterms:created>
  <dcterms:modified xsi:type="dcterms:W3CDTF">2026-08-28T08:09:39Z</dcterms:modified>
</cp:coreProperties>
</file>