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E82099">
        <w:tblPrEx>
          <w:tblCellMar>
            <w:top w:w="0" w:type="dxa"/>
            <w:left w:w="0" w:type="dxa"/>
            <w:bottom w:w="0" w:type="dxa"/>
            <w:right w:w="0" w:type="dxa"/>
          </w:tblCellMar>
        </w:tblPrEx>
        <w:tc>
          <w:tcPr>
            <w:tcW w:w="2834" w:type="dxa"/>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rsidR="00E82099" w:rsidRDefault="00E82099">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BD7911">
              <w:rPr>
                <w:rFonts w:ascii="Times" w:hAnsi="Times" w:cs="Times"/>
                <w:b/>
                <w:bCs/>
                <w:color w:val="000000"/>
              </w:rPr>
              <w:t>_</w:t>
            </w:r>
          </w:p>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«Контур.Диадок»</w:t>
            </w:r>
          </w:p>
        </w:tc>
        <w:tc>
          <w:tcPr>
            <w:tcW w:w="2834" w:type="dxa"/>
            <w:tcBorders>
              <w:top w:val="nil"/>
              <w:left w:val="nil"/>
              <w:bottom w:val="nil"/>
              <w:right w:val="nil"/>
            </w:tcBorders>
          </w:tcPr>
          <w:p w:rsidR="00E82099" w:rsidRDefault="007E69B4">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noProof/>
                <w:color w:val="000000"/>
                <w:sz w:val="18"/>
                <w:szCs w:val="18"/>
              </w:rPr>
              <w:drawing>
                <wp:inline distT="0" distB="0" distL="0" distR="0">
                  <wp:extent cx="5429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r>
      <w:tr w:rsidR="00E82099">
        <w:tblPrEx>
          <w:tblCellMar>
            <w:top w:w="0" w:type="dxa"/>
            <w:left w:w="0" w:type="dxa"/>
            <w:bottom w:w="0" w:type="dxa"/>
            <w:right w:w="0" w:type="dxa"/>
          </w:tblCellMar>
        </w:tblPrEx>
        <w:tc>
          <w:tcPr>
            <w:tcW w:w="5187" w:type="dxa"/>
            <w:gridSpan w:val="2"/>
            <w:tcBorders>
              <w:top w:val="nil"/>
              <w:left w:val="nil"/>
              <w:bottom w:val="nil"/>
              <w:right w:val="nil"/>
            </w:tcBorders>
          </w:tcPr>
          <w:p w:rsidR="00E82099" w:rsidRPr="009C5650" w:rsidRDefault="009C565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с. Лермонтово</w:t>
            </w:r>
          </w:p>
          <w:p w:rsidR="00F76B6B" w:rsidRDefault="00F76B6B">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rsidR="00E82099" w:rsidRDefault="00BD7911">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w:t>
            </w:r>
            <w:r w:rsidR="00E82099">
              <w:rPr>
                <w:rFonts w:ascii="Times" w:hAnsi="Times" w:cs="Times"/>
                <w:color w:val="000000"/>
                <w:sz w:val="18"/>
                <w:szCs w:val="18"/>
              </w:rPr>
              <w:t>.2026</w:t>
            </w:r>
          </w:p>
        </w:tc>
      </w:tr>
      <w:tr w:rsidR="00902439">
        <w:tblPrEx>
          <w:tblCellMar>
            <w:top w:w="0" w:type="dxa"/>
            <w:left w:w="0" w:type="dxa"/>
            <w:bottom w:w="0" w:type="dxa"/>
            <w:right w:w="0" w:type="dxa"/>
          </w:tblCellMar>
        </w:tblPrEx>
        <w:tc>
          <w:tcPr>
            <w:tcW w:w="5187" w:type="dxa"/>
            <w:gridSpan w:val="2"/>
            <w:tcBorders>
              <w:top w:val="nil"/>
              <w:left w:val="nil"/>
              <w:bottom w:val="nil"/>
              <w:right w:val="nil"/>
            </w:tcBorders>
          </w:tcPr>
          <w:p w:rsidR="00902439" w:rsidRDefault="00902439">
            <w:pPr>
              <w:widowControl w:val="0"/>
              <w:autoSpaceDE w:val="0"/>
              <w:autoSpaceDN w:val="0"/>
              <w:adjustRightInd w:val="0"/>
              <w:spacing w:after="0" w:line="240" w:lineRule="auto"/>
              <w:rPr>
                <w:rFonts w:ascii="Times" w:hAnsi="Times" w:cs="Times"/>
                <w:color w:val="000000"/>
                <w:sz w:val="18"/>
                <w:szCs w:val="18"/>
              </w:rPr>
            </w:pPr>
          </w:p>
          <w:p w:rsidR="00902439" w:rsidRDefault="00902439">
            <w:pPr>
              <w:widowControl w:val="0"/>
              <w:autoSpaceDE w:val="0"/>
              <w:autoSpaceDN w:val="0"/>
              <w:adjustRightInd w:val="0"/>
              <w:spacing w:after="0" w:line="240" w:lineRule="auto"/>
              <w:rPr>
                <w:rFonts w:ascii="Times" w:hAnsi="Times" w:cs="Times"/>
                <w:color w:val="000000"/>
                <w:sz w:val="18"/>
                <w:szCs w:val="18"/>
              </w:rPr>
            </w:pPr>
            <w:r w:rsidRPr="00902439">
              <w:rPr>
                <w:rFonts w:ascii="Times" w:hAnsi="Times" w:cs="Times"/>
                <w:color w:val="000000"/>
                <w:sz w:val="18"/>
                <w:szCs w:val="18"/>
              </w:rPr>
              <w:t>ИКЗ   261581000113958100100100100000000244</w:t>
            </w:r>
          </w:p>
          <w:p w:rsidR="00902439" w:rsidRDefault="00902439">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rsidR="00902439" w:rsidRDefault="00902439">
            <w:pPr>
              <w:widowControl w:val="0"/>
              <w:autoSpaceDE w:val="0"/>
              <w:autoSpaceDN w:val="0"/>
              <w:adjustRightInd w:val="0"/>
              <w:spacing w:after="0" w:line="240" w:lineRule="auto"/>
              <w:jc w:val="right"/>
              <w:rPr>
                <w:rFonts w:ascii="Times" w:hAnsi="Times" w:cs="Times"/>
                <w:color w:val="000000"/>
                <w:sz w:val="18"/>
                <w:szCs w:val="18"/>
              </w:rPr>
            </w:pPr>
          </w:p>
        </w:tc>
      </w:tr>
    </w:tbl>
    <w:p w:rsidR="00E82099" w:rsidRDefault="00BD791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w:t>
      </w:r>
      <w:r w:rsidR="00E82099">
        <w:rPr>
          <w:rFonts w:ascii="Times" w:hAnsi="Times" w:cs="Times"/>
          <w:color w:val="000000"/>
          <w:sz w:val="18"/>
          <w:szCs w:val="18"/>
        </w:rPr>
        <w:t xml:space="preserve"> именуемое в дальнейшем Лицензиар, в лице ⁠      ⁠, действующ⁠      ⁠ на основании ⁠      ⁠, с одной стороны, и </w:t>
      </w:r>
      <w:r w:rsidR="00F76B6B" w:rsidRPr="00F76B6B">
        <w:rPr>
          <w:rFonts w:ascii="Times" w:hAnsi="Times" w:cs="Times"/>
          <w:color w:val="000000"/>
          <w:sz w:val="18"/>
          <w:szCs w:val="18"/>
        </w:rPr>
        <w:t xml:space="preserve">Федеральное государственное бюджетное учреждение культуры «Государственный Лермонтовский музей-заповедник «Тарханы», </w:t>
      </w:r>
      <w:r w:rsidR="00E82099">
        <w:rPr>
          <w:rFonts w:ascii="Times" w:hAnsi="Times" w:cs="Times"/>
          <w:color w:val="000000"/>
          <w:sz w:val="18"/>
          <w:szCs w:val="18"/>
        </w:rPr>
        <w:t xml:space="preserve">именуем в дальнейшем Лицензиат, в лице </w:t>
      </w:r>
      <w:r w:rsidR="00F76B6B">
        <w:rPr>
          <w:rFonts w:ascii="Times" w:hAnsi="Times" w:cs="Times"/>
          <w:color w:val="000000"/>
          <w:sz w:val="18"/>
          <w:szCs w:val="18"/>
        </w:rPr>
        <w:t>директора Печниковой Юлии Викторовны</w:t>
      </w:r>
      <w:r w:rsidR="00E82099">
        <w:rPr>
          <w:rFonts w:ascii="Times" w:hAnsi="Times" w:cs="Times"/>
          <w:color w:val="000000"/>
          <w:sz w:val="18"/>
          <w:szCs w:val="18"/>
        </w:rPr>
        <w:t xml:space="preserve">, действующ на основании </w:t>
      </w:r>
      <w:r w:rsidR="00F76B6B">
        <w:rPr>
          <w:rFonts w:ascii="Times" w:hAnsi="Times" w:cs="Times"/>
          <w:color w:val="000000"/>
          <w:sz w:val="18"/>
          <w:szCs w:val="18"/>
        </w:rPr>
        <w:t>Устава</w:t>
      </w:r>
      <w:r w:rsidR="00E82099">
        <w:rPr>
          <w:rFonts w:ascii="Times" w:hAnsi="Times" w:cs="Times"/>
          <w:color w:val="000000"/>
          <w:sz w:val="18"/>
          <w:szCs w:val="18"/>
        </w:rPr>
        <w:t>, с другой стороны, совместно именуемые в дальнейшем Стороны,</w:t>
      </w:r>
      <w:r w:rsidR="009C5650" w:rsidRPr="009C5650">
        <w:t xml:space="preserve"> </w:t>
      </w:r>
      <w:r w:rsidR="009C5650" w:rsidRPr="009C5650">
        <w:rPr>
          <w:rFonts w:ascii="Times" w:hAnsi="Times" w:cs="Times"/>
          <w:color w:val="000000"/>
          <w:sz w:val="18"/>
          <w:szCs w:val="18"/>
        </w:rPr>
        <w:t xml:space="preserve">»,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закупочной сессии ЕАТ Березка № ____________, </w:t>
      </w:r>
      <w:r w:rsidR="00E82099">
        <w:rPr>
          <w:rFonts w:ascii="Times" w:hAnsi="Times" w:cs="Times"/>
          <w:color w:val="000000"/>
          <w:sz w:val="18"/>
          <w:szCs w:val="18"/>
        </w:rPr>
        <w:t>заключили Лицензионный договор о нижеследующем.</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Контур.Диадока)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Сублицензионный договор на использование программы для ЭВМ СКЗИ «КриптоПро CSP» (Приложение № 4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Списки Конечных пользователей (Приложение № 2 и 3 к Лицензионному договору) – документы, содержащие информацию о Конечных пользователях, являющиеся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Лицензии на право использования Продукта (за исключением лицензий, указанных в п. 1.6.1 Лицензионного договора) и/или лицензии на иное программное обеспечение, а также услуги или работы, предусмотренные Прайс-листом, приобретаются отдельно в отношении Лицензиата и/или каждого Конечного пользователя, если Прайс-листом не установлено иное.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1.6.1. Приложение № 2 подписывается в случае приобретения для совместного использования Лицензиатом и Конечными пользователями лицензий на пакетные Тарифные планы и иных лицензий, если возможность приобретения иных лицензий для совместного использования предусмотрена Прайс-листом.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(Приложение № 2)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1.6.2. Приложение № 3 подписывается в случае приобретения Лицензиатом в интересах Конечных пользователей лицензий на использование Продукта в целях индивидуального использования определенным Конечным пользователем. Каждый новый Список Конечных пользователей (Приложение № 3) не заменяет предыдущую редакцию Списка Конечных пользователей. Лицензионный договор считается заключенным в интересах перечисленных Конечных пользователей до окончания срока действия приобретаемых лицензий.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5" w:history="1">
        <w:r>
          <w:rPr>
            <w:rFonts w:ascii="Times" w:hAnsi="Times" w:cs="Times"/>
            <w:color w:val="0000CD"/>
            <w:sz w:val="18"/>
            <w:szCs w:val="18"/>
          </w:rPr>
          <w:t>https://www.diadoc.ru/price</w:t>
        </w:r>
      </w:hyperlink>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«КЭДО». Актуальная редакция Порядка выдачи сертификатов НЭП публикуется Лицензиаром по адресу </w:t>
      </w:r>
      <w:hyperlink r:id="rId6" w:history="1">
        <w:r>
          <w:rPr>
            <w:rFonts w:ascii="Times" w:hAnsi="Times" w:cs="Times"/>
            <w:color w:val="0000CD"/>
            <w:sz w:val="18"/>
            <w:szCs w:val="18"/>
          </w:rPr>
          <w:t>https://kontur.ru/kedo/docs/poryadok-vydachi-sertifikatov</w:t>
        </w:r>
      </w:hyperlink>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«КЭДО» или с момента начала использования сервиса «КЭДО».</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7" w:history="1">
        <w:r>
          <w:rPr>
            <w:rFonts w:ascii="Times" w:hAnsi="Times" w:cs="Times"/>
            <w:color w:val="0000CD"/>
            <w:sz w:val="18"/>
            <w:szCs w:val="18"/>
          </w:rPr>
          <w:t>https://ca.kontur.ru</w:t>
        </w:r>
      </w:hyperlink>
      <w:r>
        <w:rPr>
          <w:rFonts w:ascii="Times" w:hAnsi="Times" w:cs="Times"/>
          <w:color w:val="000000"/>
          <w:sz w:val="18"/>
          <w:szCs w:val="18"/>
        </w:rPr>
        <w:t xml:space="preserve">.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w:t>
      </w:r>
      <w:r>
        <w:rPr>
          <w:rFonts w:ascii="Times" w:hAnsi="Times" w:cs="Times"/>
          <w:color w:val="000000"/>
          <w:sz w:val="18"/>
          <w:szCs w:val="18"/>
        </w:rPr>
        <w:lastRenderedPageBreak/>
        <w:t>и/или дополнения в Правила путем публикации на сайте.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8" w:history="1">
        <w:r>
          <w:rPr>
            <w:rFonts w:ascii="Times" w:hAnsi="Times" w:cs="Times"/>
            <w:color w:val="0000CD"/>
            <w:sz w:val="18"/>
            <w:szCs w:val="18"/>
          </w:rPr>
          <w:t>http://ca.kontur.ru</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w:t>
      </w:r>
      <w:hyperlink r:id="rId9" w:history="1">
        <w:r>
          <w:rPr>
            <w:rFonts w:ascii="Times" w:hAnsi="Times" w:cs="Times"/>
            <w:color w:val="0000CD"/>
            <w:sz w:val="18"/>
            <w:szCs w:val="18"/>
          </w:rPr>
          <w:t>https://kontur.ru/diadoc/mtedo</w:t>
        </w:r>
      </w:hyperlink>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Пользовательская документация – совокупность справочных материалов, описывающих функциональные возможности Продукта и порядок их использования. Опубликована на странице </w:t>
      </w:r>
      <w:hyperlink r:id="rId10" w:history="1">
        <w:r>
          <w:rPr>
            <w:rFonts w:ascii="Times" w:hAnsi="Times" w:cs="Times"/>
            <w:color w:val="0000CD"/>
            <w:sz w:val="18"/>
            <w:szCs w:val="18"/>
          </w:rPr>
          <w:t>https://support.kontur.ru/diadoc</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11" w:history="1">
        <w:r>
          <w:rPr>
            <w:rFonts w:ascii="Times" w:hAnsi="Times" w:cs="Times"/>
            <w:color w:val="0000CD"/>
            <w:sz w:val="18"/>
            <w:szCs w:val="18"/>
          </w:rPr>
          <w:t>https://kontur.ru/contacts/all</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Если Лицензиату требуется СКЗИ, то Лицензиар обязуется возмездно передать простые (неисключительные) лицензии на право использования СКЗИ на условиях Сублицензионного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При необходимости Лицензиату могут быть возмездно предоставлены лицензии на иное программное обеспечение, оказаны услуги, выполнены работы, предусмотренные Прайс-листом Лицензиара.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Лицензиар имеет право по своему усмотрению привлекать третьих лиц для оказания услуг и выполнения работ с соответствующим уведомлением Лицензиата по электронной почте, при этом оставаясь ответственным перед Лицензиатом за действия привлеченных третьих лиц. Лицензиат имеет право отказаться от оказания услуг и (или) выполнения работ привлеченным третьим лицом.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Лицензиар предоставляет Лицензиату право использования Продукта путем: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При этом Лицензиар в течение 5 (пяти) календарных дней с момента </w:t>
      </w:r>
      <w:r w:rsidR="00BD7911">
        <w:rPr>
          <w:rFonts w:ascii="Times" w:hAnsi="Times" w:cs="Times"/>
          <w:color w:val="000000"/>
          <w:sz w:val="18"/>
          <w:szCs w:val="18"/>
        </w:rPr>
        <w:t>заключения Договора</w:t>
      </w:r>
      <w:r>
        <w:rPr>
          <w:rFonts w:ascii="Times" w:hAnsi="Times" w:cs="Times"/>
          <w:color w:val="000000"/>
          <w:sz w:val="18"/>
          <w:szCs w:val="18"/>
        </w:rPr>
        <w:t xml:space="preserve">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2" w:history="1">
        <w:r>
          <w:rPr>
            <w:rFonts w:ascii="Times" w:hAnsi="Times" w:cs="Times"/>
            <w:color w:val="0000CD"/>
            <w:sz w:val="18"/>
            <w:szCs w:val="18"/>
          </w:rPr>
          <w:t>https://www.diadoc.ru/order1c</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либо предоставления доступа к Кабинету интегратора (</w:t>
      </w:r>
      <w:hyperlink r:id="rId13" w:history="1">
        <w:r>
          <w:rPr>
            <w:rFonts w:ascii="Times" w:hAnsi="Times" w:cs="Times"/>
            <w:color w:val="0000CD"/>
            <w:sz w:val="18"/>
            <w:szCs w:val="18"/>
          </w:rPr>
          <w:t>https://integrations.kontur.ru</w:t>
        </w:r>
      </w:hyperlink>
      <w:r>
        <w:rPr>
          <w:rFonts w:ascii="Times" w:hAnsi="Times" w:cs="Times"/>
          <w:color w:val="000000"/>
          <w:sz w:val="18"/>
          <w:szCs w:val="18"/>
        </w:rPr>
        <w:t xml:space="preserve">) для интеграции Продукта с информационными системами при помощи API, если на странице </w:t>
      </w:r>
      <w:hyperlink r:id="rId14" w:history="1">
        <w:r>
          <w:rPr>
            <w:rFonts w:ascii="Times" w:hAnsi="Times" w:cs="Times"/>
            <w:color w:val="0000CD"/>
            <w:sz w:val="18"/>
            <w:szCs w:val="18"/>
          </w:rPr>
          <w:t>https://developer.kontur.ru/Docs/diadoc-api/authentication.html</w:t>
        </w:r>
      </w:hyperlink>
      <w:r>
        <w:rPr>
          <w:rFonts w:ascii="Times" w:hAnsi="Times" w:cs="Times"/>
          <w:color w:val="000000"/>
          <w:sz w:val="18"/>
          <w:szCs w:val="18"/>
        </w:rPr>
        <w:t xml:space="preserve"> не предусмотрено иное;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территории всего мира.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3.3. Лицензиар предоставляет Лицензиату право использовать Продукт по его функциональному назначению следующими способами: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3.5.2. дизассемблировать, декомпилировать, адаптировать и модифицировать Продукт (за исключением, установленным п. 3.3.3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3.5.5. использовать для направления и подписания документов функциональность «Приглашения», описанную в Пользовательской документации, за исключением писем о переходе на электронный документооборот или соглашений об электронном документообороте.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функциональности, описанной в Пользовательской документации;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hyperlink r:id="rId15" w:history="1">
        <w:r>
          <w:rPr>
            <w:rFonts w:ascii="Times" w:hAnsi="Times" w:cs="Times"/>
            <w:color w:val="0000CD"/>
            <w:sz w:val="18"/>
            <w:szCs w:val="18"/>
          </w:rPr>
          <w:t>https://kontur.ru/about/licences</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соответствии с Пользовательской документацией;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hyperlink r:id="rId16" w:history="1">
        <w:r>
          <w:rPr>
            <w:rFonts w:ascii="Times" w:hAnsi="Times" w:cs="Times"/>
            <w:color w:val="0000CD"/>
            <w:sz w:val="18"/>
            <w:szCs w:val="18"/>
          </w:rPr>
          <w:t>https://www.diadoc.ru/order1c</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hyperlink r:id="rId17" w:history="1">
        <w:r>
          <w:rPr>
            <w:rFonts w:ascii="Times" w:hAnsi="Times" w:cs="Times"/>
            <w:color w:val="0000CD"/>
            <w:sz w:val="18"/>
            <w:szCs w:val="18"/>
          </w:rPr>
          <w:t>https://www.diadoc.ru</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удаление из Продукта документов, направленных в нарушение запретов, установленных п. 3.5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w:t>
      </w:r>
      <w:r>
        <w:rPr>
          <w:rFonts w:ascii="Times" w:hAnsi="Times" w:cs="Times"/>
          <w:color w:val="000000"/>
          <w:sz w:val="18"/>
          <w:szCs w:val="18"/>
        </w:rPr>
        <w:lastRenderedPageBreak/>
        <w:t>программ для электронных вычислительных машин и баз данных, НДС не облагается на основании подп. 26 п. 2 ст. 149 Налогового кодекса Российской Федерации.</w:t>
      </w:r>
      <w:r w:rsidR="009C5650">
        <w:rPr>
          <w:rFonts w:ascii="Times" w:hAnsi="Times" w:cs="Times"/>
          <w:color w:val="000000"/>
          <w:sz w:val="18"/>
          <w:szCs w:val="18"/>
        </w:rPr>
        <w:t xml:space="preserve"> </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r w:rsidR="009C5650">
        <w:rPr>
          <w:rFonts w:ascii="Times" w:hAnsi="Times" w:cs="Times"/>
          <w:color w:val="000000"/>
          <w:sz w:val="18"/>
          <w:szCs w:val="18"/>
        </w:rPr>
        <w:t xml:space="preserve"> Источник финансирования: средства федерального бюджета.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Лицензиат оплачивает выставленный Лицензиаром счет в течение </w:t>
      </w:r>
      <w:r w:rsidR="00BD7911">
        <w:rPr>
          <w:rFonts w:ascii="Times" w:hAnsi="Times" w:cs="Times"/>
          <w:color w:val="000000"/>
          <w:sz w:val="18"/>
          <w:szCs w:val="18"/>
        </w:rPr>
        <w:t>7</w:t>
      </w:r>
      <w:r>
        <w:rPr>
          <w:rFonts w:ascii="Times" w:hAnsi="Times" w:cs="Times"/>
          <w:color w:val="000000"/>
          <w:sz w:val="18"/>
          <w:szCs w:val="18"/>
        </w:rPr>
        <w:t xml:space="preserve"> (</w:t>
      </w:r>
      <w:r w:rsidR="00BD7911">
        <w:rPr>
          <w:rFonts w:ascii="Times" w:hAnsi="Times" w:cs="Times"/>
          <w:color w:val="000000"/>
          <w:sz w:val="18"/>
          <w:szCs w:val="18"/>
        </w:rPr>
        <w:t>семи</w:t>
      </w:r>
      <w:r>
        <w:rPr>
          <w:rFonts w:ascii="Times" w:hAnsi="Times" w:cs="Times"/>
          <w:color w:val="000000"/>
          <w:sz w:val="18"/>
          <w:szCs w:val="18"/>
        </w:rPr>
        <w:t>) рабочих дней с момента подписания Сторонами УПД.</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57002A" w:rsidRDefault="0057002A">
      <w:pPr>
        <w:widowControl w:val="0"/>
        <w:autoSpaceDE w:val="0"/>
        <w:autoSpaceDN w:val="0"/>
        <w:adjustRightInd w:val="0"/>
        <w:spacing w:after="0" w:line="240" w:lineRule="auto"/>
        <w:jc w:val="both"/>
        <w:rPr>
          <w:rFonts w:ascii="Times" w:hAnsi="Times" w:cs="Times"/>
          <w:color w:val="000000"/>
          <w:sz w:val="18"/>
          <w:szCs w:val="18"/>
        </w:rPr>
      </w:pPr>
      <w:r w:rsidRPr="0057002A">
        <w:rPr>
          <w:rFonts w:ascii="Times" w:hAnsi="Times" w:cs="Times"/>
          <w:color w:val="000000"/>
          <w:sz w:val="18"/>
          <w:szCs w:val="18"/>
        </w:rPr>
        <w:t>5.8. Стороны подтверждают исполнение обязательств по Лицензионному договору путем подписания УПД. Лицензиар направляет УПД Лицензиату в течении 5 (пяти) календарных дней с момента исполнения обязательств по Лицензионному договору. УПД может быть отправлен Лицензиату электронной почтой, заказным почтовым отправлением, курьерской службой или в электронном виде, подписанный ЭП в рамках электронного документооборота. Лицензиат обязан вернуть Лицензиару подписанный экземпляр УПД до момента окончания срока, установленного пп. 5.9-5.10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пп. 3.1.2 и 4.1.10 Лицензионного договора, переданные права признаются принятыми Лицензиатом в полном объеме без замечаний.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пп. 3.1.2 и 4.1.10 Лицензионного договора), API-лицензий Продукта, активированных направленными Лицензиаром Ключами разработчика,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5.13. При одностороннем отказе Лицензиата от оказания услуг на основании п. 1 ст. 782 Гражданского кодекса Российской Федерации Лицензиар вправе удержать плату за отказ в размере 20% от стоимости услуг на основании п. 3 ст. 310 Гражданского кодекса Российской Федерации.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5.14. При одностороннем отказе Лицензиата от выполнения работ на основании ст. 717 Гражданского кодекса Российской Федерации Лицензиар вправе на выбор удержать часть установленной цены за работы пропорционально части, выполненной до получения извещения об отказе от работ, либо удержать плату за отказ в размере 20% от стоимости работ на основании п. 3 ст. 310 Гражданского кодекса Российской Федерации.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5.15. В случае если на момент одностороннего отказа от оказания услуг/выполнения работ Лицензиатом внесена предоплата, данная сумма засчитывается Лицензиаром в качестве платы за часть установленной цены пропорционально части выполненной работы или платы за отказ и в установленном для них размере не подлежит возврату Лицензиату. Иной размер платы за отказ или порядок её исчисления для отдельных видов услуг/работ могут быть установлены Прайс-листом.</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hyperlink r:id="rId18" w:history="1">
        <w:r>
          <w:rPr>
            <w:rFonts w:ascii="Times" w:hAnsi="Times" w:cs="Times"/>
            <w:color w:val="0000CD"/>
            <w:sz w:val="18"/>
            <w:szCs w:val="18"/>
          </w:rPr>
          <w:t>https://kontur.ru/kedo/docs/poryadok-vydachi-sertifikatov</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7.2. Лицензиар не будет нести ответственность за невозможность использования Продукта по причинам, не зависящим от </w:t>
      </w:r>
      <w:r>
        <w:rPr>
          <w:rFonts w:ascii="Times" w:hAnsi="Times" w:cs="Times"/>
          <w:color w:val="000000"/>
          <w:sz w:val="18"/>
          <w:szCs w:val="18"/>
        </w:rPr>
        <w:lastRenderedPageBreak/>
        <w:t>Лицензиара.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Лицензиар не будет нести ответственность за несоблюдение Лицензиатом обязанности по хранению документов в пределах сроков, установленных законодательством Российской Федерации. Продукт не предназначен для архивного хранения электронных документов.</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Факт заключения Лицензионного договора не является конфиденциальной информацией.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7.20.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r w:rsidR="009C5650">
        <w:rPr>
          <w:rFonts w:ascii="Times" w:hAnsi="Times" w:cs="Times"/>
          <w:color w:val="000000"/>
          <w:sz w:val="18"/>
          <w:szCs w:val="18"/>
        </w:rPr>
        <w:t xml:space="preserve"> </w:t>
      </w:r>
      <w:r w:rsidR="009C5650" w:rsidRPr="009C5650">
        <w:rPr>
          <w:rFonts w:ascii="Times" w:hAnsi="Times" w:cs="Times"/>
          <w:color w:val="000000"/>
          <w:sz w:val="18"/>
          <w:szCs w:val="18"/>
        </w:rPr>
        <w:t>с письменного разрешения противоположной стороны</w:t>
      </w:r>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19" w:history="1">
        <w:r>
          <w:rPr>
            <w:rFonts w:ascii="Times" w:hAnsi="Times" w:cs="Times"/>
            <w:color w:val="0000CD"/>
            <w:sz w:val="18"/>
            <w:szCs w:val="18"/>
          </w:rPr>
          <w:t>https://kontur.ru/about/licences</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29.04.2016, регистрационный номер 532.</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а также доступ к которым предоставит Лицензиат. Поручение на обработку персональных данных действует до момента уничтожения персональных данных Лицензиаром (в том числе по требованию Лицензиата) в соответствии с условиями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10.1.1. Лицензиат уполномочивает Лицензиара поручить обработку персональных данных, предусмотренную ч. 3 ст. 6 Закона о персональных данных, лицу, привлеченному Лицензиаром для оказания услуг и (или) выполнения работ в порядке, предусмотренном п. 2.4 Лицензионного договора, а именно осуществлять следующие действия (операции) с персональными данными, совершаемые с использованием средств автоматизации или без использования таких средств: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в части оказания услуг и выполнения работ, предусмотренных Прайс-листом Лицензиара. Лицензиат дает поручение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доступ к которым Лицензиат предоставит привлеченному лицу. Срок действия такого Поручения ограничивается сроком оказания услуг и (или) выполнения работ, предусмотренных Прайс-листом Лицензиара.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и на поручение такой обработки Лицензиаром лицу, привлеченному в порядке, предусмотренном п. 2.4 Лицензионного договора, а также на передачу их персональных данных Лицензиаром в адрес ООО «Центр финансовых инноваций Базис» (ИНН 7703461865, ОГРН 1187746658670)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обеспечивать обнаружение фактов несанкционированного доступа к персональным данным и принятие мер по их пресечению;</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10.3.6. обеспечивать выполнение лицом, привлеченным Лицензиаром в порядке, предусмотренном п. 2.4 Лицензионного договора, обязательств, предусмотренных пп. 10.3.1–10.3.5 Лицензионного договора.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20" w:history="1">
        <w:r>
          <w:rPr>
            <w:rFonts w:ascii="Times" w:hAnsi="Times" w:cs="Times"/>
            <w:color w:val="0000CD"/>
            <w:sz w:val="18"/>
            <w:szCs w:val="18"/>
          </w:rPr>
          <w:t>https://kontur.ru</w:t>
        </w:r>
      </w:hyperlink>
      <w:r>
        <w:rPr>
          <w:rFonts w:ascii="Times" w:hAnsi="Times" w:cs="Times"/>
          <w:color w:val="000000"/>
          <w:sz w:val="18"/>
          <w:szCs w:val="18"/>
        </w:rPr>
        <w:t>.</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 что он обязуется самостоятельно (без участия Лицензиара) осуществлять хранение копии базы персональных данных, размещенных Лицензиаром в Продукте, и поддержание ее в актуальном состоянии, если это требуется в соответствии с применимым законодательством;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данных Лицензиару (если применимо).</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 (для совместного использования);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 (для индивидуального использования);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rsidR="00E82099" w:rsidRDefault="00E8209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E82099" w:rsidRDefault="00E8209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lastRenderedPageBreak/>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E82099">
        <w:tblPrEx>
          <w:tblCellMar>
            <w:top w:w="0" w:type="dxa"/>
            <w:left w:w="0" w:type="dxa"/>
            <w:bottom w:w="0" w:type="dxa"/>
            <w:right w:w="0" w:type="dxa"/>
          </w:tblCellMar>
        </w:tblPrEx>
        <w:tc>
          <w:tcPr>
            <w:tcW w:w="5187" w:type="dxa"/>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rsidR="00E82099" w:rsidRDefault="00E82099">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rsidR="00E82099" w:rsidRDefault="00F76B6B">
            <w:pPr>
              <w:widowControl w:val="0"/>
              <w:autoSpaceDE w:val="0"/>
              <w:autoSpaceDN w:val="0"/>
              <w:adjustRightInd w:val="0"/>
              <w:spacing w:after="0" w:line="240" w:lineRule="auto"/>
              <w:rPr>
                <w:rFonts w:ascii="Times" w:hAnsi="Times" w:cs="Times"/>
                <w:color w:val="000000"/>
                <w:sz w:val="18"/>
                <w:szCs w:val="18"/>
              </w:rPr>
            </w:pPr>
            <w:r w:rsidRPr="00F76B6B">
              <w:rPr>
                <w:rFonts w:ascii="Times" w:hAnsi="Times" w:cs="Times"/>
                <w:color w:val="000000"/>
                <w:sz w:val="18"/>
                <w:szCs w:val="18"/>
              </w:rPr>
              <w:t xml:space="preserve">Федеральное государственное бюджетное учреждение культуры «Государственный Лермонтовский музей-заповедник «Тарханы» </w:t>
            </w:r>
            <w:r w:rsidR="00E82099">
              <w:rPr>
                <w:rFonts w:ascii="Times" w:hAnsi="Times" w:cs="Times"/>
                <w:color w:val="000000"/>
                <w:sz w:val="18"/>
                <w:szCs w:val="18"/>
              </w:rPr>
              <w:t>442280, Пензенская обл, р-н Белинский, с. Лермонтово, ул. Бугор, д. 1/1</w:t>
            </w:r>
          </w:p>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5810001139   КПП: 581001001</w:t>
            </w:r>
          </w:p>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в ОКЦ № 1 ВВГУ Банка России//УФК по Нижегородской области, г Нижний Новгород</w:t>
            </w:r>
          </w:p>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Лицевой счёт казначейства: 20556Х19110</w:t>
            </w:r>
          </w:p>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ЕКС: 40102810745370000024</w:t>
            </w:r>
          </w:p>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Казначейский счёт: 03214643000000013238</w:t>
            </w:r>
          </w:p>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БИК: 012202102</w:t>
            </w:r>
          </w:p>
        </w:tc>
      </w:tr>
      <w:tr w:rsidR="00E82099">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E82099">
              <w:tblPrEx>
                <w:tblCellMar>
                  <w:top w:w="0" w:type="dxa"/>
                  <w:left w:w="0" w:type="dxa"/>
                  <w:bottom w:w="0" w:type="dxa"/>
                  <w:right w:w="0" w:type="dxa"/>
                </w:tblCellMar>
              </w:tblPrEx>
              <w:trPr>
                <w:trHeight w:val="283"/>
              </w:trPr>
              <w:tc>
                <w:tcPr>
                  <w:tcW w:w="5102" w:type="dxa"/>
                  <w:gridSpan w:val="2"/>
                </w:tcPr>
                <w:p w:rsidR="00E82099" w:rsidRDefault="00E82099">
                  <w:pPr>
                    <w:widowControl w:val="0"/>
                    <w:autoSpaceDE w:val="0"/>
                    <w:autoSpaceDN w:val="0"/>
                    <w:adjustRightInd w:val="0"/>
                    <w:spacing w:after="0" w:line="240" w:lineRule="auto"/>
                    <w:rPr>
                      <w:rFonts w:ascii="Times" w:hAnsi="Times" w:cs="Times"/>
                      <w:color w:val="000000"/>
                      <w:sz w:val="18"/>
                      <w:szCs w:val="18"/>
                    </w:rPr>
                  </w:pPr>
                </w:p>
              </w:tc>
            </w:tr>
            <w:tr w:rsidR="00E82099">
              <w:tblPrEx>
                <w:tblCellMar>
                  <w:top w:w="0" w:type="dxa"/>
                  <w:left w:w="0" w:type="dxa"/>
                  <w:bottom w:w="0" w:type="dxa"/>
                  <w:right w:w="0" w:type="dxa"/>
                </w:tblCellMar>
              </w:tblPrEx>
              <w:trPr>
                <w:trHeight w:val="283"/>
              </w:trPr>
              <w:tc>
                <w:tcPr>
                  <w:tcW w:w="5102" w:type="dxa"/>
                  <w:gridSpan w:val="2"/>
                </w:tcPr>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E82099">
              <w:tblPrEx>
                <w:tblCellMar>
                  <w:top w:w="0" w:type="dxa"/>
                  <w:left w:w="0" w:type="dxa"/>
                  <w:bottom w:w="0" w:type="dxa"/>
                  <w:right w:w="0" w:type="dxa"/>
                </w:tblCellMar>
              </w:tblPrEx>
              <w:trPr>
                <w:trHeight w:val="170"/>
              </w:trPr>
              <w:tc>
                <w:tcPr>
                  <w:tcW w:w="2551" w:type="dxa"/>
                  <w:tcBorders>
                    <w:bottom w:val="single" w:sz="6" w:space="0" w:color="000000"/>
                  </w:tcBorders>
                </w:tcPr>
                <w:p w:rsidR="00E82099" w:rsidRDefault="00E82099">
                  <w:pPr>
                    <w:widowControl w:val="0"/>
                    <w:autoSpaceDE w:val="0"/>
                    <w:autoSpaceDN w:val="0"/>
                    <w:adjustRightInd w:val="0"/>
                    <w:spacing w:after="0" w:line="240" w:lineRule="auto"/>
                    <w:rPr>
                      <w:rFonts w:ascii="Times" w:hAnsi="Times" w:cs="Times"/>
                      <w:color w:val="000000"/>
                      <w:sz w:val="18"/>
                      <w:szCs w:val="18"/>
                    </w:rPr>
                  </w:pPr>
                </w:p>
              </w:tc>
              <w:tc>
                <w:tcPr>
                  <w:tcW w:w="2551" w:type="dxa"/>
                </w:tcPr>
                <w:p w:rsidR="00E82099" w:rsidRDefault="00E8209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E82099">
              <w:tblPrEx>
                <w:tblCellMar>
                  <w:top w:w="0" w:type="dxa"/>
                  <w:left w:w="0" w:type="dxa"/>
                  <w:bottom w:w="0" w:type="dxa"/>
                  <w:right w:w="0" w:type="dxa"/>
                </w:tblCellMar>
              </w:tblPrEx>
              <w:trPr>
                <w:trHeight w:val="170"/>
              </w:trPr>
              <w:tc>
                <w:tcPr>
                  <w:tcW w:w="5102" w:type="dxa"/>
                  <w:gridSpan w:val="2"/>
                </w:tcPr>
                <w:p w:rsidR="00E82099" w:rsidRDefault="00E82099">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E82099" w:rsidRDefault="00E82099">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E82099">
              <w:tblPrEx>
                <w:tblCellMar>
                  <w:top w:w="0" w:type="dxa"/>
                  <w:left w:w="0" w:type="dxa"/>
                  <w:bottom w:w="0" w:type="dxa"/>
                  <w:right w:w="0" w:type="dxa"/>
                </w:tblCellMar>
              </w:tblPrEx>
              <w:trPr>
                <w:trHeight w:val="283"/>
              </w:trPr>
              <w:tc>
                <w:tcPr>
                  <w:tcW w:w="5102" w:type="dxa"/>
                  <w:gridSpan w:val="2"/>
                </w:tcPr>
                <w:p w:rsidR="00E82099" w:rsidRDefault="00E82099">
                  <w:pPr>
                    <w:widowControl w:val="0"/>
                    <w:autoSpaceDE w:val="0"/>
                    <w:autoSpaceDN w:val="0"/>
                    <w:adjustRightInd w:val="0"/>
                    <w:spacing w:after="0" w:line="240" w:lineRule="auto"/>
                    <w:rPr>
                      <w:rFonts w:ascii="Times" w:hAnsi="Times" w:cs="Times"/>
                      <w:color w:val="000000"/>
                      <w:sz w:val="18"/>
                      <w:szCs w:val="18"/>
                    </w:rPr>
                  </w:pPr>
                </w:p>
              </w:tc>
            </w:tr>
            <w:tr w:rsidR="00E82099">
              <w:tblPrEx>
                <w:tblCellMar>
                  <w:top w:w="0" w:type="dxa"/>
                  <w:left w:w="0" w:type="dxa"/>
                  <w:bottom w:w="0" w:type="dxa"/>
                  <w:right w:w="0" w:type="dxa"/>
                </w:tblCellMar>
              </w:tblPrEx>
              <w:trPr>
                <w:trHeight w:val="283"/>
              </w:trPr>
              <w:tc>
                <w:tcPr>
                  <w:tcW w:w="5102" w:type="dxa"/>
                  <w:gridSpan w:val="2"/>
                </w:tcPr>
                <w:p w:rsidR="00E82099" w:rsidRDefault="00E82099">
                  <w:pPr>
                    <w:widowControl w:val="0"/>
                    <w:autoSpaceDE w:val="0"/>
                    <w:autoSpaceDN w:val="0"/>
                    <w:adjustRightInd w:val="0"/>
                    <w:spacing w:after="0" w:line="240" w:lineRule="auto"/>
                    <w:rPr>
                      <w:rFonts w:ascii="Times" w:hAnsi="Times" w:cs="Times"/>
                      <w:color w:val="000000"/>
                      <w:sz w:val="18"/>
                      <w:szCs w:val="18"/>
                    </w:rPr>
                  </w:pPr>
                </w:p>
              </w:tc>
            </w:tr>
            <w:tr w:rsidR="00E82099">
              <w:tblPrEx>
                <w:tblCellMar>
                  <w:top w:w="0" w:type="dxa"/>
                  <w:left w:w="0" w:type="dxa"/>
                  <w:bottom w:w="0" w:type="dxa"/>
                  <w:right w:w="0" w:type="dxa"/>
                </w:tblCellMar>
              </w:tblPrEx>
              <w:trPr>
                <w:trHeight w:val="170"/>
              </w:trPr>
              <w:tc>
                <w:tcPr>
                  <w:tcW w:w="2551" w:type="dxa"/>
                  <w:tcBorders>
                    <w:bottom w:val="single" w:sz="6" w:space="0" w:color="000000"/>
                  </w:tcBorders>
                </w:tcPr>
                <w:p w:rsidR="00E82099" w:rsidRDefault="00E82099">
                  <w:pPr>
                    <w:widowControl w:val="0"/>
                    <w:autoSpaceDE w:val="0"/>
                    <w:autoSpaceDN w:val="0"/>
                    <w:adjustRightInd w:val="0"/>
                    <w:spacing w:after="0" w:line="240" w:lineRule="auto"/>
                    <w:rPr>
                      <w:rFonts w:ascii="Times" w:hAnsi="Times" w:cs="Times"/>
                      <w:color w:val="000000"/>
                      <w:sz w:val="18"/>
                      <w:szCs w:val="18"/>
                    </w:rPr>
                  </w:pPr>
                </w:p>
              </w:tc>
              <w:tc>
                <w:tcPr>
                  <w:tcW w:w="2551" w:type="dxa"/>
                </w:tcPr>
                <w:p w:rsidR="00E82099" w:rsidRDefault="00E82099">
                  <w:pPr>
                    <w:widowControl w:val="0"/>
                    <w:autoSpaceDE w:val="0"/>
                    <w:autoSpaceDN w:val="0"/>
                    <w:adjustRightInd w:val="0"/>
                    <w:spacing w:after="0" w:line="240" w:lineRule="auto"/>
                    <w:rPr>
                      <w:rFonts w:ascii="Times" w:hAnsi="Times" w:cs="Times"/>
                      <w:color w:val="000000"/>
                      <w:sz w:val="18"/>
                      <w:szCs w:val="18"/>
                    </w:rPr>
                  </w:pPr>
                </w:p>
              </w:tc>
            </w:tr>
            <w:tr w:rsidR="00E82099">
              <w:tblPrEx>
                <w:tblCellMar>
                  <w:top w:w="0" w:type="dxa"/>
                  <w:left w:w="0" w:type="dxa"/>
                  <w:bottom w:w="0" w:type="dxa"/>
                  <w:right w:w="0" w:type="dxa"/>
                </w:tblCellMar>
              </w:tblPrEx>
              <w:trPr>
                <w:trHeight w:val="170"/>
              </w:trPr>
              <w:tc>
                <w:tcPr>
                  <w:tcW w:w="5102" w:type="dxa"/>
                  <w:gridSpan w:val="2"/>
                </w:tcPr>
                <w:p w:rsidR="00E82099" w:rsidRDefault="00E82099">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E82099" w:rsidRDefault="00E82099">
            <w:pPr>
              <w:widowControl w:val="0"/>
              <w:autoSpaceDE w:val="0"/>
              <w:autoSpaceDN w:val="0"/>
              <w:adjustRightInd w:val="0"/>
              <w:spacing w:after="0" w:line="240" w:lineRule="auto"/>
              <w:rPr>
                <w:rFonts w:ascii="Times" w:hAnsi="Times" w:cs="Times"/>
                <w:color w:val="000000"/>
                <w:sz w:val="18"/>
                <w:szCs w:val="18"/>
              </w:rPr>
            </w:pPr>
          </w:p>
        </w:tc>
      </w:tr>
    </w:tbl>
    <w:p w:rsidR="00E82099" w:rsidRDefault="00E82099">
      <w:pPr>
        <w:widowControl w:val="0"/>
        <w:autoSpaceDE w:val="0"/>
        <w:autoSpaceDN w:val="0"/>
        <w:adjustRightInd w:val="0"/>
        <w:spacing w:after="0" w:line="240" w:lineRule="auto"/>
        <w:rPr>
          <w:rFonts w:ascii="Arial" w:hAnsi="Arial" w:cs="Arial"/>
          <w:sz w:val="24"/>
          <w:szCs w:val="24"/>
        </w:rPr>
        <w:sectPr w:rsidR="00E82099">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E82099">
        <w:tblPrEx>
          <w:tblCellMar>
            <w:top w:w="0" w:type="dxa"/>
            <w:left w:w="0" w:type="dxa"/>
            <w:bottom w:w="0" w:type="dxa"/>
            <w:right w:w="0" w:type="dxa"/>
          </w:tblCellMar>
        </w:tblPrEx>
        <w:tc>
          <w:tcPr>
            <w:tcW w:w="1133" w:type="dxa"/>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E82099" w:rsidRDefault="00E82099">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E82099" w:rsidRDefault="00E82099" w:rsidP="00F76B6B">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от </w:t>
            </w:r>
            <w:r w:rsidR="00F76B6B">
              <w:rPr>
                <w:rFonts w:ascii="Times" w:hAnsi="Times" w:cs="Times"/>
                <w:color w:val="000000"/>
                <w:sz w:val="17"/>
                <w:szCs w:val="17"/>
              </w:rPr>
              <w:t xml:space="preserve">    </w:t>
            </w:r>
          </w:p>
        </w:tc>
      </w:tr>
      <w:tr w:rsidR="00E82099">
        <w:tblPrEx>
          <w:tblCellMar>
            <w:top w:w="0" w:type="dxa"/>
            <w:left w:w="0" w:type="dxa"/>
            <w:bottom w:w="0" w:type="dxa"/>
            <w:right w:w="0" w:type="dxa"/>
          </w:tblCellMar>
        </w:tblPrEx>
        <w:tc>
          <w:tcPr>
            <w:tcW w:w="10600" w:type="dxa"/>
            <w:gridSpan w:val="2"/>
            <w:tcBorders>
              <w:top w:val="nil"/>
              <w:left w:val="nil"/>
              <w:bottom w:val="nil"/>
              <w:right w:val="nil"/>
            </w:tcBorders>
          </w:tcPr>
          <w:p w:rsidR="00E82099" w:rsidRDefault="00E82099">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p>
          <w:p w:rsidR="004200A1" w:rsidRDefault="00E82099">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00F76B6B" w:rsidRPr="00F76B6B">
              <w:rPr>
                <w:rFonts w:ascii="Times" w:hAnsi="Times" w:cs="Times"/>
                <w:color w:val="000000"/>
                <w:sz w:val="17"/>
                <w:szCs w:val="17"/>
              </w:rPr>
              <w:t>Федерально</w:t>
            </w:r>
            <w:r w:rsidR="004200A1">
              <w:rPr>
                <w:rFonts w:ascii="Times" w:hAnsi="Times" w:cs="Times"/>
                <w:color w:val="000000"/>
                <w:sz w:val="17"/>
                <w:szCs w:val="17"/>
              </w:rPr>
              <w:t>м</w:t>
            </w:r>
            <w:r w:rsidR="00F76B6B" w:rsidRPr="00F76B6B">
              <w:rPr>
                <w:rFonts w:ascii="Times" w:hAnsi="Times" w:cs="Times"/>
                <w:color w:val="000000"/>
                <w:sz w:val="17"/>
                <w:szCs w:val="17"/>
              </w:rPr>
              <w:t xml:space="preserve"> государственн</w:t>
            </w:r>
            <w:r w:rsidR="004200A1">
              <w:rPr>
                <w:rFonts w:ascii="Times" w:hAnsi="Times" w:cs="Times"/>
                <w:color w:val="000000"/>
                <w:sz w:val="17"/>
                <w:szCs w:val="17"/>
              </w:rPr>
              <w:t>ым</w:t>
            </w:r>
            <w:r w:rsidR="00F76B6B" w:rsidRPr="00F76B6B">
              <w:rPr>
                <w:rFonts w:ascii="Times" w:hAnsi="Times" w:cs="Times"/>
                <w:color w:val="000000"/>
                <w:sz w:val="17"/>
                <w:szCs w:val="17"/>
              </w:rPr>
              <w:t xml:space="preserve"> бюджетн</w:t>
            </w:r>
            <w:r w:rsidR="004200A1">
              <w:rPr>
                <w:rFonts w:ascii="Times" w:hAnsi="Times" w:cs="Times"/>
                <w:color w:val="000000"/>
                <w:sz w:val="17"/>
                <w:szCs w:val="17"/>
              </w:rPr>
              <w:t>ым</w:t>
            </w:r>
            <w:r w:rsidR="00F76B6B" w:rsidRPr="00F76B6B">
              <w:rPr>
                <w:rFonts w:ascii="Times" w:hAnsi="Times" w:cs="Times"/>
                <w:color w:val="000000"/>
                <w:sz w:val="17"/>
                <w:szCs w:val="17"/>
              </w:rPr>
              <w:t xml:space="preserve"> учреждение</w:t>
            </w:r>
            <w:r w:rsidR="004200A1">
              <w:rPr>
                <w:rFonts w:ascii="Times" w:hAnsi="Times" w:cs="Times"/>
                <w:color w:val="000000"/>
                <w:sz w:val="17"/>
                <w:szCs w:val="17"/>
              </w:rPr>
              <w:t>м</w:t>
            </w:r>
            <w:r w:rsidR="00F76B6B" w:rsidRPr="00F76B6B">
              <w:rPr>
                <w:rFonts w:ascii="Times" w:hAnsi="Times" w:cs="Times"/>
                <w:color w:val="000000"/>
                <w:sz w:val="17"/>
                <w:szCs w:val="17"/>
              </w:rPr>
              <w:t xml:space="preserve"> культуры «Государственный Лермонтовский музей-заповедник «Тарханы», </w:t>
            </w:r>
          </w:p>
          <w:p w:rsidR="00E82099" w:rsidRDefault="00E82099">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 (ИНН 5810001139; КПП 581001001)</w:t>
            </w:r>
          </w:p>
        </w:tc>
      </w:tr>
    </w:tbl>
    <w:p w:rsidR="00E82099" w:rsidRDefault="00E82099">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E82099">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E82099">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«Контур.Диадок», тарифный план «250 документов»</w:t>
            </w:r>
            <w:r w:rsidR="00C4164E">
              <w:rPr>
                <w:rFonts w:ascii="Times" w:hAnsi="Times" w:cs="Times"/>
                <w:color w:val="000000"/>
                <w:sz w:val="16"/>
                <w:szCs w:val="16"/>
              </w:rPr>
              <w:t>*</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right"/>
              <w:rPr>
                <w:rFonts w:ascii="Times" w:hAnsi="Times" w:cs="Times"/>
                <w:color w:val="000000"/>
                <w:sz w:val="16"/>
                <w:szCs w:val="16"/>
              </w:rPr>
            </w:pPr>
          </w:p>
        </w:tc>
      </w:tr>
      <w:tr w:rsidR="00E82099">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E82099" w:rsidRDefault="00E82099">
            <w:pPr>
              <w:widowControl w:val="0"/>
              <w:autoSpaceDE w:val="0"/>
              <w:autoSpaceDN w:val="0"/>
              <w:adjustRightInd w:val="0"/>
              <w:spacing w:after="0" w:line="240" w:lineRule="auto"/>
              <w:jc w:val="right"/>
              <w:rPr>
                <w:rFonts w:ascii="Times" w:hAnsi="Times" w:cs="Times"/>
                <w:b/>
                <w:bCs/>
                <w:color w:val="000000"/>
                <w:sz w:val="16"/>
                <w:szCs w:val="16"/>
              </w:rPr>
            </w:pPr>
          </w:p>
        </w:tc>
      </w:tr>
    </w:tbl>
    <w:p w:rsidR="00E82099" w:rsidRDefault="00E82099">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4200A1">
        <w:rPr>
          <w:rFonts w:ascii="Times" w:hAnsi="Times" w:cs="Times"/>
          <w:color w:val="000000"/>
          <w:sz w:val="17"/>
          <w:szCs w:val="17"/>
        </w:rPr>
        <w:t>_____</w:t>
      </w:r>
      <w:r>
        <w:rPr>
          <w:rFonts w:ascii="Times" w:hAnsi="Times" w:cs="Times"/>
          <w:color w:val="000000"/>
          <w:sz w:val="17"/>
          <w:szCs w:val="17"/>
        </w:rPr>
        <w:t> руб. (</w:t>
      </w:r>
      <w:r w:rsidR="004200A1">
        <w:rPr>
          <w:rFonts w:ascii="Times" w:hAnsi="Times" w:cs="Times"/>
          <w:color w:val="000000"/>
          <w:sz w:val="17"/>
          <w:szCs w:val="17"/>
        </w:rPr>
        <w:t xml:space="preserve">_____________ </w:t>
      </w:r>
      <w:r>
        <w:rPr>
          <w:rFonts w:ascii="Times" w:hAnsi="Times" w:cs="Times"/>
          <w:color w:val="000000"/>
          <w:sz w:val="17"/>
          <w:szCs w:val="17"/>
        </w:rPr>
        <w:t xml:space="preserve">рублей </w:t>
      </w:r>
      <w:r w:rsidR="004200A1">
        <w:rPr>
          <w:rFonts w:ascii="Times" w:hAnsi="Times" w:cs="Times"/>
          <w:color w:val="000000"/>
          <w:sz w:val="17"/>
          <w:szCs w:val="17"/>
        </w:rPr>
        <w:t>__</w:t>
      </w:r>
      <w:r>
        <w:rPr>
          <w:rFonts w:ascii="Times" w:hAnsi="Times" w:cs="Times"/>
          <w:color w:val="000000"/>
          <w:sz w:val="17"/>
          <w:szCs w:val="17"/>
        </w:rPr>
        <w:t>00 копеек), без НДС</w:t>
      </w:r>
      <w:r w:rsidR="00BD7911">
        <w:rPr>
          <w:rFonts w:ascii="Times" w:hAnsi="Times" w:cs="Times"/>
          <w:color w:val="000000"/>
          <w:sz w:val="17"/>
          <w:szCs w:val="17"/>
        </w:rPr>
        <w:t>.</w:t>
      </w:r>
    </w:p>
    <w:p w:rsidR="00BD7911" w:rsidRDefault="00BD7911">
      <w:pPr>
        <w:widowControl w:val="0"/>
        <w:autoSpaceDE w:val="0"/>
        <w:autoSpaceDN w:val="0"/>
        <w:adjustRightInd w:val="0"/>
        <w:spacing w:before="226" w:after="0" w:line="240" w:lineRule="auto"/>
        <w:rPr>
          <w:rFonts w:ascii="Times" w:hAnsi="Times" w:cs="Times"/>
          <w:color w:val="000000"/>
          <w:sz w:val="17"/>
          <w:szCs w:val="17"/>
        </w:rPr>
      </w:pPr>
    </w:p>
    <w:p w:rsidR="00E82099" w:rsidRDefault="00E8209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E82099" w:rsidRDefault="00E82099">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E82099" w:rsidRDefault="00E8209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E82099">
        <w:tblPrEx>
          <w:tblCellMar>
            <w:top w:w="0" w:type="dxa"/>
            <w:left w:w="0" w:type="dxa"/>
            <w:bottom w:w="0" w:type="dxa"/>
            <w:right w:w="0" w:type="dxa"/>
          </w:tblCellMar>
        </w:tblPrEx>
        <w:tc>
          <w:tcPr>
            <w:tcW w:w="5300" w:type="dxa"/>
            <w:gridSpan w:val="2"/>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E82099">
        <w:tblPrEx>
          <w:tblCellMar>
            <w:top w:w="0" w:type="dxa"/>
            <w:left w:w="0" w:type="dxa"/>
            <w:bottom w:w="0" w:type="dxa"/>
            <w:right w:w="0" w:type="dxa"/>
          </w:tblCellMar>
        </w:tblPrEx>
        <w:tc>
          <w:tcPr>
            <w:tcW w:w="5300" w:type="dxa"/>
            <w:gridSpan w:val="2"/>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Музей-заповедник “Тарханы”</w:t>
            </w:r>
          </w:p>
        </w:tc>
      </w:tr>
      <w:tr w:rsidR="00E82099">
        <w:tblPrEx>
          <w:tblCellMar>
            <w:top w:w="0" w:type="dxa"/>
            <w:left w:w="0" w:type="dxa"/>
            <w:bottom w:w="0" w:type="dxa"/>
            <w:right w:w="0" w:type="dxa"/>
          </w:tblCellMar>
        </w:tblPrEx>
        <w:tc>
          <w:tcPr>
            <w:tcW w:w="5300" w:type="dxa"/>
            <w:gridSpan w:val="2"/>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p>
        </w:tc>
      </w:tr>
      <w:tr w:rsidR="00E82099">
        <w:tblPrEx>
          <w:tblCellMar>
            <w:top w:w="0" w:type="dxa"/>
            <w:left w:w="0" w:type="dxa"/>
            <w:bottom w:w="0" w:type="dxa"/>
            <w:right w:w="0" w:type="dxa"/>
          </w:tblCellMar>
        </w:tblPrEx>
        <w:tc>
          <w:tcPr>
            <w:tcW w:w="2650" w:type="dxa"/>
            <w:tcBorders>
              <w:top w:val="nil"/>
              <w:left w:val="nil"/>
              <w:bottom w:val="single" w:sz="6" w:space="0" w:color="000000"/>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p>
        </w:tc>
      </w:tr>
      <w:tr w:rsidR="00E82099">
        <w:tblPrEx>
          <w:tblCellMar>
            <w:top w:w="0" w:type="dxa"/>
            <w:left w:w="0" w:type="dxa"/>
            <w:bottom w:w="0" w:type="dxa"/>
            <w:right w:w="0" w:type="dxa"/>
          </w:tblCellMar>
        </w:tblPrEx>
        <w:tc>
          <w:tcPr>
            <w:tcW w:w="2650" w:type="dxa"/>
            <w:tcBorders>
              <w:top w:val="nil"/>
              <w:left w:val="nil"/>
              <w:bottom w:val="nil"/>
              <w:right w:val="nil"/>
            </w:tcBorders>
          </w:tcPr>
          <w:p w:rsidR="00E82099" w:rsidRDefault="00E8209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E82099" w:rsidRDefault="00E8209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E82099" w:rsidRDefault="00E82099">
            <w:pPr>
              <w:widowControl w:val="0"/>
              <w:autoSpaceDE w:val="0"/>
              <w:autoSpaceDN w:val="0"/>
              <w:adjustRightInd w:val="0"/>
              <w:spacing w:after="0" w:line="240" w:lineRule="auto"/>
              <w:rPr>
                <w:rFonts w:ascii="Times" w:hAnsi="Times" w:cs="Times"/>
                <w:color w:val="000000"/>
                <w:sz w:val="17"/>
                <w:szCs w:val="17"/>
              </w:rPr>
            </w:pPr>
          </w:p>
        </w:tc>
      </w:tr>
    </w:tbl>
    <w:p w:rsidR="00E82099" w:rsidRDefault="00E82099"/>
    <w:sectPr w:rsidR="00E82099">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Lucida Sans Unicode"/>
    <w:panose1 w:val="020F0502020204030204"/>
    <w:charset w:val="CC"/>
    <w:family w:val="swiss"/>
    <w:pitch w:val="variable"/>
    <w:sig w:usb0="E4002EFF" w:usb1="C0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altName w:val="Univers"/>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911"/>
    <w:rsid w:val="000E7CF6"/>
    <w:rsid w:val="004200A1"/>
    <w:rsid w:val="0057002A"/>
    <w:rsid w:val="007E69B4"/>
    <w:rsid w:val="00902439"/>
    <w:rsid w:val="009C5650"/>
    <w:rsid w:val="00BD7911"/>
    <w:rsid w:val="00C4164E"/>
    <w:rsid w:val="00E82099"/>
    <w:rsid w:val="00F76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32E7C0-7091-46EA-8708-A093E08F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kontur.ru" TargetMode="External"/><Relationship Id="rId13" Type="http://schemas.openxmlformats.org/officeDocument/2006/relationships/hyperlink" Target="https://integrations.kontur.ru" TargetMode="External"/><Relationship Id="rId18" Type="http://schemas.openxmlformats.org/officeDocument/2006/relationships/hyperlink" Target="https://kontur.ru/kedo/docs/poryadok-vydachi-sertifikatov"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ca.kontur.ru" TargetMode="External"/><Relationship Id="rId12" Type="http://schemas.openxmlformats.org/officeDocument/2006/relationships/hyperlink" Target="https://www.diadoc.ru/order1c" TargetMode="External"/><Relationship Id="rId17" Type="http://schemas.openxmlformats.org/officeDocument/2006/relationships/hyperlink" Target="https://www.diadoc.ru" TargetMode="External"/><Relationship Id="rId2" Type="http://schemas.openxmlformats.org/officeDocument/2006/relationships/settings" Target="settings.xml"/><Relationship Id="rId16" Type="http://schemas.openxmlformats.org/officeDocument/2006/relationships/hyperlink" Target="https://www.diadoc.ru/order1c" TargetMode="External"/><Relationship Id="rId20" Type="http://schemas.openxmlformats.org/officeDocument/2006/relationships/hyperlink" Target="https://kontur.ru" TargetMode="External"/><Relationship Id="rId1" Type="http://schemas.openxmlformats.org/officeDocument/2006/relationships/styles" Target="styles.xml"/><Relationship Id="rId6" Type="http://schemas.openxmlformats.org/officeDocument/2006/relationships/hyperlink" Target="https://kontur.ru/kedo/docs/poryadok-vydachi-sertifikatov" TargetMode="External"/><Relationship Id="rId11" Type="http://schemas.openxmlformats.org/officeDocument/2006/relationships/hyperlink" Target="https://kontur.ru/contacts/all" TargetMode="External"/><Relationship Id="rId5" Type="http://schemas.openxmlformats.org/officeDocument/2006/relationships/hyperlink" Target="https://www.diadoc.ru/price" TargetMode="External"/><Relationship Id="rId15" Type="http://schemas.openxmlformats.org/officeDocument/2006/relationships/hyperlink" Target="https://kontur.ru/about/licences" TargetMode="External"/><Relationship Id="rId10" Type="http://schemas.openxmlformats.org/officeDocument/2006/relationships/hyperlink" Target="https://support.kontur.ru/diadoc" TargetMode="External"/><Relationship Id="rId19" Type="http://schemas.openxmlformats.org/officeDocument/2006/relationships/hyperlink" Target="https://kontur.ru/about/licences" TargetMode="External"/><Relationship Id="rId4" Type="http://schemas.openxmlformats.org/officeDocument/2006/relationships/image" Target="media/image1.png"/><Relationship Id="rId9" Type="http://schemas.openxmlformats.org/officeDocument/2006/relationships/hyperlink" Target="https://kontur.ru/diadoc/mtedo" TargetMode="External"/><Relationship Id="rId14" Type="http://schemas.openxmlformats.org/officeDocument/2006/relationships/hyperlink" Target="https://developer.kontur.ru/Docs/diadoc-api/authentication.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7913</Words>
  <Characters>45108</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Анастасия Владимировна</dc:creator>
  <cp:keywords/>
  <dc:description/>
  <cp:lastModifiedBy>GYV</cp:lastModifiedBy>
  <cp:revision>2</cp:revision>
  <dcterms:created xsi:type="dcterms:W3CDTF">2026-08-21T12:59:00Z</dcterms:created>
  <dcterms:modified xsi:type="dcterms:W3CDTF">2026-08-21T12:59:00Z</dcterms:modified>
</cp:coreProperties>
</file>