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240" w:lineRule="auto"/>
        <w:rPr>
          <w:rFonts w:ascii="Tinos" w:hAnsi="Tinos" w:eastAsia="Tinos" w:cs="Tinos"/>
          <w:b/>
          <w:bCs/>
          <w:sz w:val="32"/>
          <w:szCs w:val="32"/>
          <w14:ligatures w14:val="none"/>
        </w:rPr>
      </w:pPr>
      <w:r>
        <w:rPr>
          <w:rFonts w:ascii="Tinos" w:hAnsi="Tinos" w:eastAsia="Tinos" w:cs="Tinos"/>
          <w:b/>
          <w:bCs/>
          <w:sz w:val="32"/>
          <w:szCs w:val="32"/>
          <w:lang w:eastAsia="ru-RU"/>
        </w:rPr>
        <w:t xml:space="preserve">Проект</w:t>
      </w:r>
      <w:r>
        <w:rPr>
          <w:rFonts w:ascii="Tinos" w:hAnsi="Tinos" w:eastAsia="Tinos" w:cs="Tinos"/>
          <w:b/>
          <w:bCs/>
          <w:sz w:val="32"/>
          <w:szCs w:val="32"/>
          <w14:ligatures w14:val="none"/>
        </w:rPr>
      </w:r>
      <w:r>
        <w:rPr>
          <w:rFonts w:ascii="Tinos" w:hAnsi="Tinos" w:eastAsia="Tinos" w:cs="Tinos"/>
          <w:b/>
          <w:bCs/>
          <w:sz w:val="32"/>
          <w:szCs w:val="32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  <w14:ligatures w14:val="none"/>
        </w:rPr>
      </w:pP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ГОСУДАРСТВЕННЫЙ КОНТРАКТ №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 ___</w:t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на о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казание услуг 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pPr>
      <w:r>
        <w:rPr>
          <w:rFonts w:ascii="Tinos" w:hAnsi="Tinos" w:eastAsia="Tinos" w:cs="Tinos"/>
          <w:b w:val="0"/>
          <w:bCs w:val="0"/>
          <w:sz w:val="16"/>
          <w:szCs w:val="16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</w:p>
    <w:tbl>
      <w:tblPr>
        <w:tblStyle w:val="807"/>
        <w:tblW w:w="0" w:type="auto"/>
        <w:tblLayout w:type="fixed"/>
        <w:tblLook w:val="04A0" w:firstRow="1" w:lastRow="0" w:firstColumn="1" w:lastColumn="0" w:noHBand="0" w:noVBand="1"/>
      </w:tblPr>
      <w:tblGrid>
        <w:gridCol w:w="3307"/>
        <w:gridCol w:w="3071"/>
        <w:gridCol w:w="354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7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16"/>
                <w:szCs w:val="1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</w:p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г. Курган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71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contextualSpacing w:val="0"/>
              <w:jc w:val="righ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«_____» _____________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26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года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nos" w:hAnsi="Tinos" w:eastAsia="Tinos" w:cs="Tinos"/>
          <w:sz w:val="16"/>
          <w:szCs w:val="16"/>
        </w:rPr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ind w:left="0" w:right="0" w:firstLine="567"/>
        <w:jc w:val="both"/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в лице заместителя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руководителя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Евгения Викторовича, действующего на основании Приказа Федеральной службы государственной регистрации, кадастра и картографии № 11-к от 19.01.2018 г.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доверенности №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г.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одной стороны, </w:t>
      </w:r>
      <w:r>
        <w:rPr>
          <w:rFonts w:ascii="Tinos" w:hAnsi="Tinos" w:eastAsia="Tinos" w:cs="Tinos"/>
          <w:sz w:val="22"/>
          <w:szCs w:val="22"/>
          <w:lang w:eastAsia="en-US"/>
        </w:rPr>
      </w:r>
      <w:r/>
    </w:p>
    <w:p>
      <w:pPr>
        <w:contextualSpacing w:val="0"/>
        <w:ind w:firstLine="709"/>
        <w:jc w:val="both"/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suppressLineNumbers w:val="0"/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en-US"/>
        </w:rPr>
        <w:t xml:space="preserve">_______________________________________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 соответствующее единым требованиям к участникам закупок, предусмотренным ч. 1 ст. 31 Федерального закона от 05.04.2013 г. № 44-ФЗ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ФЗ-44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),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в лице ______________________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, действующего на основании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_____________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другой стороны, а вместе именуемые Стороны, </w:t>
      </w:r>
      <w:r>
        <w:rPr>
          <w:rFonts w:ascii="Tinos" w:hAnsi="Tinos" w:eastAsia="Tinos" w:cs="Tinos"/>
          <w:iCs/>
          <w:sz w:val="22"/>
          <w:szCs w:val="22"/>
          <w:lang w:eastAsia="en-US"/>
        </w:rPr>
        <w:t xml:space="preserve">на основании п. 4 ч. 1 ст. 93 ФЗ-44,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по результатам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объявления о закупке (номер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_____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)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и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на основании итогового протокола закупочной сессии / несостоявшейся закупки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(номер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_______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заключили настоящий Государственный контракт (далее – Контракт)  о нижеследующем: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</w:p>
    <w:p>
      <w:pPr>
        <w:contextualSpacing w:val="0"/>
        <w:ind w:firstLine="709"/>
        <w:jc w:val="both"/>
        <w:rPr>
          <w:rFonts w:ascii="Tinos" w:hAnsi="Tinos" w:eastAsia="Tinos" w:cs="Tinos"/>
          <w:sz w:val="16"/>
          <w:szCs w:val="16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contextualSpacing w:val="0"/>
        <w:ind w:firstLine="709"/>
        <w:jc w:val="center"/>
        <w:rPr>
          <w:rFonts w:ascii="Tinos" w:hAnsi="Tinos" w:eastAsia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</w:rPr>
        <w:t xml:space="preserve">1. Предмет Контракта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1.1.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обязуется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в установленный настоящим Контрактом срок оказать Государственному заказчику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(далее - 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соответствии с Описанием объекта закупки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обязуется принять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оплатить оказанные услуги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в порядке и на условиях, предусмотренных настоящим Контрактом.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pStyle w:val="961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1.2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. 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Состав, объем и порядок оказания услуг определяется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Описанием объекта закупки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61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1.3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Идентификационный код закупки: 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26 1 4501111750 450101001 0017 000 0000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 244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61"/>
        <w:contextualSpacing w:val="0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</w:p>
    <w:p>
      <w:pPr>
        <w:pStyle w:val="961"/>
        <w:contextualSpacing w:val="0"/>
        <w:ind w:firstLine="567"/>
        <w:jc w:val="center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2.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Цена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contextualSpacing w:val="0"/>
        <w:ind w:left="0" w:right="-144" w:firstLine="567"/>
        <w:jc w:val="both"/>
        <w:spacing w:before="0" w:after="0" w:line="240" w:lineRule="auto"/>
        <w:tabs>
          <w:tab w:val="left" w:pos="-4320" w:leader="none"/>
        </w:tabs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 2.1.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Цена Контракта составляет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_________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 (___________________)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 рублей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в том числе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НДС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superscript"/>
        </w:rPr>
        <w:footnoteReference w:id="2"/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/ НДС не облагается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superscript"/>
        </w:rPr>
        <w:footnoteReference w:id="3"/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superscript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baseline"/>
        </w:rPr>
        <w:t xml:space="preserve">.</w:t>
      </w:r>
      <w:r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</w:r>
      <w:r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</w:r>
    </w:p>
    <w:p>
      <w:pPr>
        <w:pStyle w:val="950"/>
        <w:contextualSpacing/>
        <w:ind w:left="0" w:right="-144" w:firstLine="567"/>
        <w:jc w:val="both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2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Цена Контракта, указанная в пункте 2.1.,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включает в себя стоимость услуг,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 также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 компенсацию всех издержек Исполнителя, связанных с исполнением настоящего 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  <w:lang w:eastAsia="en-US"/>
        </w:rPr>
        <w:t xml:space="preserve">Контракт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а, в том числе  погрузочно-разгрузочные работы, транспортные расходы,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расходные материалы, инструменты и оборудование, необходимые для обеспечения оказания услуг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страхование, налоги, сборы и другие обязательные платежи.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pStyle w:val="950"/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. Цена Контракта является твердой и определяется на весь срок его исполнения,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 исключением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случаев, установленных ФЗ-44 и настоящим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</w:p>
    <w:p>
      <w:pPr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</w:p>
    <w:p>
      <w:pPr>
        <w:contextualSpacing/>
        <w:ind w:left="0" w:right="-144" w:firstLine="567"/>
        <w:jc w:val="center"/>
        <w:spacing w:before="0" w:after="17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3. 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Порядок расчетов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3.1. Государственный заказчик производит расчет с Исполнителем за фактически оказанные услуги в течение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семи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) рабочих дней с даты подписания Государственным заказчиком документа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(акт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сдачи-приемки оказанных услуг /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универсальный передаточный документ (далее - УПД))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Суммы, 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длежащие уплате Исполнителю,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уменьшаются Государственным заказчиком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3.3.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плата оказанных Исполнителем услуг осуществляется Государственным заказчиком в рублях Российской Федерации из средств федерального бюджета 2026 года.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3.4. 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Оплата по настоящему Контракту осуществляется в безналичной форме путем перечисления денежных средств на расчетный счет Исполнителя, указанный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в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разделе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11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В случае изменения банковских реквизитов,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 течение 3 (трех) рабочих дней с момента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возникновения указанных обстоятельств, уведомляет Государственного заказчика в порядке, предусмотренном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8.3.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настоящего Контракта. В противном случае Исполнитель несет все риски по не поступлению денежных средств на его счет.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3.5. 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Обязательство Государственного заказчика по оплате считается выполненным в день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списания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денежных средств со счета Государственного заказчика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/>
          <w:bCs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</w:p>
    <w:p>
      <w:pPr>
        <w:contextualSpacing w:val="0"/>
        <w:ind w:left="0" w:right="0" w:firstLine="567"/>
        <w:jc w:val="center"/>
        <w:spacing w:before="0" w:after="0" w:line="240" w:lineRule="auto"/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4</w:t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. Права и обязанности сторон</w:t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shd w:val="clear" w:color="ffffff" w:themeColor="background1" w:fill="ffffff" w:themeFill="background1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.1.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 вправе: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.1.1.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Т</w:t>
      </w:r>
      <w:r>
        <w:rPr>
          <w:rFonts w:ascii="Tinos" w:hAnsi="Tinos" w:eastAsia="Tinos" w:cs="Tinos"/>
          <w:sz w:val="22"/>
          <w:szCs w:val="22"/>
        </w:rPr>
        <w:t xml:space="preserve">ребовать приемки оказанных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надлежащим образом </w:t>
      </w:r>
      <w:r>
        <w:rPr>
          <w:rFonts w:ascii="Tinos" w:hAnsi="Tinos" w:eastAsia="Tinos" w:cs="Tinos"/>
          <w:sz w:val="22"/>
          <w:szCs w:val="22"/>
        </w:rPr>
        <w:t xml:space="preserve">услуг в порядке, сроки и на условиях, предусмотренных Контрактом.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4.1.2. Требовать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в установленные настоящим Контрактом сроки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оплату за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4.1.3. Запрашивать и получать у Государственного заказчика информацию и документы, необходимые для исполнения 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none"/>
          <w14:ligatures w14:val="none"/>
        </w:rPr>
        <w:t xml:space="preserve">4.1.4. 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Самостоятельно (в том числе в зависимости от типа утилизируемых отходов) определять порядок и технологию оказания услуг.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4.1.5.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Принять решение об одностороннем отказе от исполнения Контракта по основаниям, пр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ед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усмотренн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ым Гражданским кодексом Российской Федерации для одностороннего отказа от исполнения отдельных видов обязат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ельств.</w:t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4.2.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50"/>
        <w:ind w:left="0" w:right="0" w:firstLine="567"/>
        <w:jc w:val="both"/>
        <w:spacing w:line="240" w:lineRule="auto"/>
        <w:widowControl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4.2.1. 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казать услуги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в порядке, объеме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сроки и на условиях, предусмотренных настоящим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71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4.2.2. 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Обеспечить соответствие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обязательным требованиям, установленным действующими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нормативно-правовыми актами Российской Федерации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71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4.2.3.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Предупреждать Государственного заказчика о вероятных событиях или обстоятельствах в будущем, которые могут негативно повлиять на качество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Предоставлять Госу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информацию о ходе исполнения своих обязательств, в том числе о сложностях, возникающих при его исполнении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4.2.5. 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Обеспечивать Государственному Заказчику возможность контроля за ходом исполнения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4.2.6. 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меть действующую лицензию на осуществление деятельности по сбору,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транспортированию,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обработке, утилиза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ц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ии, обезвреживанию, размещению отходов I - IV классов опасности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в соответствии с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пунктом 30  части 1 статьи 12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 Федерального закона от 04.05.2011 г.              № 99-ФЗ «О лицензировании отдельных видов деятельности» на следующие виды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транспортирование  отходов 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сбор отходов IV класса опасности;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утилизация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В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иды отходов, с которыми разрешается выполнять виды работ в составе лицензируемого вида деятельности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shd w:val="clear" w:color="auto" w:fill="ffffff"/>
        </w:rPr>
        <w:t xml:space="preserve">код по ФККО: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4 92 111 81 52 4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4 82 652 11 52 4,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4 82 151 11 52 4,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4 81 363 11 52 4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3  35 792 11 20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4 81 433 11 52 4,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4 82 643 51 52 4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4 82 515 11 52 4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4 81 432 21 52 4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4 81 338 21 52 4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4 81 322 11 52 3,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4 82 523 21 52 4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4 82 526 51 52 4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4 82 823 71 52 4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4 81 321 01 52 4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4 81 431 91 52 4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4 82 427 11 52 4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4 82 527 11 52 4,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4 81 442 31 52 4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4 82 524 21 52 4,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4 82 812 11 52 4,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4 82 511 11 52 4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4 81 119 11 72 4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</w:p>
    <w:p>
      <w:pPr>
        <w:pStyle w:val="971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4.2.7. Устранить за свой счет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выявленные недостатки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4.2.8. 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По итогу оказания услуг предоставить Государственному заказчику документ о приемке. К документу о приемке прилагаются надлежащим образом оформленные: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93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 на оплату;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93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счет-фактура (при наличии);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93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 </w:t>
      </w:r>
      <w:r>
        <w:rPr>
          <w:sz w:val="22"/>
          <w:szCs w:val="22"/>
        </w:rPr>
        <w:t xml:space="preserve">с указанием наименования и инвентарного номера утилизируемого имущества (при наличии).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4.3. Государственный заказчик вправе: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.3.1.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Исполнителя надлежащего исполнения обязательств в соответствии с настоящим Контрактом.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.3.2.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олнителя 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своевременного устранения выявленных недостатков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.3.3. 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.3.4. П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роверять ход и качество оказания Исполнителем услуг по Контракту, не вмешиваясь в его деятельность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.3.5. Отказаться от приемки и оплаты оказанных услуг, не соответствующих требованиям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</w:rPr>
        <w:t xml:space="preserve">4.3.6. 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Привлекать экспертов, экспертные организации для проведения экспертизы оказанных услуг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4.3.7. 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ребовать уплаты неустоек (штрафов, пеней) в соотв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етствии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разделом 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4.3.8. Принять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решение об одностороннем отказе от исполнения контракта по основаниям, предусмотренным </w:t>
      </w:r>
      <w:hyperlink r:id="rId10" w:tooltip="https://internet.garant.ru/#/multilink/70353464/paragraph/3862/number/0" w:history="1"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Гражданским 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Российской Федерации для одностороннего отказа от исполнения отдельных видов обязательств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4.4. Государственный заказчик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4.4.1. В порядке и в сроки, предусмотренные настоящим Контрактом, передать Исполнителю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 акту приема – передачи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подлежащие утилизации отходы.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  <w:t xml:space="preserve">4.4.2. 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Предоставить по запросу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документы и информацию, необходимые для исполнения обязательств по настоящему Контракту.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4.4.3. В порядке и в сроки, установленные настоящим Контрактом, принять и оплатить 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contextualSpacing w:val="0"/>
        <w:ind w:left="0" w:right="0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4.4.4. 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Провести экспертизу результатов оказанных услуг,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Контрактом,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14:ligatures w14:val="none"/>
        </w:rPr>
      </w:r>
      <w:r>
        <w:rPr>
          <w:rFonts w:ascii="Tinos" w:hAnsi="Tinos" w:cs="Tinos"/>
          <w:color w:val="000000" w:themeColor="text1"/>
          <w14:ligatures w14:val="none"/>
        </w:rPr>
      </w:r>
    </w:p>
    <w:p>
      <w:pPr>
        <w:pStyle w:val="952"/>
        <w:contextualSpacing w:val="0"/>
        <w:ind w:right="0"/>
        <w:jc w:val="center"/>
        <w:spacing w:before="120" w:after="0" w:line="120" w:lineRule="auto"/>
        <w:rPr>
          <w:rFonts w:ascii="Tinos" w:hAnsi="Tinos" w:eastAsia="Tinos" w:cs="Tinos"/>
          <w:sz w:val="16"/>
          <w:szCs w:val="16"/>
          <w:highlight w:val="none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</w:p>
    <w:p>
      <w:pPr>
        <w:contextualSpacing/>
        <w:ind w:left="0" w:right="0" w:firstLine="0"/>
        <w:jc w:val="center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  <w:t xml:space="preserve">5. Порядок приемки оказанных услуг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 факту оказания услуг Исполнитель в течение 5 (пяти) рабочих дней составляет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 предоставляет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одним из следующих способов: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5.1.1. На бумажном носителе: Исполнитель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собственноручной подписью уполномоченного лица, скрепляет печатью (при наличии) и направляет/передает на бумажном носителе на подписание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  <w:t xml:space="preserve">5.1.2. 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виде электронного документа: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электронной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подписью уполномоченного лица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направляет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 виде электронного документа в системе электронного документооборота (ЭДО) на подписание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5.2.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 документу о приемке Исполнитель прилагает документы: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счет на оплату,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счет-фактуру (при наличии);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5.3. Государственный заказчик проводит проверку оказанных услуг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на предмет соответствия условиям настоящего Контракта и осуществляет их приемку в течение 5 (пяти) рабочих дней, следующих за днем получения документа о приемке.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5.4. При приемке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своими силами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экспертизу 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5.5. По результатам приемки, в случае соответствия оказанных услуг требован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иям Контракта, уполномоченное лицо Государственного заказчика в указанный в п. 5.3. Контракта срок в ГИИС "Электронный бюджет" подсистема ПУиО, ПУНФА (1С: Предприятие) формирует документ о приемке - Акт прие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мки оказанных услуг по форме 0510452, утвержден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ной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государственных (муниципальных)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учреждений, и Методических указаний по их формированию и применению" (далее - Акт приемки (ф. 0510452)).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 приемки (ф. 0510452) формируется на основании данных документов Исполнителя, указанных в п. 5.1. Контракта, после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чего Акт приемки (ф. 0510452) подписыв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ается электронной подписью ответственного лица Государственного заказчика и утверждается Государственным заказчиком электронной подписью.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5.6. Одновременно с Актом приемки (ф. 0510452) Государственным заказчиком подписывае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тся документ о приемке, указанный в п. 5.1. Контракта, который в течение 3 (трёх) рабочих дней со дня, следующего за датой подписания, направляется/передается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5.7. Датой приемки оказанных услуг считается дата подписания Государственным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документов о приемке, указанных в п.п. 5.1., 5.5.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5.8. В случае обнаружения недостатков оказанных услуг представителем Государственного заказчика формируется Акт приемки (ф. 0510452) в порядке, предусмотренном п. 5.5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 Контракта, в котором отражаются выявленные несоответствия оказанных услуг условиям Контракта.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Одновременно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Актом приемки (ф. 0510452) Государственным заказчиком составляется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оказанных услуг.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5.9. Акт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и 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3 (трёх) рабочих дней со дня, следующего за датой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Акта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, направляются/передаются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5.10. 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После устранения Исполнителем выявленных недостатков Государственный заказчик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повторную приемку оказанных услуг в срок, указанный в п. 5.3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</w:p>
    <w:p>
      <w:pPr>
        <w:ind w:left="0" w:right="0" w:firstLine="0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yellow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6.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Ответственность сторон</w:t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6.1. Сторона, не исполнившая, или ненадлежащим образом исполнившая обязательства по настоящему Контракту, несет ответственность в соответствии с настоящим Контрактом и действующим законодательством Российской Федерации.</w:t>
      </w: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 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6.2. 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истечения установленного Контрактом срока исполнения обязательства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размере одной трехсотой действующей на дату уплаты пеней </w:t>
      </w:r>
      <w:hyperlink r:id="rId11" w:tooltip="https://internet.garant.ru/#/document/10180094/entry/100" w:history="1"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ключевой ставки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Центрального банка Российской Федерации от не уплаченной в срок суммы.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.3.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Штрафы начисляются за ненадлежащее исполнение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штрафа устанавливается в</w:t>
      </w:r>
      <w:hyperlink r:id="rId12" w:tooltip="https://internet.garant.ru/#/document/71757358/entry/1000" w:history="1"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предусмотренном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остановлением Правительства РФ от 30.08.2017 № 1042.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6.4. 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rFonts w:ascii="Tinos" w:hAnsi="Tinos" w:cs="Tinos"/>
          <w:color w:val="auto"/>
          <w:sz w:val="22"/>
          <w:szCs w:val="22"/>
          <w:highlight w:val="white"/>
        </w:rPr>
      </w:r>
      <w:r>
        <w:rPr>
          <w:rFonts w:ascii="Tinos" w:hAnsi="Tinos" w:cs="Tinos"/>
          <w:color w:val="auto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.5.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в размере одной трехсотой действующей на дату уплаты пени</w:t>
      </w:r>
      <w:hyperlink r:id="rId13" w:tooltip="https://internet.garant.ru/#/document/10180094/entry/100" w:history="1"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ключевой ставки</w:t>
        </w:r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6.6. 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сполнителем обязательств (в том числе гарантийн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ого обязательства), предусмотренных Контрактом. Размер штрафа устанавливается в</w:t>
      </w:r>
      <w:hyperlink r:id="rId14" w:tooltip="https://internet.garant.ru/#/document/71757358/entry/1000" w:history="1"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предусмотренном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Постановлением Правительства РФ от 30.08.2017 N 1042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6.7. 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.8. При предъявлении Государственным заказчиком требований об уплате штрафных санкций общая сумма 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неисполнение или ненадлежащее исполнение Исполнителем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.9. При предъявлении Исполнителем требований об уплате штрафных санкций общая сумма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неисполнение или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ненадлежащее исполнение Государственным заказчиком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.10. Уплата неустойки за ненадлежащее исполнение или неисполнение предусмотренных настоящим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ом обязательств не освобождает Стороны от исполнения принятых обязательств.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7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 Стороны освобождаются от ответственности за полное или частичное неисполнение своих обя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зательств по Контракту, если их неисполнение явилось следствием обстоятельств непреодолимой силы.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.2. Под обстоятельствами непреодолимой силы Стороны понимают 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стихийные бедствия (пожар, наводнение, землетрясение и другие стихийные бедствия)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действия и акты органов государственной власти, террористические акты, военные действия, при этом такие обстоятельства оказывают воздействие на выполнение обязательств по настоящему Контракту и подтверждены упо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лномоченными органами.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.3. Сто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рона, у которой возникли обстоятельства непреодолимой силы, обязана в течение 5 (пяти) рабочих дней письменно информировать другую Сторону о наступлении таких обстоятельств и причинах их возникновения.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Если Сторона в отношении которой действуют обстоятельства непреодолимой силы не направит или несвоевременно направит документы, указанные в пунктах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- 7.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онтракта другой Стороне,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то такая Сторона не вправе ссылаться на возникновение обстоятельства непреодолимой силы в целях обоснования неисполнения и (или) ненадлежаще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го исполнения обязательства по настоящему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Контракту.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</w:p>
    <w:p>
      <w:pPr>
        <w:jc w:val="center"/>
        <w:spacing w:after="0" w:line="240" w:lineRule="auto"/>
        <w:shd w:val="clear" w:color="auto" w:fill="ffffff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pP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8</w:t>
      </w: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Порядок изменения и расторжения Контракта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При заключении и исполнении Контракта изменение его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существенных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условий не допускается, за исключением случаев,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8.2. В случае изменения существенных услови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й настоящего Контракта сторонами заключается дополнительное соглашение, которое является неотъемлемой частью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8.3. Стороны вправе не заключать дополнительное соглашение к настоящему Контракту в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 случае изменения места нахождения, почтового адреса, номера телефона, адреса электронной почты, банковских реквизитов (далее – реквизиты Сторон).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При этом Стороны настоящего Контракта обязаны письменно информировать друг друга об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изменении реквизитов в срок не превышающий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 (трёх) рабочих дней с даты соответствующего изм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енения. Сторона настоящего Контракта несвоевременно или ненадлежащим образом уведомившая другую Сторону об изменении своих реквизитов несет риск наступления неблагоприятных последствий, обусловленных непринятием мер по своевременному уведомлению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другой Стороны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8.5. Стороны 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праве принять решение об одностороннем отказе от исполнения Контракта по основаниям, предусмотренным Гражданским </w:t>
      </w:r>
      <w:hyperlink r:id="rId15" w:tooltip="consultantplus://offline/ref=F174975D8C2C2429B2BB081949B2575B8624B14B07BB5628CB5844574DtAZ8E" w:history="1">
        <w:r>
          <w:rPr>
            <w:rFonts w:ascii="Tinos" w:hAnsi="Tinos" w:eastAsia="Tinos" w:cs="Tinos"/>
            <w:color w:val="000000" w:themeColor="text1"/>
            <w:sz w:val="22"/>
            <w:szCs w:val="22"/>
          </w:rPr>
          <w:t xml:space="preserve">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 в порядке и сроки, определенные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</w:p>
    <w:p>
      <w:pPr>
        <w:jc w:val="center"/>
        <w:spacing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Порядок урегулирования споров 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Все споры и разногласия, возникающие при исполнении настоящего Контракта, Стороны будут стремиться урегулировать путем переговоров между ними, в том числе в претензионном порядке.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Срок рассмотрения претензии составляет 5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(пять) рабочих дней со дня ее получения.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 случае отсутствия мотивированного ответа по существу претензии,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претензионный порядок урегулирования спора считается соблюденным.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.3. 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по месту нахождения Государственного заказчика.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1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0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Заключительные положения 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.1. 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Срок действия Контракта: 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настоящий Контракт вступает в силу с даты его заключения и действует по 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5.12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.2026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 г.,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части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принятых в период действия настоящего Контракта обязательств -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до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полного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исполнения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таких обязательств Сторонами.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Окончание срока действия Контракта не освобождает Стороны от ответственности за его нарушение.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1065" w:leader="none"/>
          <w:tab w:val="left" w:pos="178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10.2. Взаимоотношения Сторон, не урегулированные настоящим Контрактом, регулируются по правилам и в порядке, установленном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10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 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 доп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ускается перемена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за исключением случая, если новый Исполнитель является правопреемником Исполнителя по настоящему Контракту вследствие реорган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изации юридического лица в форме преобразования, слияния или присоединения.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10.4. В случае перемены Государственного заказчика его права и обязанности, предусмотренные настоящим Контрактом, переходят к новому Государственному заказчику.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Любое уведомление, из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ещение, заявление иное юридически значимое сообщение,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которыми закон или настоящий Контракт связывают наступление гражданско-правовых последствий, совершаются в письменной форме в соответствии с реквизитами, указанными в разделе 11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рамках настоящего Контракта обмен юридически значимыми сообщениями осуществляется посредством электронной почты по адресам, указанным в разделе 11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Направлени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е документов по электронной почте должно обеспечивать наличие подтверждения доставки/прочтения направленного сообщения. При неполучении отправителем документов отметки о невозможности доставки электронного сообщения, такое сообщение считается доставленным.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Указанные юри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дически значимые сообщения дополнительно могут быть переданы другой Стороне путем вручения под расписку уполномоченному представителю Стороны либо путем направления с использованием почтовой (заказное или с объявленной ценностью) или курьерской связи.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случае направления документов с использованием почтовой или курьерской связи такие документы будут считаться полученными другой стор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оной с момента, обозначенного в отчете о доставке. При невозможности вручения документа, направленного с использованием почтовой связи, документ, считается доставленным, если он поступил адресату, но по обстоятельствам зависящим от него не был ему вручен.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 случаях внесения изменений в условия настоящего Контракта, его расторжения, а также направления первичных учетных документов обмен оригинальными документами обязателен.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.6. С момента подписания Сторонами настоящего Контракта вся предшествующая переписка по вопросам, так или иначе касающимся предмета настоящего Контракта, теряют свою силу.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 Все приложения и дополнения являются неотъемлемой частью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10.8.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Обмен документами между Сторонами может происходить в сис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теме ЭДО. Стороны признают юридическую силу за документами, подписанными электроной подписью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Приложения: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1. «Описание объекта закупки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2. </w:t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«А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кт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приема-передачи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отходов на утилизацию».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left="426"/>
        <w:jc w:val="left"/>
        <w:spacing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952"/>
        <w:spacing w:before="12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11. Реквизиты и подписи Сторон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5242"/>
        <w:gridCol w:w="4677"/>
      </w:tblGrid>
      <w:tr>
        <w:tblPrEx/>
        <w:trPr>
          <w:trHeight w:val="71"/>
        </w:trPr>
        <w:tc>
          <w:tcPr>
            <w:tcW w:w="524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36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Государственный заказчик: 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71"/>
        </w:trPr>
        <w:tc>
          <w:tcPr>
            <w:tcW w:w="5242" w:type="dxa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Управление Федеральной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службы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государственной регистрации,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кадастра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и картографии по Курганской области 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Юридический и почтовый адрес: 640020, Курганская область, г. Курган, ул. Куйбышева, д. 28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тел. /факс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(3522) 41-95-41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, 41-95-58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41-95-02,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ИНН 4501111750  КПП 450101001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i w:val="0"/>
                <w:iCs w:val="0"/>
                <w:color w:val="000000" w:themeColor="text1"/>
                <w:sz w:val="22"/>
                <w:szCs w:val="22"/>
              </w:rPr>
              <w:t xml:space="preserve">Банковские реквизиты:</w:t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Управление Федерального казначейства по Новосибирской области (Управление Федеральной службы государственной регистрации, кадастра и картографии по Курганской области,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/с 03431W00530)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Сч.  03211643000000015110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ОКЦ № 1 Сибирского ГУ Банка России //УФК по Новосибирской области, г. Новосибирск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БИК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 015004950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.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эл. почты: </w:t>
            </w:r>
            <w:hyperlink r:id="rId16" w:tooltip="mailto:odr@r45.rosreestr.ru" w:history="1"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  <w:lang w:val="en-US"/>
                </w:rPr>
                <w:t xml:space="preserve">odr</w:t>
              </w:r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</w:rPr>
                <w:t xml:space="preserve">@r45.rosreestr.ru</w:t>
              </w:r>
            </w:hyperlink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  <w:t xml:space="preserve">Руководитель: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__________________ 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 /___________________/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№1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Описание объекта закупки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left"/>
        <w:spacing w:line="240" w:lineRule="auto"/>
        <w:rPr>
          <w:rFonts w:ascii="Tinos" w:hAnsi="Tinos" w:cs="Tinos"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.1.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тав оказываемых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 сбор, транспортирование и утилизация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1.2. 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Срок оказания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2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0 (двадцати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) рабочих дней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даты заключения Контракта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1.3.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г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х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ж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объектов утилизации отходов, соответствующих требованиям действующего законодательства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.4.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Место сбора отходов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: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Российская Федерация,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Курганская область, г. Курган, ул. Куйбышева, 28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и Российская Федерация, Курганская обл., г. Курган, ул. Омская, д. 80 Б.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1.5. 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р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уведомляет Государственного заказчика о предполагаемой дате передачи отходов не менее чем за 1 (один) рабочий день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Отходы передаются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 Государственного заказчика к Исполнителю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путем оформления акта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приема-передачи отходов (Приложение № 2 к настоящему Контракту).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риемка-передача отходов производится в рабочие дни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понедельник – четверг с 8-30 до 16-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(время местное), пятница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с 8-30 до 15-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(время местное)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обеденный перерыв с 12-00 до 13-00 часов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Погрузка отходов с территории Государственного заказчика и их доставка до места утилизации обеспечивается Исполнителем.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несет все расходы, связанные с погрузкой, разгру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кой 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доставкой отходов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 места их утилизации.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После подписания акта приема-передачи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отходов Исполнитель принимает на себя всю ответственность за дальнейшее обращение с имуществом Государственного заказчика,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утратившим свои потребительские свойства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а также с отходами, образовавшимися в результате его утилизации, в соответствии с действующим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итогу оказания услуг Исполнитель предоставляет Государственному заказчику документ о приемке,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счет на оплату;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счет-фактуру (при наличии), 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кт об утилизации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 указанием наименования и инвентарного номера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щ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yellow"/>
          <w:lang w:eastAsia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1.6. Требования к услугам: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Качество, результат и безопасность оказанных услуг должны соответствовать обязательным требованиям нормативно – правовых актов Российской Федерации 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условия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м Контракта.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Исполнитель обеспечивает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утилизацию отходов с соблюдением требований действующего законодательства Российской Федерации, выполнение необходимых мероприятий по технике безопасности, противопожарной безопасности, охране окружающей среды.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Исполнитель гарантирует, что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отходы не будут вывезены на несанкционированные свалки и захоронены на полигонах ТБО без переработки.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1.7.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Перечень отходов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, подлежащих утилизации: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Style w:val="807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4110"/>
        <w:gridCol w:w="1417"/>
        <w:gridCol w:w="1701"/>
        <w:gridCol w:w="1702"/>
      </w:tblGrid>
      <w:tr>
        <w:tblPrEx/>
        <w:trPr>
          <w:trHeight w:val="437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№ п/п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Наименование нефинансовых активов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Количество, шт.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ФККО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4 34 120 03 51 5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0101061139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0101067174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Монометр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4 82 652 11 52 4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Ключ балонный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Ключ для прокачки торм-зов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М000101150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Ключ свечной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ключей ком. в сумке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Лопата штыковая с черенком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387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Дальномер Leica Disto D510 с поверкой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0101049304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4 82 643 51 52 4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Дальномер Leica Disto D510 с поверкой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0101049305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4 82 643 51 52 4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ключей ком. в сумке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(TR4910)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(TR4910)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(ТR 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R40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R45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4910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4911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4912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4913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4915 авт.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4915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4926 авт.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4926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4927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TR4912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TR4915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печати d=40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(TR4910)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Color Printer 60 37*76  пластик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TR4911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TR4913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36*73 мм (4926рез)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36*73 мм (4926рез)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60*33 мм (4928)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мм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мм (4910рез)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 4910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 4913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 4926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ТR4926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Печать гербовая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Металлический архивный стеллаж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00-000000000000488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архивный 2000*1000*300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00-000000000003480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Архивный металлический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0101068741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Архивный металлический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0101068748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  <w:r/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11"/>
        </w:trPr>
        <w:tc>
          <w:tcPr>
            <w:tcW w:w="47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Должность: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_______________________ /____________________/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  <w:sectPr>
          <w:headerReference w:type="default" r:id="rId9"/>
          <w:footnotePr/>
          <w:endnotePr/>
          <w:type w:val="nextPage"/>
          <w:pgSz w:w="11906" w:h="16838" w:orient="portrait"/>
          <w:pgMar w:top="850" w:right="850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 2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  <w:lang w:eastAsia="ar-SA"/>
        </w:rPr>
      </w:r>
      <w:r>
        <w:rPr>
          <w:rFonts w:ascii="Times New Roman" w:hAnsi="Times New Roman" w:cs="Times New Roman"/>
          <w:b/>
          <w:sz w:val="22"/>
          <w:szCs w:val="22"/>
          <w:highlight w:val="none"/>
          <w:lang w:eastAsia="ar-SA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highlight w:val="none"/>
          <w:lang w:eastAsia="ar-SA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АКТ </w:t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  <w:r/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приема-передачи отходов на утилизацию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в лице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заместителя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руководителя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Евгения Викторовича, действующего на основании Приказа Федеральной службы государственной регистрации, кадастра и картографии № 11-к от 19.01.2018 г.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доверенности №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г.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одной стороны,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 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_______________________________________,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именуемое в дальнейшем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в лице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bidi="ru-RU"/>
        </w:rPr>
        <w:t xml:space="preserve"> __________________________________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, действующего на основании ______________,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с другой стороны, вместе именуемые Стороны,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en-US" w:bidi="ru-RU"/>
        </w:rPr>
        <w:t xml:space="preserve">составили настоящий Акт к государственному контракту № от «__» _________________ 2026 г.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о нижеследующем: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793"/>
        <w:numPr>
          <w:ilvl w:val="0"/>
          <w:numId w:val="32"/>
        </w:numPr>
        <w:ind w:left="0" w:right="0" w:firstLine="567"/>
        <w:jc w:val="both"/>
        <w:spacing w:after="0" w:line="240" w:lineRule="auto"/>
        <w:tabs>
          <w:tab w:val="left" w:pos="85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Государственный заказчик передал, а Исполнитель принял следующие отходы: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Style w:val="807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4110"/>
        <w:gridCol w:w="1417"/>
        <w:gridCol w:w="1701"/>
        <w:gridCol w:w="1702"/>
      </w:tblGrid>
      <w:tr>
        <w:tblPrEx/>
        <w:trPr>
          <w:trHeight w:val="437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4 34 120 03 51 5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0101061139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0101067174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Монометр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4 82 652 11 52 4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Ключ балонный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Ключ для прокачки торм-зов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М000101150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Ключ свечной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ключей ком. в сумке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Лопата штыковая с черенком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387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Дальномер Leica Disto D510 с поверкой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0101049304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4 82 643 51 52 4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Дальномер Leica Disto D510 с поверкой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0101049305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4 82 643 51 52 4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ключей ком. в сумке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(TR4910)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(TR4910)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(ТR 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R40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R45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4910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4911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4912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4913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4915 авт.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4915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4926 авт.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4926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4927 штамп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TR4912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TR4915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печати d=40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(TR4910)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Color Printer 60 37*76  пластик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TR4911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TR4913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36*73 мм (4926рез)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36*73 мм (4926рез)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60*33 мм (4928)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мм (4910)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мм (4910рез)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 4910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 4913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 4926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ТR4926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Печать гербовая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Металлический архивный стеллаж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00-000000000000488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архивный 2000*1000*300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00-000000000003480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Архивный металлический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0101068741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Архивный металлический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0101068748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  <w:r/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71"/>
        </w:trPr>
        <w:tc>
          <w:tcPr>
            <w:tcW w:w="47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Должность: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_______________________ /____________________/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tabs>
                <w:tab w:val="left" w:pos="123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r/>
      <w:r/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850" w:right="850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MS ??">
    <w:panose1 w:val="02000603000000000000"/>
  </w:font>
  <w:font w:name="Symbol">
    <w:panose1 w:val="05010000000000000000"/>
  </w:font>
  <w:font w:name="Wingdings">
    <w:panose1 w:val="05010000000000000000"/>
  </w:font>
  <w:font w:name="Times New Roman CYR">
    <w:panose1 w:val="02000603000000000000"/>
  </w:font>
  <w:font w:name="Courier New">
    <w:panose1 w:val="02070409020205020404"/>
  </w:font>
  <w:font w:name="TimesET;Times New Roman">
    <w:panose1 w:val="02000603000000000000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33"/>
        <w:jc w:val="both"/>
        <w:rPr>
          <w:color w:val="000000" w:themeColor="text1"/>
          <w:sz w:val="18"/>
          <w:szCs w:val="18"/>
        </w:rPr>
      </w:pPr>
      <w:r>
        <w:rPr>
          <w:rStyle w:val="935"/>
          <w:color w:val="000000" w:themeColor="text1"/>
          <w:sz w:val="18"/>
          <w:szCs w:val="18"/>
        </w:rPr>
        <w:footnoteRef/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Условие указывается в случае, если Контракт заключается с лицами, являющимися в соответствии с Налоговым кодексом Российской Федерации плательщиками НДС.</w: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</w:r>
    </w:p>
  </w:footnote>
  <w:footnote w:id="3">
    <w:p>
      <w:pPr>
        <w:pStyle w:val="933"/>
        <w:jc w:val="both"/>
        <w:rPr>
          <w:color w:val="000000" w:themeColor="text1"/>
          <w:sz w:val="18"/>
          <w:szCs w:val="18"/>
        </w:rPr>
      </w:pPr>
      <w:r>
        <w:rPr>
          <w:rStyle w:val="935"/>
          <w:color w:val="000000" w:themeColor="text1"/>
          <w:sz w:val="18"/>
          <w:szCs w:val="18"/>
        </w:rPr>
        <w:footnoteRef/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Условие указывается в случае, если Контракт заключается с лицами, не являющимися в соответствии с Налоговым кодексом Российской Федерации плательщик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ами НДС.</w: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4.%1."/>
      <w:legacy w:legacy="1" w:legacyIndent="41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3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92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04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4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249" w:hanging="720"/>
        <w:tabs>
          <w:tab w:val="num" w:pos="0" w:leader="none"/>
        </w:tabs>
      </w:pPr>
      <w:rPr>
        <w:i w:val="0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0" w:hanging="1440"/>
        <w:tabs>
          <w:tab w:val="num" w:pos="0" w:leader="none"/>
        </w:tabs>
      </w:pPr>
    </w:lvl>
  </w:abstractNum>
  <w:abstractNum w:abstractNumId="2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2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8">
    <w:name w:val="Heading 1 Char"/>
    <w:basedOn w:val="954"/>
    <w:link w:val="951"/>
    <w:uiPriority w:val="9"/>
    <w:rPr>
      <w:rFonts w:ascii="Arial" w:hAnsi="Arial" w:eastAsia="Arial" w:cs="Arial"/>
      <w:sz w:val="40"/>
      <w:szCs w:val="40"/>
    </w:rPr>
  </w:style>
  <w:style w:type="character" w:styleId="779">
    <w:name w:val="Heading 2 Char"/>
    <w:basedOn w:val="954"/>
    <w:link w:val="952"/>
    <w:uiPriority w:val="9"/>
    <w:rPr>
      <w:rFonts w:ascii="Arial" w:hAnsi="Arial" w:eastAsia="Arial" w:cs="Arial"/>
      <w:sz w:val="34"/>
    </w:rPr>
  </w:style>
  <w:style w:type="character" w:styleId="780">
    <w:name w:val="Heading 3 Char"/>
    <w:basedOn w:val="954"/>
    <w:link w:val="953"/>
    <w:uiPriority w:val="9"/>
    <w:rPr>
      <w:rFonts w:ascii="Arial" w:hAnsi="Arial" w:eastAsia="Arial" w:cs="Arial"/>
      <w:sz w:val="30"/>
      <w:szCs w:val="30"/>
    </w:rPr>
  </w:style>
  <w:style w:type="paragraph" w:styleId="781">
    <w:name w:val="Heading 4"/>
    <w:basedOn w:val="950"/>
    <w:next w:val="950"/>
    <w:link w:val="7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2">
    <w:name w:val="Heading 4 Char"/>
    <w:basedOn w:val="954"/>
    <w:link w:val="781"/>
    <w:uiPriority w:val="9"/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950"/>
    <w:next w:val="950"/>
    <w:link w:val="7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>
    <w:name w:val="Heading 5 Char"/>
    <w:basedOn w:val="954"/>
    <w:link w:val="783"/>
    <w:uiPriority w:val="9"/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950"/>
    <w:next w:val="950"/>
    <w:link w:val="7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6">
    <w:name w:val="Heading 6 Char"/>
    <w:basedOn w:val="954"/>
    <w:link w:val="785"/>
    <w:uiPriority w:val="9"/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950"/>
    <w:next w:val="950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>
    <w:name w:val="Heading 7 Char"/>
    <w:basedOn w:val="954"/>
    <w:link w:val="7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950"/>
    <w:next w:val="950"/>
    <w:link w:val="7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0">
    <w:name w:val="Heading 8 Char"/>
    <w:basedOn w:val="954"/>
    <w:link w:val="789"/>
    <w:uiPriority w:val="9"/>
    <w:rPr>
      <w:rFonts w:ascii="Arial" w:hAnsi="Arial" w:eastAsia="Arial" w:cs="Arial"/>
      <w:i/>
      <w:iCs/>
      <w:sz w:val="22"/>
      <w:szCs w:val="22"/>
    </w:rPr>
  </w:style>
  <w:style w:type="paragraph" w:styleId="791">
    <w:name w:val="Heading 9"/>
    <w:basedOn w:val="950"/>
    <w:next w:val="950"/>
    <w:link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>
    <w:name w:val="Heading 9 Char"/>
    <w:basedOn w:val="954"/>
    <w:link w:val="791"/>
    <w:uiPriority w:val="9"/>
    <w:rPr>
      <w:rFonts w:ascii="Arial" w:hAnsi="Arial" w:eastAsia="Arial" w:cs="Arial"/>
      <w:i/>
      <w:iCs/>
      <w:sz w:val="21"/>
      <w:szCs w:val="21"/>
    </w:rPr>
  </w:style>
  <w:style w:type="paragraph" w:styleId="793">
    <w:name w:val="List Paragraph"/>
    <w:basedOn w:val="950"/>
    <w:uiPriority w:val="34"/>
    <w:qFormat/>
    <w:pPr>
      <w:contextualSpacing/>
      <w:ind w:left="720"/>
    </w:pPr>
  </w:style>
  <w:style w:type="paragraph" w:styleId="794">
    <w:name w:val="No Spacing"/>
    <w:uiPriority w:val="1"/>
    <w:qFormat/>
    <w:pPr>
      <w:spacing w:before="0" w:after="0" w:line="240" w:lineRule="auto"/>
    </w:pPr>
  </w:style>
  <w:style w:type="paragraph" w:styleId="795">
    <w:name w:val="Title"/>
    <w:basedOn w:val="950"/>
    <w:next w:val="950"/>
    <w:link w:val="7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6">
    <w:name w:val="Title Char"/>
    <w:basedOn w:val="954"/>
    <w:link w:val="795"/>
    <w:uiPriority w:val="10"/>
    <w:rPr>
      <w:sz w:val="48"/>
      <w:szCs w:val="48"/>
    </w:rPr>
  </w:style>
  <w:style w:type="paragraph" w:styleId="797">
    <w:name w:val="Subtitle"/>
    <w:basedOn w:val="950"/>
    <w:next w:val="950"/>
    <w:link w:val="798"/>
    <w:uiPriority w:val="11"/>
    <w:qFormat/>
    <w:pPr>
      <w:spacing w:before="200" w:after="200"/>
    </w:pPr>
    <w:rPr>
      <w:sz w:val="24"/>
      <w:szCs w:val="24"/>
    </w:rPr>
  </w:style>
  <w:style w:type="character" w:styleId="798">
    <w:name w:val="Subtitle Char"/>
    <w:basedOn w:val="954"/>
    <w:link w:val="797"/>
    <w:uiPriority w:val="11"/>
    <w:rPr>
      <w:sz w:val="24"/>
      <w:szCs w:val="24"/>
    </w:rPr>
  </w:style>
  <w:style w:type="paragraph" w:styleId="799">
    <w:name w:val="Quote"/>
    <w:basedOn w:val="950"/>
    <w:next w:val="950"/>
    <w:link w:val="800"/>
    <w:uiPriority w:val="29"/>
    <w:qFormat/>
    <w:pPr>
      <w:ind w:left="720" w:right="720"/>
    </w:pPr>
    <w:rPr>
      <w:i/>
    </w:rPr>
  </w:style>
  <w:style w:type="character" w:styleId="800">
    <w:name w:val="Quote Char"/>
    <w:link w:val="799"/>
    <w:uiPriority w:val="29"/>
    <w:rPr>
      <w:i/>
    </w:rPr>
  </w:style>
  <w:style w:type="paragraph" w:styleId="801">
    <w:name w:val="Intense Quote"/>
    <w:basedOn w:val="950"/>
    <w:next w:val="950"/>
    <w:link w:val="8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>
    <w:name w:val="Intense Quote Char"/>
    <w:link w:val="801"/>
    <w:uiPriority w:val="30"/>
    <w:rPr>
      <w:i/>
    </w:rPr>
  </w:style>
  <w:style w:type="character" w:styleId="803">
    <w:name w:val="Header Char"/>
    <w:basedOn w:val="954"/>
    <w:link w:val="964"/>
    <w:uiPriority w:val="99"/>
  </w:style>
  <w:style w:type="character" w:styleId="804">
    <w:name w:val="Footer Char"/>
    <w:basedOn w:val="954"/>
    <w:link w:val="966"/>
    <w:uiPriority w:val="99"/>
  </w:style>
  <w:style w:type="paragraph" w:styleId="805">
    <w:name w:val="Caption"/>
    <w:basedOn w:val="950"/>
    <w:next w:val="950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6">
    <w:name w:val="Caption Char"/>
    <w:basedOn w:val="805"/>
    <w:link w:val="966"/>
    <w:uiPriority w:val="99"/>
  </w:style>
  <w:style w:type="table" w:styleId="807">
    <w:name w:val="Table Grid"/>
    <w:basedOn w:val="9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Table Grid Light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9">
    <w:name w:val="Plain Table 1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2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1">
    <w:name w:val="Plain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2">
    <w:name w:val="Plain Table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Plain Table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4">
    <w:name w:val="Grid Table 1 Light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4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6">
    <w:name w:val="Grid Table 4 - Accent 1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7">
    <w:name w:val="Grid Table 4 - Accent 2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Grid Table 4 - Accent 3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9">
    <w:name w:val="Grid Table 4 - Accent 4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Grid Table 4 - Accent 5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1">
    <w:name w:val="Grid Table 4 - Accent 6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2">
    <w:name w:val="Grid Table 5 Dark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9">
    <w:name w:val="Grid Table 6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0">
    <w:name w:val="Grid Table 6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1">
    <w:name w:val="Grid Table 6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2">
    <w:name w:val="Grid Table 6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3">
    <w:name w:val="Grid Table 6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4">
    <w:name w:val="Grid Table 6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6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6">
    <w:name w:val="Grid Table 7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1">
    <w:name w:val="List Table 2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2">
    <w:name w:val="List Table 2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3">
    <w:name w:val="List Table 2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4">
    <w:name w:val="List Table 2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5">
    <w:name w:val="List Table 2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6">
    <w:name w:val="List Table 2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7">
    <w:name w:val="List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5 Dark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6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9">
    <w:name w:val="List Table 6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0">
    <w:name w:val="List Table 6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1">
    <w:name w:val="List Table 6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2">
    <w:name w:val="List Table 6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3">
    <w:name w:val="List Table 6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4">
    <w:name w:val="List Table 6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5">
    <w:name w:val="List Table 7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6">
    <w:name w:val="List Table 7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7">
    <w:name w:val="List Table 7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8">
    <w:name w:val="List Table 7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9">
    <w:name w:val="List Table 7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0">
    <w:name w:val="List Table 7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1">
    <w:name w:val="List Table 7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2">
    <w:name w:val="Lined - Accent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3">
    <w:name w:val="Lined - Accent 1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4">
    <w:name w:val="Lined - Accent 2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5">
    <w:name w:val="Lined - Accent 3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6">
    <w:name w:val="Lined - Accent 4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7">
    <w:name w:val="Lined - Accent 5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8">
    <w:name w:val="Lined - Accent 6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9">
    <w:name w:val="Bordered &amp; Lined - Accent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0">
    <w:name w:val="Bordered &amp; Lined - Accent 1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1">
    <w:name w:val="Bordered &amp; Lined - Accent 2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2">
    <w:name w:val="Bordered &amp; Lined - Accent 3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3">
    <w:name w:val="Bordered &amp; Lined - Accent 4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4">
    <w:name w:val="Bordered &amp; Lined - Accent 5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5">
    <w:name w:val="Bordered &amp; Lined - Accent 6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6">
    <w:name w:val="Bordered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7">
    <w:name w:val="Bordered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8">
    <w:name w:val="Bordered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9">
    <w:name w:val="Bordered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0">
    <w:name w:val="Bordered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1">
    <w:name w:val="Bordered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2">
    <w:name w:val="Bordered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3">
    <w:name w:val="footnote text"/>
    <w:basedOn w:val="950"/>
    <w:link w:val="934"/>
    <w:uiPriority w:val="99"/>
    <w:semiHidden/>
    <w:unhideWhenUsed/>
    <w:pPr>
      <w:spacing w:after="40" w:line="240" w:lineRule="auto"/>
    </w:pPr>
    <w:rPr>
      <w:sz w:val="18"/>
    </w:rPr>
  </w:style>
  <w:style w:type="character" w:styleId="934">
    <w:name w:val="Footnote Text Char"/>
    <w:link w:val="933"/>
    <w:uiPriority w:val="99"/>
    <w:rPr>
      <w:sz w:val="18"/>
    </w:rPr>
  </w:style>
  <w:style w:type="character" w:styleId="935">
    <w:name w:val="footnote reference"/>
    <w:basedOn w:val="954"/>
    <w:uiPriority w:val="99"/>
    <w:unhideWhenUsed/>
    <w:rPr>
      <w:vertAlign w:val="superscript"/>
    </w:rPr>
  </w:style>
  <w:style w:type="paragraph" w:styleId="936">
    <w:name w:val="endnote text"/>
    <w:basedOn w:val="950"/>
    <w:link w:val="937"/>
    <w:uiPriority w:val="99"/>
    <w:semiHidden/>
    <w:unhideWhenUsed/>
    <w:pPr>
      <w:spacing w:after="0" w:line="240" w:lineRule="auto"/>
    </w:pPr>
    <w:rPr>
      <w:sz w:val="20"/>
    </w:rPr>
  </w:style>
  <w:style w:type="character" w:styleId="937">
    <w:name w:val="Endnote Text Char"/>
    <w:link w:val="936"/>
    <w:uiPriority w:val="99"/>
    <w:rPr>
      <w:sz w:val="20"/>
    </w:rPr>
  </w:style>
  <w:style w:type="character" w:styleId="938">
    <w:name w:val="endnote reference"/>
    <w:basedOn w:val="954"/>
    <w:uiPriority w:val="99"/>
    <w:semiHidden/>
    <w:unhideWhenUsed/>
    <w:rPr>
      <w:vertAlign w:val="superscript"/>
    </w:rPr>
  </w:style>
  <w:style w:type="paragraph" w:styleId="939">
    <w:name w:val="toc 1"/>
    <w:basedOn w:val="950"/>
    <w:next w:val="950"/>
    <w:uiPriority w:val="39"/>
    <w:unhideWhenUsed/>
    <w:pPr>
      <w:ind w:left="0" w:right="0" w:firstLine="0"/>
      <w:spacing w:after="57"/>
    </w:pPr>
  </w:style>
  <w:style w:type="paragraph" w:styleId="940">
    <w:name w:val="toc 2"/>
    <w:basedOn w:val="950"/>
    <w:next w:val="950"/>
    <w:uiPriority w:val="39"/>
    <w:unhideWhenUsed/>
    <w:pPr>
      <w:ind w:left="283" w:right="0" w:firstLine="0"/>
      <w:spacing w:after="57"/>
    </w:pPr>
  </w:style>
  <w:style w:type="paragraph" w:styleId="941">
    <w:name w:val="toc 3"/>
    <w:basedOn w:val="950"/>
    <w:next w:val="950"/>
    <w:uiPriority w:val="39"/>
    <w:unhideWhenUsed/>
    <w:pPr>
      <w:ind w:left="567" w:right="0" w:firstLine="0"/>
      <w:spacing w:after="57"/>
    </w:pPr>
  </w:style>
  <w:style w:type="paragraph" w:styleId="942">
    <w:name w:val="toc 4"/>
    <w:basedOn w:val="950"/>
    <w:next w:val="950"/>
    <w:uiPriority w:val="39"/>
    <w:unhideWhenUsed/>
    <w:pPr>
      <w:ind w:left="850" w:right="0" w:firstLine="0"/>
      <w:spacing w:after="57"/>
    </w:pPr>
  </w:style>
  <w:style w:type="paragraph" w:styleId="943">
    <w:name w:val="toc 5"/>
    <w:basedOn w:val="950"/>
    <w:next w:val="950"/>
    <w:uiPriority w:val="39"/>
    <w:unhideWhenUsed/>
    <w:pPr>
      <w:ind w:left="1134" w:right="0" w:firstLine="0"/>
      <w:spacing w:after="57"/>
    </w:pPr>
  </w:style>
  <w:style w:type="paragraph" w:styleId="944">
    <w:name w:val="toc 6"/>
    <w:basedOn w:val="950"/>
    <w:next w:val="950"/>
    <w:uiPriority w:val="39"/>
    <w:unhideWhenUsed/>
    <w:pPr>
      <w:ind w:left="1417" w:right="0" w:firstLine="0"/>
      <w:spacing w:after="57"/>
    </w:pPr>
  </w:style>
  <w:style w:type="paragraph" w:styleId="945">
    <w:name w:val="toc 7"/>
    <w:basedOn w:val="950"/>
    <w:next w:val="950"/>
    <w:uiPriority w:val="39"/>
    <w:unhideWhenUsed/>
    <w:pPr>
      <w:ind w:left="1701" w:right="0" w:firstLine="0"/>
      <w:spacing w:after="57"/>
    </w:pPr>
  </w:style>
  <w:style w:type="paragraph" w:styleId="946">
    <w:name w:val="toc 8"/>
    <w:basedOn w:val="950"/>
    <w:next w:val="950"/>
    <w:uiPriority w:val="39"/>
    <w:unhideWhenUsed/>
    <w:pPr>
      <w:ind w:left="1984" w:right="0" w:firstLine="0"/>
      <w:spacing w:after="57"/>
    </w:pPr>
  </w:style>
  <w:style w:type="paragraph" w:styleId="947">
    <w:name w:val="toc 9"/>
    <w:basedOn w:val="950"/>
    <w:next w:val="950"/>
    <w:uiPriority w:val="39"/>
    <w:unhideWhenUsed/>
    <w:pPr>
      <w:ind w:left="2268" w:right="0" w:firstLine="0"/>
      <w:spacing w:after="57"/>
    </w:pPr>
  </w:style>
  <w:style w:type="paragraph" w:styleId="948">
    <w:name w:val="TOC Heading"/>
    <w:uiPriority w:val="39"/>
    <w:unhideWhenUsed/>
  </w:style>
  <w:style w:type="paragraph" w:styleId="949">
    <w:name w:val="table of figures"/>
    <w:basedOn w:val="950"/>
    <w:next w:val="950"/>
    <w:uiPriority w:val="99"/>
    <w:unhideWhenUsed/>
    <w:pPr>
      <w:spacing w:after="0" w:afterAutospacing="0"/>
    </w:pPr>
  </w:style>
  <w:style w:type="paragraph" w:styleId="950" w:default="1">
    <w:name w:val="Normal"/>
    <w:qFormat/>
    <w:rPr>
      <w:sz w:val="24"/>
      <w:szCs w:val="24"/>
    </w:rPr>
  </w:style>
  <w:style w:type="paragraph" w:styleId="951">
    <w:name w:val="Heading 1"/>
    <w:basedOn w:val="950"/>
    <w:next w:val="950"/>
    <w:link w:val="957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52">
    <w:name w:val="Heading 2"/>
    <w:basedOn w:val="950"/>
    <w:link w:val="958"/>
    <w:uiPriority w:val="99"/>
    <w:qFormat/>
    <w:pPr>
      <w:jc w:val="center"/>
      <w:keepNext/>
      <w:spacing w:before="28" w:after="28"/>
      <w:outlineLvl w:val="1"/>
    </w:pPr>
    <w:rPr>
      <w:b/>
      <w:bCs/>
      <w:color w:val="000000"/>
      <w:sz w:val="26"/>
      <w:szCs w:val="26"/>
    </w:rPr>
  </w:style>
  <w:style w:type="paragraph" w:styleId="953">
    <w:name w:val="Heading 3"/>
    <w:basedOn w:val="950"/>
    <w:link w:val="959"/>
    <w:uiPriority w:val="99"/>
    <w:qFormat/>
    <w:pPr>
      <w:jc w:val="center"/>
      <w:keepNext/>
      <w:spacing w:before="28" w:after="28"/>
      <w:outlineLvl w:val="2"/>
    </w:pPr>
    <w:rPr>
      <w:b/>
      <w:bCs/>
      <w:color w:val="000000"/>
      <w:sz w:val="22"/>
      <w:szCs w:val="22"/>
    </w:rPr>
  </w:style>
  <w:style w:type="character" w:styleId="954" w:default="1">
    <w:name w:val="Default Paragraph Font"/>
    <w:uiPriority w:val="1"/>
    <w:semiHidden/>
    <w:unhideWhenUsed/>
  </w:style>
  <w:style w:type="table" w:styleId="9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6" w:default="1">
    <w:name w:val="No List"/>
    <w:uiPriority w:val="99"/>
    <w:semiHidden/>
    <w:unhideWhenUsed/>
  </w:style>
  <w:style w:type="character" w:styleId="957" w:customStyle="1">
    <w:name w:val="Заголовок 1 Знак"/>
    <w:link w:val="951"/>
    <w:uiPriority w:val="99"/>
    <w:rPr>
      <w:rFonts w:ascii="Cambria" w:hAnsi="Cambria" w:cs="Cambria"/>
      <w:b/>
      <w:bCs/>
      <w:sz w:val="32"/>
      <w:szCs w:val="32"/>
    </w:rPr>
  </w:style>
  <w:style w:type="character" w:styleId="958" w:customStyle="1">
    <w:name w:val="Заголовок 2 Знак"/>
    <w:link w:val="952"/>
    <w:uiPriority w:val="99"/>
    <w:rPr>
      <w:b/>
      <w:bCs/>
      <w:color w:val="000000"/>
      <w:sz w:val="26"/>
      <w:szCs w:val="26"/>
      <w:lang w:val="ru-RU" w:eastAsia="ru-RU"/>
    </w:rPr>
  </w:style>
  <w:style w:type="character" w:styleId="959" w:customStyle="1">
    <w:name w:val="Заголовок 3 Знак"/>
    <w:link w:val="953"/>
    <w:uiPriority w:val="99"/>
    <w:semiHidden/>
    <w:rPr>
      <w:rFonts w:ascii="Cambria" w:hAnsi="Cambria" w:cs="Cambria"/>
      <w:b/>
      <w:bCs/>
      <w:sz w:val="26"/>
      <w:szCs w:val="26"/>
    </w:rPr>
  </w:style>
  <w:style w:type="character" w:styleId="960">
    <w:name w:val="Hyperlink"/>
    <w:uiPriority w:val="99"/>
    <w:rPr>
      <w:color w:val="000080"/>
      <w:u w:val="single"/>
    </w:rPr>
  </w:style>
  <w:style w:type="paragraph" w:styleId="961">
    <w:name w:val="Normal (Web)"/>
    <w:basedOn w:val="950"/>
    <w:uiPriority w:val="99"/>
    <w:pPr>
      <w:spacing w:before="100" w:beforeAutospacing="1" w:after="119"/>
    </w:pPr>
  </w:style>
  <w:style w:type="paragraph" w:styleId="962">
    <w:name w:val="Body Text"/>
    <w:basedOn w:val="950"/>
    <w:link w:val="963"/>
    <w:uiPriority w:val="99"/>
    <w:pPr>
      <w:jc w:val="center"/>
    </w:pPr>
    <w:rPr>
      <w:b/>
      <w:bCs/>
      <w:sz w:val="28"/>
      <w:szCs w:val="28"/>
    </w:rPr>
  </w:style>
  <w:style w:type="character" w:styleId="963" w:customStyle="1">
    <w:name w:val="Основной текст Знак"/>
    <w:link w:val="962"/>
    <w:uiPriority w:val="99"/>
    <w:semiHidden/>
    <w:rPr>
      <w:sz w:val="24"/>
      <w:szCs w:val="24"/>
    </w:rPr>
  </w:style>
  <w:style w:type="paragraph" w:styleId="964">
    <w:name w:val="Header"/>
    <w:basedOn w:val="950"/>
    <w:link w:val="965"/>
    <w:uiPriority w:val="99"/>
    <w:pPr>
      <w:tabs>
        <w:tab w:val="center" w:pos="4677" w:leader="none"/>
        <w:tab w:val="right" w:pos="9355" w:leader="none"/>
      </w:tabs>
    </w:pPr>
  </w:style>
  <w:style w:type="character" w:styleId="965" w:customStyle="1">
    <w:name w:val="Верхний колонтитул Знак"/>
    <w:link w:val="964"/>
    <w:uiPriority w:val="99"/>
    <w:rPr>
      <w:sz w:val="24"/>
      <w:szCs w:val="24"/>
    </w:rPr>
  </w:style>
  <w:style w:type="paragraph" w:styleId="966">
    <w:name w:val="Footer"/>
    <w:basedOn w:val="950"/>
    <w:link w:val="967"/>
    <w:uiPriority w:val="99"/>
    <w:pPr>
      <w:tabs>
        <w:tab w:val="center" w:pos="4677" w:leader="none"/>
        <w:tab w:val="right" w:pos="9355" w:leader="none"/>
      </w:tabs>
    </w:pPr>
  </w:style>
  <w:style w:type="character" w:styleId="967" w:customStyle="1">
    <w:name w:val="Нижний колонтитул Знак"/>
    <w:link w:val="966"/>
    <w:uiPriority w:val="99"/>
    <w:rPr>
      <w:sz w:val="24"/>
      <w:szCs w:val="24"/>
    </w:rPr>
  </w:style>
  <w:style w:type="character" w:styleId="968">
    <w:name w:val="page number"/>
    <w:basedOn w:val="954"/>
    <w:uiPriority w:val="99"/>
  </w:style>
  <w:style w:type="paragraph" w:styleId="969" w:customStyle="1">
    <w:name w:val="p10"/>
    <w:basedOn w:val="950"/>
    <w:uiPriority w:val="99"/>
    <w:pPr>
      <w:spacing w:before="100" w:beforeAutospacing="1" w:after="100" w:afterAutospacing="1"/>
    </w:pPr>
  </w:style>
  <w:style w:type="character" w:styleId="970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971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2" w:customStyle="1">
    <w:name w:val="мини_список"/>
    <w:qFormat/>
    <w:pPr>
      <w:numPr>
        <w:ilvl w:val="0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/>
      <w:i w:val="0"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73" w:customStyle="1">
    <w:name w:val="Numbered Level 1"/>
    <w:pPr>
      <w:numPr>
        <w:ilvl w:val="0"/>
        <w:numId w:val="0"/>
      </w:numPr>
      <w:contextualSpacing w:val="0"/>
      <w:ind w:left="700" w:right="0" w:hanging="36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4" w:customStyle="1">
    <w:name w:val="Body Text Indent"/>
    <w:basedOn w:val="789"/>
    <w:uiPriority w:val="99"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75" w:customStyle="1">
    <w:name w:val="Обычный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ET;Times New Roman" w:hAnsi="TimesET;Times New Roman" w:eastAsia="Times New Roman" w:cs="TimesET;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76" w:customStyle="1">
    <w:name w:val="Маркированный список с тире"/>
    <w:next w:val="787"/>
    <w:qFormat/>
    <w:pPr>
      <w:numPr>
        <w:ilvl w:val="0"/>
        <w:numId w:val="0"/>
      </w:numPr>
      <w:contextualSpacing w:val="0"/>
      <w:ind w:left="889" w:right="0" w:hanging="36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889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77" w:customStyle="1">
    <w:name w:val="Заголовок1"/>
    <w:basedOn w:val="927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78" w:customStyle="1">
    <w:name w:val="Текстовка"/>
    <w:basedOn w:val="960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9" w:customStyle="1">
    <w:name w:val="Нормальный (таблица)"/>
    <w:link w:val="845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0" w:customStyle="1">
    <w:name w:val="Абзац списка,????,????1,?????1,Bulletr List Paragraph,Colorful List - Accent 11,FooterText,List Paragraph11,List Paragraph2,Lists,Paragraphe de liste1,Parágrafo da Lista1,Párrafo de lista1,numbered,リスト段落1,列出段落,列出段落1,UL,Абзац маркированнный,Bullet List,lp1"/>
    <w:uiPriority w:val="34"/>
    <w:qFormat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internet.garant.ru/#/multilink/70353464/paragraph/3862/number/0" TargetMode="External"/><Relationship Id="rId11" Type="http://schemas.openxmlformats.org/officeDocument/2006/relationships/hyperlink" Target="https://internet.garant.ru/#/document/10180094/entry/100" TargetMode="External"/><Relationship Id="rId12" Type="http://schemas.openxmlformats.org/officeDocument/2006/relationships/hyperlink" Target="https://internet.garant.ru/#/document/71757358/entry/1000" TargetMode="External"/><Relationship Id="rId13" Type="http://schemas.openxmlformats.org/officeDocument/2006/relationships/hyperlink" Target="https://internet.garant.ru/#/document/10180094/entry/100" TargetMode="External"/><Relationship Id="rId14" Type="http://schemas.openxmlformats.org/officeDocument/2006/relationships/hyperlink" Target="https://internet.garant.ru/#/document/71757358/entry/1000" TargetMode="External"/><Relationship Id="rId15" Type="http://schemas.openxmlformats.org/officeDocument/2006/relationships/hyperlink" Target="consultantplus://offline/ref=F174975D8C2C2429B2BB081949B2575B8624B14B07BB5628CB5844574DtAZ8E" TargetMode="External"/><Relationship Id="rId16" Type="http://schemas.openxmlformats.org/officeDocument/2006/relationships/hyperlink" Target="mailto:odr@r4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Программный центр Помощь образованию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</dc:title>
  <dc:subject/>
  <dc:creator>PC26</dc:creator>
  <cp:keywords/>
  <dc:description/>
  <cp:lastModifiedBy>sheshukova</cp:lastModifiedBy>
  <cp:revision>70</cp:revision>
  <dcterms:created xsi:type="dcterms:W3CDTF">2023-03-09T13:35:00Z</dcterms:created>
  <dcterms:modified xsi:type="dcterms:W3CDTF">2026-07-21T06:03:26Z</dcterms:modified>
</cp:coreProperties>
</file>