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>Приложение №1</w:t>
      </w:r>
    </w:p>
    <w:p>
      <w:pPr>
        <w:pStyle w:val="Normal"/>
        <w:ind w:left="1416" w:firstLine="708"/>
        <w:jc w:val="right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к извещению об осуществлении закупки</w:t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widowControl w:val="false"/>
        <w:spacing w:lineRule="auto" w:line="240" w:before="0" w:after="0"/>
        <w:contextualSpacing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>ОПИСАНИЕ ОБЪЕКТА ЗАКУПКИ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1. Наименование объекта закупки: </w:t>
      </w:r>
      <w:r>
        <w:rPr>
          <w:rFonts w:eastAsia="Times New Roman" w:cs="Times New Roman" w:ascii="Times New Roman" w:hAnsi="Times New Roman"/>
          <w:sz w:val="24"/>
        </w:rPr>
        <w:t>Поставка водонагревателя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2. Заказчик </w:t>
      </w:r>
      <w:r>
        <w:rPr>
          <w:rFonts w:eastAsia="Times New Roman" w:cs="Times New Roman" w:ascii="Times New Roman" w:hAnsi="Times New Roman"/>
          <w:sz w:val="24"/>
        </w:rPr>
        <w:t xml:space="preserve">– ФГБУ ДПНС «Калуга-Бор» Минздрава РФ, расположенный по адресу:  </w:t>
      </w:r>
      <w:r>
        <w:rPr>
          <w:rFonts w:eastAsia="Times New Roman" w:cs="Times New Roman" w:ascii="Times New Roman" w:hAnsi="Times New Roman"/>
          <w:spacing w:val="-4"/>
          <w:sz w:val="24"/>
        </w:rPr>
        <w:t>г. Калуга, ул. Калуга-Бор, д. 3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3. Поставщик</w:t>
      </w:r>
      <w:r>
        <w:rPr>
          <w:rFonts w:eastAsia="Times New Roman" w:cs="Times New Roman" w:ascii="Times New Roman" w:hAnsi="Times New Roman"/>
          <w:sz w:val="24"/>
        </w:rPr>
        <w:t xml:space="preserve"> – Лицо, поставляющее </w:t>
      </w:r>
      <w:r>
        <w:rPr>
          <w:rFonts w:eastAsia="Times New Roman" w:cs="Times New Roman" w:ascii="Times New Roman" w:hAnsi="Times New Roman"/>
          <w:sz w:val="24"/>
        </w:rPr>
        <w:t>водонагреватель</w:t>
      </w:r>
      <w:r>
        <w:rPr>
          <w:rFonts w:eastAsia="Times New Roman" w:cs="Times New Roman" w:ascii="Times New Roman" w:hAnsi="Times New Roman"/>
          <w:sz w:val="24"/>
        </w:rPr>
        <w:t xml:space="preserve"> для нужд  </w:t>
      </w:r>
      <w:r>
        <w:rPr>
          <w:rFonts w:eastAsia="Times New Roman" w:cs="Times New Roman" w:ascii="Times New Roman" w:hAnsi="Times New Roman"/>
          <w:sz w:val="24"/>
          <w:lang w:eastAsia="ru-RU"/>
        </w:rPr>
        <w:t>ФГБУ ДПНС Калуга-Бор Минздрава России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4. Товар </w:t>
      </w:r>
      <w:r>
        <w:rPr>
          <w:rFonts w:eastAsia="Times New Roman" w:cs="Times New Roman" w:ascii="Times New Roman" w:hAnsi="Times New Roman"/>
          <w:sz w:val="24"/>
        </w:rPr>
        <w:t>– Котел электрический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>5. Место поставки товара</w:t>
      </w:r>
      <w:r>
        <w:rPr>
          <w:rFonts w:eastAsia="Times New Roman" w:cs="Times New Roman" w:ascii="Times New Roman" w:hAnsi="Times New Roman"/>
          <w:sz w:val="24"/>
        </w:rPr>
        <w:t xml:space="preserve"> – </w:t>
      </w:r>
      <w:r>
        <w:rPr>
          <w:rFonts w:eastAsia="Times New Roman" w:cs="Times New Roman" w:ascii="Times New Roman" w:hAnsi="Times New Roman"/>
          <w:spacing w:val="-4"/>
          <w:sz w:val="24"/>
        </w:rPr>
        <w:t>г. Калуга, ул. Калуга-Бор, д. 3, склад.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6. </w:t>
      </w:r>
      <w:r>
        <w:rPr>
          <w:rFonts w:eastAsia="Times New Roman" w:cs="Times New Roman" w:ascii="Times New Roman" w:hAnsi="Times New Roman"/>
          <w:b/>
          <w:sz w:val="24"/>
          <w:lang w:eastAsia="ar-SA"/>
        </w:rPr>
        <w:t xml:space="preserve">Товар, предусмотренный контрактом, </w:t>
      </w:r>
      <w:r>
        <w:rPr>
          <w:rFonts w:eastAsia="Times New Roman" w:cs="Times New Roman" w:ascii="Times New Roman" w:hAnsi="Times New Roman"/>
          <w:sz w:val="24"/>
        </w:rPr>
        <w:t>поставляется в течение 10 рабочих дней с даты заключения контракта.</w:t>
      </w:r>
    </w:p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7. Количество товара – </w:t>
      </w:r>
      <w:r>
        <w:rPr>
          <w:rFonts w:eastAsia="Times New Roman" w:cs="Times New Roman" w:ascii="Times New Roman" w:hAnsi="Times New Roman"/>
          <w:sz w:val="24"/>
        </w:rPr>
        <w:t>согласно Спецификации на поставку товара (Таблица № 1).</w:t>
      </w:r>
    </w:p>
    <w:p>
      <w:pPr>
        <w:pStyle w:val="Normal"/>
        <w:widowControl w:val="false"/>
        <w:spacing w:lineRule="auto" w:line="240" w:before="0" w:after="0"/>
        <w:contextualSpacing/>
        <w:jc w:val="both"/>
        <w:rPr>
          <w:b/>
          <w:b/>
          <w:bCs/>
        </w:rPr>
      </w:pPr>
      <w:r>
        <w:rPr>
          <w:b/>
          <w:bCs/>
        </w:rPr>
        <w:t>Таблица №1</w:t>
      </w:r>
    </w:p>
    <w:tbl>
      <w:tblPr>
        <w:tblStyle w:val="a3"/>
        <w:tblW w:w="11735" w:type="dxa"/>
        <w:jc w:val="left"/>
        <w:tblInd w:w="-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24"/>
        <w:gridCol w:w="3247"/>
        <w:gridCol w:w="6229"/>
        <w:gridCol w:w="1534"/>
      </w:tblGrid>
      <w:tr>
        <w:trPr/>
        <w:tc>
          <w:tcPr>
            <w:tcW w:w="72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3247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Наименование</w:t>
            </w:r>
          </w:p>
        </w:tc>
        <w:tc>
          <w:tcPr>
            <w:tcW w:w="6229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Характеристика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Кол-во, шт.</w:t>
            </w:r>
          </w:p>
        </w:tc>
      </w:tr>
      <w:tr>
        <w:trPr/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3247" w:type="dxa"/>
            <w:tcBorders/>
            <w:vAlign w:val="center"/>
          </w:tcPr>
          <w:p>
            <w:pPr>
              <w:pStyle w:val="1"/>
              <w:widowControl w:val="false"/>
              <w:spacing w:before="480" w:after="0"/>
              <w:jc w:val="center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4"/>
                <w:szCs w:val="24"/>
                <w:u w:val="none"/>
                <w:effec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2"/>
                <w:szCs w:val="22"/>
                <w:u w:val="none"/>
                <w:effect w:val="none"/>
                <w:shd w:fill="auto" w:val="clear"/>
                <w:lang w:val="ru-RU" w:eastAsia="en-US" w:bidi="ar-SA"/>
              </w:rPr>
              <w:t>Электрический котел в комплекте с циркулярным насосом и расширительным баком.</w:t>
            </w:r>
          </w:p>
          <w:p>
            <w:pPr>
              <w:pStyle w:val="1"/>
              <w:widowControl w:val="false"/>
              <w:spacing w:before="280" w:after="280"/>
              <w:jc w:val="center"/>
              <w:rPr>
                <w:rFonts w:ascii="Times New Roman" w:hAnsi="Times New Roman"/>
                <w:b w:val="false"/>
                <w:b w:val="false"/>
                <w:bCs w:val="false"/>
                <w:i/>
                <w:i/>
                <w:iCs/>
                <w:caps w:val="false"/>
                <w:smallCaps w:val="false"/>
                <w:strike w:val="false"/>
                <w:dstrike w:val="false"/>
                <w:color w:val="auto"/>
                <w:spacing w:val="0"/>
                <w:sz w:val="20"/>
                <w:szCs w:val="20"/>
                <w:u w:val="none"/>
                <w:effect w:val="none"/>
                <w:shd w:fill="auto" w:val="clear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kern w:val="0"/>
                <w:sz w:val="20"/>
                <w:szCs w:val="20"/>
                <w:u w:val="none"/>
                <w:effect w:val="none"/>
                <w:shd w:fill="auto" w:val="clear"/>
                <w:lang w:val="ru-RU" w:eastAsia="en-US" w:bidi="ar-SA"/>
              </w:rPr>
              <w:t>(Ресурс ЭВПМ 9 кВт или эквивалент)</w:t>
            </w:r>
          </w:p>
        </w:tc>
        <w:tc>
          <w:tcPr>
            <w:tcW w:w="6229" w:type="dxa"/>
            <w:tcBorders/>
            <w:vAlign w:val="center"/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Тип: Электрический котел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Рабочее давление, бар: 3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Макс. тепловая мощность, кВт: 9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Макс. температура теплоносителя, °C: 90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Отапливаемая площадь, кв. м: 90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Высота, мм: 650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Ширина, мм: 210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Глубина, мм: 170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Количество контуров: Одноконтурный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Напряжение сети: 220-380В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Подключаемая эл. сеть: Однофазная, Трехфазная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Подключение отопительного контура: 1"(25 мм.)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Вид установки котла: Настенный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Безопасность: Защита от перегрева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Страна-изготовитель: Россия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ru-RU"/>
              </w:rPr>
              <w:t>.</w:t>
              <w:br/>
            </w: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ru-RU"/>
              </w:rPr>
              <w:t>В комплекте:</w:t>
            </w:r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shd w:fill="auto" w:val="clear"/>
                <w:lang w:val="ru-RU"/>
              </w:rPr>
              <w:t>1. Циркуляционный насос для отопления 25/4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shd w:fill="auto" w:val="clear"/>
                <w:lang w:val="ru-RU"/>
              </w:rPr>
              <w:t>2. Расширительный бак 8 л, группа безопасности, отсекающий клапан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</w:tr>
      <w:tr>
        <w:trPr/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2</w:t>
            </w:r>
          </w:p>
        </w:tc>
        <w:tc>
          <w:tcPr>
            <w:tcW w:w="3247" w:type="dxa"/>
            <w:tcBorders/>
            <w:vAlign w:val="center"/>
          </w:tcPr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  <w:lang w:val="ru-RU"/>
              </w:rPr>
              <w:t>Циркуляционный насос для отопления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i/>
                <w:i/>
                <w:iCs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0"/>
                <w:szCs w:val="20"/>
                <w:u w:val="none"/>
                <w:effect w:val="none"/>
                <w:lang w:val="ru-RU"/>
              </w:rPr>
              <w:t>(UNIPUMP UPС 25-60 180 50058 или эквивалент)</w:t>
            </w:r>
          </w:p>
        </w:tc>
        <w:tc>
          <w:tcPr>
            <w:tcW w:w="6229" w:type="dxa"/>
            <w:tcBorders/>
            <w:vAlign w:val="center"/>
          </w:tcPr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>
                <w:rFonts w:ascii="Times New Roman" w:hAnsi="Times New Roman"/>
                <w:b w:val="false"/>
                <w:b w:val="false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Тип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циркуляционный</w:t>
            </w:r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Вид - </w:t>
            </w:r>
            <w:hyperlink r:id="rId2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  <w:shd w:fill="FFFFFF" w:val="clear"/>
                </w:rPr>
                <w:t>для специализированных работ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Ротор - </w:t>
            </w:r>
            <w:hyperlink r:id="rId3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мокрый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Мощность - </w:t>
            </w:r>
            <w:hyperlink r:id="rId4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100 Вт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Производительность - </w:t>
            </w:r>
            <w:hyperlink r:id="rId5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63 л/мин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Материал корпуса - </w:t>
            </w:r>
            <w:hyperlink r:id="rId6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чугун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Монтажная длина - </w:t>
            </w:r>
            <w:hyperlink r:id="rId7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180 мм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Высота подъема - </w:t>
            </w:r>
            <w:hyperlink r:id="rId8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6 м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Давление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10 атм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Трубное соединение вход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1 дюйм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Трубное соединение выход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1 дюйм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Защита от сухого хода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нет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Для повышения давления - </w:t>
            </w:r>
            <w:hyperlink r:id="rId9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есть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Min температура жидкости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2 °С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Max температура жидкости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110 °С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Уровень шума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43 дБ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Для теплого пола - </w:t>
            </w:r>
            <w:hyperlink r:id="rId10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да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Для ГВС -да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Для котлов отопления - </w:t>
            </w:r>
            <w:hyperlink r:id="rId11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да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Для полотенцесушителей - </w:t>
            </w:r>
            <w:hyperlink r:id="rId12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да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Частотное регулирование - </w:t>
            </w:r>
            <w:hyperlink r:id="rId13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д</w:t>
              </w:r>
            </w:hyperlink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</w:rPr>
              <w:t>а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Термодатчик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нет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>Рекомендуемый диаметр трубы - 25</w:t>
            </w:r>
            <w:hyperlink r:id="rId14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 xml:space="preserve"> мм - 1"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Сдвоенный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нет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Вес нетто -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3.1 кг</w:t>
            </w:r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Класс товара - </w:t>
            </w:r>
            <w:hyperlink r:id="rId15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Бытовой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Конструкция - </w:t>
            </w:r>
            <w:hyperlink r:id="rId16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центробежный</w:t>
              </w:r>
            </w:hyperlink>
          </w:p>
          <w:p>
            <w:pPr>
              <w:pStyle w:val="Style16"/>
              <w:widowControl w:val="false"/>
              <w:spacing w:lineRule="atLeast" w:line="300" w:before="0" w:after="0"/>
              <w:ind w:left="0" w:right="0" w:hanging="0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Напряжение - </w:t>
            </w:r>
            <w:hyperlink r:id="rId17">
              <w:r>
                <w:rPr>
                  <w:rStyle w:val="Style14"/>
                  <w:rFonts w:ascii="Times New Roman" w:hAnsi="Times New Roman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2"/>
                  <w:szCs w:val="22"/>
                  <w:u w:val="none"/>
                  <w:effect w:val="none"/>
                </w:rPr>
                <w:t>220 В</w:t>
              </w:r>
            </w:hyperlink>
          </w:p>
          <w:p>
            <w:pPr>
              <w:pStyle w:val="Style16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FFFFFF" w:val="clear"/>
              </w:rPr>
              <w:t xml:space="preserve">Возможность регулировки - 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есть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Двигатель с термозащитой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0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Три мощности (55/70/100 Вт)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Низкий уровень энергопотребления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0" w:right="0" w:hanging="0"/>
              <w:rPr>
                <w:strike w:val="false"/>
                <w:dstrike w:val="false"/>
                <w:u w:val="none"/>
                <w:effect w:val="none"/>
                <w:lang w:val="ru-RU"/>
              </w:rPr>
            </w:pPr>
            <w:r>
              <w:rPr>
                <w:strike w:val="false"/>
                <w:dstrike w:val="false"/>
                <w:u w:val="none"/>
                <w:effect w:val="none"/>
                <w:lang w:val="ru-RU"/>
              </w:rPr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72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3</w:t>
            </w:r>
          </w:p>
        </w:tc>
        <w:tc>
          <w:tcPr>
            <w:tcW w:w="324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bCs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shd w:fill="auto" w:val="clear"/>
                <w:lang w:val="ru-RU"/>
              </w:rPr>
              <w:t>Расширительный бак 8 л, группа безопасности, отсекающий клапан</w:t>
            </w:r>
          </w:p>
        </w:tc>
        <w:tc>
          <w:tcPr>
            <w:tcW w:w="6229" w:type="dxa"/>
            <w:tcBorders/>
            <w:vAlign w:val="center"/>
          </w:tcPr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Расширительный бак в комплекте с группой безопасности консольного типа.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Присоединительный штуцер 3/4".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Группа безопасности должна состоять: консоль из оцинкованной стали, предохранительный клапан с фиксированной настойкой, автоматический воздухоотводчик, манометр и отсечной сгон для подключения расширительного бака.</w:t>
            </w:r>
          </w:p>
          <w:p>
            <w:pPr>
              <w:pStyle w:val="Style16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lineRule="atLeast" w:line="300" w:before="0" w:after="0"/>
              <w:ind w:left="57" w:right="0" w:hanging="283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*</w:t>
            </w:r>
            <w:r>
              <w:rPr>
                <w:rFonts w:ascii="Times New Roman" w:hAnsi="Times New Roman"/>
                <w:b w:val="false"/>
                <w:bCs w:val="false"/>
                <w:i/>
                <w:iCs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18"/>
                <w:szCs w:val="22"/>
                <w:u w:val="none"/>
                <w:effect w:val="none"/>
                <w:lang w:val="ru-RU"/>
              </w:rPr>
              <w:t>(Функциями комплекта являются защита системы отопления от превышения давления, завоздушивания, индикация текущего значения давления, крепление мембранного бака)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Объем - 8 л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Тип размещения - вертикальная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Назначение для ГВС, для отопления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Диаметр присоединения - 3/4 дюйма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Максимальное рабочее давление - 10 бар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Материал фланца - металл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Высота - 300 мм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Длина - 200 мм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Комплект автоматики — да</w:t>
            </w:r>
          </w:p>
          <w:p>
            <w:pPr>
              <w:pStyle w:val="Style16"/>
              <w:widowControl w:val="false"/>
              <w:numPr>
                <w:ilvl w:val="0"/>
                <w:numId w:val="0"/>
              </w:numPr>
              <w:spacing w:lineRule="atLeast" w:line="300" w:before="0" w:after="0"/>
              <w:ind w:left="57" w:right="0" w:hanging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2"/>
                <w:szCs w:val="22"/>
                <w:u w:val="none"/>
                <w:effect w:val="none"/>
                <w:lang w:val="ru-RU"/>
              </w:rPr>
              <w:t>Дополнительная информация — группа безопасности, отсекающий клапан</w:t>
            </w:r>
          </w:p>
        </w:tc>
        <w:tc>
          <w:tcPr>
            <w:tcW w:w="1534" w:type="dxa"/>
            <w:tcBorders/>
            <w:vAlign w:val="center"/>
          </w:tcPr>
          <w:p>
            <w:pPr>
              <w:pStyle w:val="Normal"/>
              <w:widowControl w:val="false"/>
              <w:spacing w:lineRule="auto" w:line="276"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iCs/>
          <w:sz w:val="22"/>
          <w:szCs w:val="22"/>
        </w:rPr>
      </w:pPr>
      <w:r>
        <w:rPr>
          <w:rFonts w:cs="Times New Roman" w:ascii="Times New Roman" w:hAnsi="Times New Roman"/>
          <w:b/>
          <w:bCs/>
          <w:iCs/>
          <w:sz w:val="22"/>
          <w:szCs w:val="22"/>
        </w:rPr>
        <w:t>Общие требования к работам, услугам, товарам, требования по объему гарантий качества, требования по сроку гарантий качества на результаты осуществления закупок.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 xml:space="preserve">- Поставщик обязуется поставить Заказчику новый (не бывший в употреблении), пригодный для использования Товар и гарантирует высокое качество поставляемого Товара, сроком выпуска не ранее 2025 года.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- Срок действия гарантии на весь товар составляет не менее 12 месяцев с даты поставки.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- При обнаружении Заказчиком дефектов в течение гарантийного срока завода изготовителя товара, данные дефекты должны быть устранены Поставщиком в течение 10 (рабочих) дней со дня получения письменного уведомления об их выявлении.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- Гарантийный ремонт осуществляется на территории Заказчика. В случае невозможности осуществления ремонта на территории заказчика Поставщик осуществляет все необходимые действия, связанные с ремонтом (включая транспортировку товара до места ремонта и обратно), своими силами и за свой счет.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- Поставщик отвечает за качество Товара в течение всего гарантийного срока.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cs="Times New Roman" w:ascii="Times New Roman" w:hAnsi="Times New Roman"/>
          <w:bCs/>
          <w:iCs/>
          <w:sz w:val="22"/>
          <w:szCs w:val="22"/>
        </w:rPr>
        <w:t>Требования к безопасности товаров, работ и услуг, требования к комплектности (объемам) поставки. Поставляемый товар по своему качеству и безопасности должен соответствовать действующим государственным нормативным (отраслевым) стандартам РФ, иной нормативно-технической документации, определяющей качество данного товара, а также быть обеспечен информацией о товаре, изготовителе, гарантийном сроке, основных потребительских свойствах. При поставке товара обязательно предоставление всех необходимых документов, подтверждающих качество и безопасность поставляемых товаров, действующих сертификатов, регистрационных удостоверений и других документов в соответствии с законодательством РФ.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eastAsia="Times New Roman" w:cs="Times New Roman" w:ascii="Times New Roman" w:hAnsi="Times New Roman"/>
          <w:b w:val="false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Cs/>
          <w:color w:val="000000" w:themeColor="text1"/>
          <w:sz w:val="22"/>
          <w:szCs w:val="22"/>
        </w:rPr>
        <w:t xml:space="preserve">Поставляется в упаковке и маркировке, в промежуток времени с 8:00 до 14:30. В случае, если доставлен за пределами этого временного интервала, датой поставки холодильника считается следующий рабочий день. Поставщик своими силами осуществляет занос и установку в место указанное заказчиком. Снятие упаковки осуществляется в дату доставки в присутствии представителей Заказчика и Поставщика. После снятия упаковки Заказчик и Поставщик составляют акт осмотра электрокотла, в котором отражают в том числе наличие, либо отсутствие повреждений лакокрасочного покрытия и отдельных элементов корпуса электрокотла. Поставщик своими силами осуществляет проверку работоспособности, и при необходимости пусконаладочные работы. После проверки работоспособности и отсутствие повреждений подписывается акт. Доставка Исполнителем до Заказчика без упаковки не допускается. Исполнитель и Заказчик согласен с тем, что отсутствие упаковки, а так, же повреждение отдельных конструктивных элементов корпуса является существенным нарушением договора поставки со стороны Исполнителя. В этом случае Заказчик имеет право не принимать поставленный товар и отказаться от исполнения договора поставки в одностороннем порядке.  </w:t>
      </w:r>
    </w:p>
    <w:sectPr>
      <w:type w:val="nextPage"/>
      <w:pgSz w:orient="landscape" w:w="16838" w:h="11906"/>
      <w:pgMar w:left="1134" w:right="1134" w:gutter="0" w:header="0" w:top="851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648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rsid w:val="0036482b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36482b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FontStyle31" w:customStyle="1">
    <w:name w:val="Font Style31"/>
    <w:uiPriority w:val="99"/>
    <w:qFormat/>
    <w:rsid w:val="0036482b"/>
    <w:rPr>
      <w:rFonts w:ascii="Times New Roman" w:hAnsi="Times New Roman" w:cs="Times New Roman"/>
      <w:sz w:val="26"/>
    </w:rPr>
  </w:style>
  <w:style w:type="character" w:styleId="Style13" w:customStyle="1">
    <w:name w:val="Без интервала Знак"/>
    <w:link w:val="NoSpacing"/>
    <w:uiPriority w:val="1"/>
    <w:qFormat/>
    <w:rsid w:val="0036482b"/>
    <w:rPr>
      <w:rFonts w:ascii="Calibri" w:hAnsi="Calibri" w:eastAsia="Times New Roman" w:cs="Times New Roman"/>
      <w:lang w:eastAsia="ru-RU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Style13"/>
    <w:uiPriority w:val="1"/>
    <w:qFormat/>
    <w:rsid w:val="0036482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12" w:customStyle="1">
    <w:name w:val="Обычный1"/>
    <w:qFormat/>
    <w:rsid w:val="0036482b"/>
    <w:pPr>
      <w:widowControl/>
      <w:suppressAutoHyphens w:val="true"/>
      <w:bidi w:val="0"/>
      <w:spacing w:lineRule="auto" w:line="276" w:before="10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3">
    <w:name w:val="Абзац списка3"/>
    <w:basedOn w:val="Normal"/>
    <w:qFormat/>
    <w:pPr>
      <w:spacing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vseinstrumenti.ru/tag-page/tsirkulyatsionnye-nasosy-dlya-spetsializirovannyh-rabot-1698169/" TargetMode="External"/><Relationship Id="rId3" Type="http://schemas.openxmlformats.org/officeDocument/2006/relationships/hyperlink" Target="https://www.vseinstrumenti.ru/tag-page/tsirkulyatsionnye-nasosy-s-mokrym-rotorom-12479/" TargetMode="External"/><Relationship Id="rId4" Type="http://schemas.openxmlformats.org/officeDocument/2006/relationships/hyperlink" Target="https://www.vseinstrumenti.ru/tag-page/nasosy-100-vt-2169419/" TargetMode="External"/><Relationship Id="rId5" Type="http://schemas.openxmlformats.org/officeDocument/2006/relationships/hyperlink" Target="https://www.vseinstrumenti.ru/tag-page/tsirkulyatsionnye-nasosy-63-l-min-2145303/" TargetMode="External"/><Relationship Id="rId6" Type="http://schemas.openxmlformats.org/officeDocument/2006/relationships/hyperlink" Target="https://www.vseinstrumenti.ru/tag-page/tsirkulyatsionnye-nasosy-chugun-30220/" TargetMode="External"/><Relationship Id="rId7" Type="http://schemas.openxmlformats.org/officeDocument/2006/relationships/hyperlink" Target="https://www.vseinstrumenti.ru/tag-page/tsirkulyatsionnye-nasosy-180-mm-12483/" TargetMode="External"/><Relationship Id="rId8" Type="http://schemas.openxmlformats.org/officeDocument/2006/relationships/hyperlink" Target="https://www.vseinstrumenti.ru/tag-page/tsirkulyatsionnye-nasosy-60-1444186/" TargetMode="External"/><Relationship Id="rId9" Type="http://schemas.openxmlformats.org/officeDocument/2006/relationships/hyperlink" Target="https://www.vseinstrumenti.ru/tag-page/povysitelnye-tsirkulyatsionnye-nasosy-12478/" TargetMode="External"/><Relationship Id="rId10" Type="http://schemas.openxmlformats.org/officeDocument/2006/relationships/hyperlink" Target="https://www.vseinstrumenti.ru/tag-page/tsirkulyatsionnye-nasosy-dlya-teplogo-pola-144954/" TargetMode="External"/><Relationship Id="rId11" Type="http://schemas.openxmlformats.org/officeDocument/2006/relationships/hyperlink" Target="https://www.vseinstrumenti.ru/tag-page/tsirkulyatsionnye-nasosy-dlya-kotlov-otopleniya-144948/" TargetMode="External"/><Relationship Id="rId12" Type="http://schemas.openxmlformats.org/officeDocument/2006/relationships/hyperlink" Target="https://www.vseinstrumenti.ru/tag-page/tsirkulyatsionnye-nasosy-dlya-polotentsesushitelej-144972/" TargetMode="External"/><Relationship Id="rId13" Type="http://schemas.openxmlformats.org/officeDocument/2006/relationships/hyperlink" Target="https://www.vseinstrumenti.ru/tag-page/chastotnye-tsirkulyatsionnye-nasosy-76202/" TargetMode="External"/><Relationship Id="rId14" Type="http://schemas.openxmlformats.org/officeDocument/2006/relationships/hyperlink" Target="https://www.vseinstrumenti.ru/tag-page/nasosy-tsirkulyatsionnye-1-1-4-1444210/" TargetMode="External"/><Relationship Id="rId15" Type="http://schemas.openxmlformats.org/officeDocument/2006/relationships/hyperlink" Target="https://www.vseinstrumenti.ru/tag-page/tsirkulyatsionnye-nasosy-bytovye-30268/" TargetMode="External"/><Relationship Id="rId16" Type="http://schemas.openxmlformats.org/officeDocument/2006/relationships/hyperlink" Target="https://www.vseinstrumenti.ru/tag-page/tsirkulyatsionnye-nasosy-tsentrobezhnye-30262/" TargetMode="External"/><Relationship Id="rId17" Type="http://schemas.openxmlformats.org/officeDocument/2006/relationships/hyperlink" Target="https://www.vseinstrumenti.ru/tag-page/tsirkulyatsionnye-nasosy-220-v-30232/" TargetMode="Externa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Application>LibreOffice/7.4.7.2$Linux_X86_64 LibreOffice_project/40$Build-2</Application>
  <AppVersion>15.0000</AppVersion>
  <Pages>4</Pages>
  <Words>809</Words>
  <Characters>5225</Characters>
  <CharactersWithSpaces>5949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2026-03-04T13:26:00Z</dcterms:created>
  <dc:creator>AdminM1</dc:creator>
  <dc:description/>
  <dc:language>ru-RU</dc:language>
  <cp:lastModifiedBy/>
  <dcterms:modified xsi:type="dcterms:W3CDTF">2026-05-29T10:46:45Z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