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 w:line="240" w:lineRule="auto"/>
        <w:ind/>
        <w:contextualSpacing w:val="tru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определения и (или) обоснования НМЦК, НМЦД, ЦК, ЦД, НЦЕ </w:t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Расчет ЦК осуществлен иным методом. </w:t>
      </w:r>
      <w:r>
        <w:rPr>
          <w:rFonts w:ascii="Times New Roman" w:hAnsi="Times New Roman" w:cs="Times New Roman"/>
          <w:b/>
        </w:rPr>
      </w:r>
    </w:p>
    <w:p>
      <w:pPr>
        <w:pBdr/>
        <w:spacing w:after="0" w:line="240" w:lineRule="auto"/>
        <w:ind/>
        <w:contextualSpacing w:val="true"/>
        <w:jc w:val="center"/>
        <w:outlineLvl w:val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Объект закупки: </w:t>
      </w:r>
      <w:r>
        <w:rPr>
          <w:rFonts w:ascii="Times New Roman" w:hAnsi="Times New Roman" w:cs="Times New Roman"/>
          <w:b/>
          <w:u w:val="single"/>
        </w:rPr>
        <w:t xml:space="preserve">Поставка</w:t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спортивного инвентаря.</w:t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</w:p>
    <w:tbl>
      <w:tblPr>
        <w:tblStyle w:val="902"/>
        <w:tblW w:w="5152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5235"/>
      </w:tblGrid>
      <w:tr>
        <w:trPr>
          <w:trHeight w:val="850"/>
        </w:trPr>
        <w:tc>
          <w:tcPr>
            <w:tcBorders/>
            <w:tcW w:w="5000" w:type="pct"/>
            <w:textDirection w:val="lrTb"/>
            <w:noWrap w:val="false"/>
          </w:tcPr>
          <w:p>
            <w:pPr>
              <w:pStyle w:val="900"/>
              <w:pBdr/>
              <w:spacing/>
              <w:ind w:firstLine="175"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</w:t>
            </w:r>
            <w:r>
              <w:rPr>
                <w:rFonts w:ascii="Times New Roman" w:hAnsi="Times New Roman" w:cs="Times New Roman"/>
              </w:rPr>
              <w:t xml:space="preserve">подрядчиком, исполнителем), утвержденными приказом Минэкономразвития России от 02.10.2013 № 567.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04"/>
              <w:pBdr/>
              <w:spacing/>
              <w:ind w:firstLine="567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Валюта, используемая для формирования цены контракта и расчетов с поставщиком – Российский рубль.</w:t>
            </w:r>
            <w:r>
              <w:rPr>
                <w:rFonts w:ascii="Times New Roman" w:hAnsi="Times New Roman" w:eastAsia="Times New Roman"/>
              </w:rPr>
            </w:r>
          </w:p>
          <w:p>
            <w:pPr>
              <w:pStyle w:val="904"/>
              <w:pBdr/>
              <w:spacing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Порядок применения официального курса иностранной валюты к ру</w:t>
            </w:r>
            <w:r>
              <w:rPr>
                <w:rFonts w:ascii="Times New Roman" w:hAnsi="Times New Roman"/>
              </w:rPr>
              <w:t xml:space="preserve">блю Российской Федерации, установленного Центральным банком Российской Федерации и используемого при оплате контракта: не предусмотрен.</w:t>
            </w:r>
            <w:r>
              <w:rPr>
                <w:rFonts w:ascii="Times New Roman" w:hAnsi="Times New Roman"/>
              </w:rPr>
            </w:r>
          </w:p>
          <w:p>
            <w:pPr>
              <w:pStyle w:val="900"/>
              <w:pBdr/>
              <w:spacing/>
              <w:ind w:firstLine="567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целях получения ценовой информации в отношении объекта закупки для определения начальной (максимальной) цены контракта заказчиком:</w:t>
            </w:r>
            <w:r>
              <w:rPr>
                <w:rFonts w:ascii="Times New Roman" w:hAnsi="Times New Roman"/>
              </w:rPr>
            </w:r>
          </w:p>
          <w:p>
            <w:pPr>
              <w:pStyle w:val="900"/>
              <w:numPr>
                <w:ilvl w:val="3"/>
                <w:numId w:val="4"/>
              </w:numPr>
              <w:pBdr/>
              <w:spacing/>
              <w:ind w:right="0" w:firstLine="567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определения начальной максимальной цены контракта предусмотренные пп. в  п. 7 Постановления Правительства</w:t>
            </w:r>
            <w:r>
              <w:rPr>
                <w:rFonts w:ascii="Times New Roman" w:hAnsi="Times New Roman"/>
              </w:rPr>
              <w:t xml:space="preserve"> РФ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23.12.2024 № 1875  не применяются.</w:t>
            </w:r>
            <w:r>
              <w:rPr>
                <w:rFonts w:ascii="Times New Roman" w:hAnsi="Times New Roman"/>
              </w:rPr>
            </w:r>
          </w:p>
          <w:p>
            <w:pPr>
              <w:pStyle w:val="900"/>
              <w:numPr>
                <w:ilvl w:val="3"/>
                <w:numId w:val="4"/>
              </w:numPr>
              <w:pBdr/>
              <w:spacing/>
              <w:ind w:right="0" w:firstLine="567" w:left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Поиск ценовой информации </w:t>
            </w:r>
            <w:r>
              <w:rPr>
                <w:rFonts w:ascii="Times New Roman" w:hAnsi="Times New Roman"/>
              </w:rPr>
              <w:t xml:space="preserve">дал резуль</w:t>
            </w:r>
            <w:r>
              <w:rPr>
                <w:rFonts w:ascii="Times New Roman" w:hAnsi="Times New Roman"/>
              </w:rPr>
              <w:t xml:space="preserve">таты</w:t>
            </w:r>
            <w:r>
              <w:rPr>
                <w:rFonts w:ascii="Times New Roman" w:hAnsi="Times New Roman"/>
              </w:rPr>
              <w:t xml:space="preserve"> или </w:t>
            </w:r>
            <w:r>
              <w:rPr>
                <w:rFonts w:ascii="Times New Roman" w:hAnsi="Times New Roman"/>
                <w:u w:val="single"/>
              </w:rPr>
              <w:t xml:space="preserve">результатов не дал</w:t>
            </w:r>
            <w:r>
              <w:rPr>
                <w:rFonts w:ascii="Times New Roman" w:hAnsi="Times New Roman"/>
              </w:rPr>
              <w:t xml:space="preserve"> (нужное подчеркнуть).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Bdr/>
              <w:spacing/>
              <w:ind w:right="0" w:firstLine="567" w:left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tbl>
            <w:tblPr>
              <w:tblStyle w:val="902"/>
              <w:tblW w:w="14882" w:type="dxa"/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777"/>
              <w:gridCol w:w="3050"/>
              <w:gridCol w:w="4961"/>
              <w:gridCol w:w="6094"/>
            </w:tblGrid>
            <w:tr>
              <w:trPr>
                <w:trHeight w:val="255"/>
              </w:trPr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777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№ п/п</w:t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3050" w:type="dxa"/>
                  <w:textDirection w:val="lrTb"/>
                  <w:noWrap w:val="false"/>
                </w:tcPr>
                <w:p>
                  <w:pPr>
                    <w:pBdr/>
                    <w:tabs>
                      <w:tab w:val="center" w:leader="none" w:pos="2656"/>
                      <w:tab w:val="left" w:leader="none" w:pos="4395"/>
                    </w:tabs>
                    <w:spacing/>
                    <w:ind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Ссылка на источник</w:t>
                  </w:r>
                  <w:r>
                    <w:rPr>
                      <w:rFonts w:ascii="Times New Roman" w:hAnsi="Times New Roman" w:cs="Times New Roman"/>
                    </w:rPr>
                    <w:tab/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Краткая информация о Поставщике, Подрядчике, Исполнителе </w:t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609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Причина использования или невозможности использования ценовой информации</w:t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</w:tr>
            <w:tr>
              <w:trPr>
                <w:trHeight w:val="255"/>
              </w:trPr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777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</w:t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3050" w:type="dxa"/>
                  <w:textDirection w:val="lrTb"/>
                  <w:noWrap w:val="false"/>
                </w:tcPr>
                <w:p>
                  <w:pPr>
                    <w:pBdr/>
                    <w:tabs>
                      <w:tab w:val="left" w:leader="none" w:pos="1046"/>
                    </w:tabs>
                    <w:spacing/>
                    <w:ind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lang w:val="en-US"/>
                    </w:rPr>
                    <w:t xml:space="preserve">https://nkteh.ru/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Сайт организации осуществл</w:t>
                  </w:r>
                  <w:r>
                    <w:rPr>
                      <w:rFonts w:ascii="Times New Roman" w:hAnsi="Times New Roman" w:cs="Times New Roman"/>
                    </w:rPr>
                    <w:t xml:space="preserve">яющей поставку товара</w:t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609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Условия оплаты  не удовлетворяют требованиям Заказчика</w:t>
                  </w:r>
                  <w:r>
                    <w:rPr>
                      <w:rFonts w:ascii="Times New Roman" w:hAnsi="Times New Roman" w:cs="Times New Roman"/>
                      <w:highlight w:val="yellow"/>
                    </w:rPr>
                  </w:r>
                </w:p>
              </w:tc>
            </w:tr>
            <w:tr>
              <w:trPr>
                <w:trHeight w:val="255"/>
              </w:trPr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777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</w:t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3050" w:type="dxa"/>
                  <w:textDirection w:val="lrTb"/>
                  <w:noWrap w:val="false"/>
                </w:tcPr>
                <w:p>
                  <w:pPr>
                    <w:pBdr/>
                    <w:tabs>
                      <w:tab w:val="left" w:leader="none" w:pos="1046"/>
                    </w:tabs>
                    <w:spacing/>
                    <w:ind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/>
                  <w:hyperlink r:id="rId9" w:tooltip="https://www.dns" w:history="1">
                    <w:r>
                      <w:rPr>
                        <w:rStyle w:val="901"/>
                        <w:rFonts w:ascii="Times New Roman" w:hAnsi="Times New Roman" w:eastAsia="Times New Roman" w:cs="Times New Roman"/>
                        <w:color w:val="000000" w:themeColor="text1"/>
                        <w:highlight w:val="white"/>
                      </w:rPr>
                      <w:t xml:space="preserve">https://</w:t>
                    </w:r>
                    <w:r>
                      <w:rPr>
                        <w:rStyle w:val="901"/>
                        <w:rFonts w:ascii="Times New Roman" w:hAnsi="Times New Roman" w:eastAsia="Times New Roman" w:cs="Times New Roman"/>
                        <w:color w:val="000000" w:themeColor="text1"/>
                        <w:highlight w:val="white"/>
                        <w:lang w:val="en-US"/>
                      </w:rPr>
                      <w:t xml:space="preserve">w</w:t>
                    </w:r>
                    <w:r>
                      <w:rPr>
                        <w:rStyle w:val="901"/>
                        <w:rFonts w:ascii="Times New Roman" w:hAnsi="Times New Roman" w:eastAsia="Times New Roman" w:cs="Times New Roman"/>
                        <w:color w:val="000000" w:themeColor="text1"/>
                        <w:lang w:val="en-US"/>
                      </w:rPr>
                      <w:t xml:space="preserve">ww</w:t>
                    </w:r>
                    <w:r>
                      <w:rPr>
                        <w:rStyle w:val="901"/>
                        <w:rFonts w:ascii="Times New Roman" w:hAnsi="Times New Roman" w:eastAsia="Times New Roman" w:cs="Times New Roman"/>
                        <w:color w:val="000000" w:themeColor="text1"/>
                      </w:rPr>
                      <w:t xml:space="preserve">.</w:t>
                    </w:r>
                    <w:r>
                      <w:rPr>
                        <w:rStyle w:val="901"/>
                        <w:rFonts w:ascii="Times New Roman" w:hAnsi="Times New Roman" w:eastAsia="Times New Roman" w:cs="Times New Roman"/>
                        <w:color w:val="000000" w:themeColor="text1"/>
                        <w:lang w:val="en-US"/>
                      </w:rPr>
                      <w:t xml:space="preserve">dns</w:t>
                    </w:r>
                  </w:hyperlink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-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lang w:val="en-US"/>
                    </w:rPr>
                    <w:t xml:space="preserve">shop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.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lang w:val="en-US"/>
                    </w:rPr>
                    <w:t xml:space="preserve">ru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/>
                  </w:pPr>
                  <w:r>
                    <w:rPr>
                      <w:rFonts w:ascii="Times New Roman" w:hAnsi="Times New Roman" w:cs="Times New Roman"/>
                    </w:rPr>
                    <w:t xml:space="preserve">Сайт организации осуществляющей поставку товара</w:t>
                  </w:r>
                  <w:r/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609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Условия оплаты не удовлетворяют требованиям Заказчика</w:t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</w:tr>
          </w:tbl>
          <w:p>
            <w:pPr>
              <w:pBdr/>
              <w:spacing/>
              <w:ind w:right="0" w:firstLine="567" w:left="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3.      Заказчиком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</w:t>
            </w:r>
            <w:r>
              <w:rPr>
                <w:rFonts w:ascii="Times New Roman" w:hAnsi="Times New Roman" w:eastAsia="Times New Roman"/>
              </w:rPr>
              <w:t xml:space="preserve">трактов), об исполненных контрактах на поставку товара с условиями, схожими с потребностями Заказчика. Поиск ценовой информации не д</w:t>
            </w:r>
            <w:r>
              <w:rPr>
                <w:rFonts w:ascii="Times New Roman" w:hAnsi="Times New Roman"/>
              </w:rPr>
              <w:t xml:space="preserve">ал результаты.</w:t>
            </w:r>
            <w:r>
              <w:rPr>
                <w:rFonts w:ascii="Times New Roman" w:hAnsi="Times New Roman" w:eastAsia="Times New Roman"/>
                <w:bCs/>
              </w:rPr>
              <w:t xml:space="preserve"> Информация о результатах поиска ценовой информации в реестре договоров:</w:t>
            </w:r>
            <w:r>
              <w:rPr>
                <w:rFonts w:ascii="Times New Roman" w:hAnsi="Times New Roman" w:eastAsia="Times New Roman"/>
              </w:rPr>
            </w:r>
          </w:p>
          <w:p>
            <w:pPr>
              <w:pBdr/>
              <w:spacing/>
              <w:ind w:left="36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  <w:tbl>
            <w:tblPr>
              <w:tblW w:w="4949" w:type="pct"/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709"/>
              <w:gridCol w:w="709"/>
              <w:gridCol w:w="2124"/>
              <w:gridCol w:w="1700"/>
              <w:gridCol w:w="1131"/>
              <w:gridCol w:w="1275"/>
              <w:gridCol w:w="1275"/>
              <w:gridCol w:w="1433"/>
              <w:gridCol w:w="2341"/>
            </w:tblGrid>
            <w:tr>
              <w:trPr>
                <w:trHeight w:val="255"/>
                <w:tblHeader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60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</w:rPr>
                  </w:pPr>
                  <w:r>
                    <w:rPr>
                      <w:rFonts w:ascii="Times New Roman" w:hAnsi="Times New Roman" w:eastAsia="Times New Roman"/>
                      <w:bCs/>
                    </w:rPr>
                    <w:t xml:space="preserve">Реестровая запись</w:t>
                  </w:r>
                  <w:r>
                    <w:rPr>
                      <w:rFonts w:ascii="Times New Roman" w:hAnsi="Times New Roman" w:eastAsia="Times New Roman"/>
                      <w:bCs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1418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</w:rPr>
                  </w:pPr>
                  <w:r>
                    <w:rPr>
                      <w:rFonts w:ascii="Times New Roman" w:hAnsi="Times New Roman" w:eastAsia="Times New Roman"/>
                      <w:bCs/>
                    </w:rPr>
                    <w:t xml:space="preserve">Объем поставки тов</w:t>
                  </w:r>
                  <w:r>
                    <w:rPr>
                      <w:rFonts w:ascii="Times New Roman" w:hAnsi="Times New Roman" w:eastAsia="Times New Roman"/>
                      <w:bCs/>
                    </w:rPr>
                    <w:t xml:space="preserve">ара</w:t>
                  </w:r>
                  <w:r>
                    <w:rPr>
                      <w:rFonts w:ascii="Times New Roman" w:hAnsi="Times New Roman" w:eastAsia="Times New Roman"/>
                      <w:bC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2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</w:rPr>
                  </w:pPr>
                  <w:r>
                    <w:rPr>
                      <w:rFonts w:ascii="Times New Roman" w:hAnsi="Times New Roman" w:eastAsia="Times New Roman"/>
                      <w:bCs/>
                    </w:rPr>
                    <w:t xml:space="preserve">Условия оплаты</w:t>
                  </w:r>
                  <w:r>
                    <w:rPr>
                      <w:rFonts w:ascii="Times New Roman" w:hAnsi="Times New Roman" w:eastAsia="Times New Roman"/>
                      <w:bC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01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</w:rPr>
                  </w:pPr>
                  <w:r>
                    <w:rPr>
                      <w:rFonts w:ascii="Times New Roman" w:hAnsi="Times New Roman" w:eastAsia="Times New Roman"/>
                      <w:bCs/>
                    </w:rPr>
                    <w:t xml:space="preserve">Условия оказания Услуг</w:t>
                  </w:r>
                  <w:r>
                    <w:rPr>
                      <w:rFonts w:ascii="Times New Roman" w:hAnsi="Times New Roman" w:eastAsia="Times New Roman"/>
                      <w:bC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3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</w:rPr>
                  </w:pPr>
                  <w:r>
                    <w:rPr>
                      <w:rFonts w:ascii="Times New Roman" w:hAnsi="Times New Roman" w:eastAsia="Times New Roman"/>
                      <w:bCs/>
                    </w:rPr>
                    <w:t xml:space="preserve">Обеспечение исполнения контракта (договора)</w:t>
                  </w:r>
                  <w:r>
                    <w:rPr>
                      <w:rFonts w:ascii="Times New Roman" w:hAnsi="Times New Roman" w:eastAsia="Times New Roman"/>
                      <w:bC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</w:rPr>
                  </w:pPr>
                  <w:r>
                    <w:rPr>
                      <w:rFonts w:ascii="Times New Roman" w:hAnsi="Times New Roman" w:eastAsia="Times New Roman"/>
                      <w:bCs/>
                    </w:rPr>
                    <w:t xml:space="preserve">Дата заключения контракта (договора)</w:t>
                  </w:r>
                  <w:r>
                    <w:rPr>
                      <w:rFonts w:ascii="Times New Roman" w:hAnsi="Times New Roman" w:eastAsia="Times New Roman"/>
                      <w:bC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</w:rPr>
                  </w:pPr>
                  <w:r>
                    <w:rPr>
                      <w:rFonts w:ascii="Times New Roman" w:hAnsi="Times New Roman" w:eastAsia="Times New Roman"/>
                      <w:bCs/>
                    </w:rPr>
                    <w:t xml:space="preserve">Дата исполнения контракта (договора)</w:t>
                  </w:r>
                  <w:r>
                    <w:rPr>
                      <w:rFonts w:ascii="Times New Roman" w:hAnsi="Times New Roman" w:eastAsia="Times New Roman"/>
                      <w:bC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34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</w:rPr>
                  </w:pPr>
                  <w:r>
                    <w:rPr>
                      <w:rFonts w:ascii="Times New Roman" w:hAnsi="Times New Roman" w:eastAsia="Times New Roman"/>
                      <w:bCs/>
                    </w:rPr>
                    <w:t xml:space="preserve">Цена за единицу, руб.</w:t>
                  </w:r>
                  <w:r>
                    <w:rPr>
                      <w:rFonts w:ascii="Times New Roman" w:hAnsi="Times New Roman" w:eastAsia="Times New Roman"/>
                      <w:bC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tcW w:w="2343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</w:rPr>
                  </w:pPr>
                  <w:r>
                    <w:rPr>
                      <w:rFonts w:ascii="Times New Roman" w:hAnsi="Times New Roman" w:eastAsia="Times New Roman"/>
                      <w:bCs/>
                    </w:rPr>
                    <w:t xml:space="preserve">Причина использования или невозможности использования ценовой информации</w:t>
                  </w:r>
                  <w:r>
                    <w:rPr>
                      <w:rFonts w:ascii="Times New Roman" w:hAnsi="Times New Roman" w:eastAsia="Times New Roman"/>
                      <w:bCs/>
                    </w:rPr>
                  </w:r>
                </w:p>
              </w:tc>
            </w:tr>
            <w:tr>
              <w:trPr>
                <w:trHeight w:val="275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60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</w:rPr>
                  </w:pPr>
                  <w:r>
                    <w:rPr>
                      <w:rFonts w:ascii="Times New Roman" w:hAnsi="Times New Roman" w:eastAsia="Times New Roman"/>
                      <w:bCs/>
                    </w:rPr>
                    <w:t xml:space="preserve">ед. изм</w:t>
                  </w:r>
                  <w:r>
                    <w:rPr>
                      <w:rFonts w:ascii="Times New Roman" w:hAnsi="Times New Roman" w:eastAsia="Times New Roman"/>
                      <w:bC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</w:rPr>
                  </w:pPr>
                  <w:r>
                    <w:rPr>
                      <w:rFonts w:ascii="Times New Roman" w:hAnsi="Times New Roman" w:eastAsia="Times New Roman"/>
                      <w:bCs/>
                    </w:rPr>
                    <w:t xml:space="preserve">кол-во</w:t>
                  </w:r>
                  <w:r>
                    <w:rPr>
                      <w:rFonts w:ascii="Times New Roman" w:hAnsi="Times New Roman" w:eastAsia="Times New Roman"/>
                      <w:bC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26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01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3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34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43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contextualSpacing w:val="true"/>
                    <w:jc w:val="center"/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Times New Roman"/>
                      <w:bCs/>
                      <w:sz w:val="16"/>
                      <w:szCs w:val="16"/>
                    </w:rPr>
                  </w:r>
                </w:p>
              </w:tc>
            </w:tr>
            <w:tr>
              <w:trPr>
                <w:trHeight w:val="85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60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/>
                  <w:hyperlink r:id="rId10" w:tooltip="https://zakupki.gov.ru/epz/contract/contractCard/common-info.html?reestrNumber=3701000078925000039" w:history="1">
                    <w:r>
                      <w:rPr>
                        <w:rStyle w:val="901"/>
                        <w:rFonts w:ascii="Times New Roman" w:hAnsi="Times New Roman" w:eastAsia="Times New Roman" w:cs="Times New Roman"/>
                        <w:color w:val="000000" w:themeColor="text1"/>
                        <w:highlight w:val="white"/>
                        <w:u w:val="none"/>
                      </w:rPr>
                      <w:t xml:space="preserve">3701000078925000039</w:t>
                    </w:r>
                  </w:hyperlink>
                  <w:r/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штук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3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2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в течение 7 (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lang w:val="en-US"/>
                    </w:rPr>
                    <w:t xml:space="preserve">c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еми) рабочих дней с даты подписания Заказчиком документа о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приемке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/>
                  <w:bookmarkStart w:id="0" w:name="P1482"/>
                  <w:r/>
                  <w:bookmarkStart w:id="1" w:name="P1485"/>
                  <w:r/>
                  <w:bookmarkEnd w:id="0"/>
                  <w:r/>
                  <w:bookmarkEnd w:id="1"/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в течение 10 (Десяти) рабочих дней с даты заключения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Контракта.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32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5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%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05.11.2025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26.11.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2025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34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6 004,49666666667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43" w:type="dxa"/>
                  <w:vAlign w:val="center"/>
                  <w:textDirection w:val="lrTb"/>
                  <w:noWrap w:val="false"/>
                </w:tcPr>
                <w:p>
                  <w:pPr>
                    <w:pStyle w:val="904"/>
                    <w:pBdr/>
                    <w:spacing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eastAsia="Times New Roman"/>
                    </w:rPr>
                    <w:t xml:space="preserve">Ценовая информация не принята в расчет, так как условия исполнения контракта</w:t>
                  </w:r>
                  <w:r>
                    <w:rPr>
                      <w:rFonts w:ascii="Times New Roman" w:hAnsi="Times New Roman" w:eastAsia="Times New Roman"/>
                    </w:rPr>
                    <w:t xml:space="preserve"> </w:t>
                  </w:r>
                  <w:r>
                    <w:rPr>
                      <w:rFonts w:ascii="Times New Roman" w:hAnsi="Times New Roman" w:eastAsia="Times New Roman"/>
                    </w:rPr>
                    <w:t xml:space="preserve">и номенклатура Товара не </w:t>
                  </w:r>
                  <w:r>
                    <w:rPr>
                      <w:rFonts w:ascii="Times New Roman" w:hAnsi="Times New Roman" w:eastAsia="Times New Roman"/>
                    </w:rPr>
                    <w:t xml:space="preserve">соответствуют требованиям Заказчика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rPr>
                <w:trHeight w:val="1154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60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/>
                  <w:hyperlink r:id="rId11" w:tooltip="https://zakupki.gov.ru/epz/contract/contractCard/common-info.html?reestrNumber=3230402954124000009" w:history="1">
                    <w:r>
                      <w:rPr>
                        <w:rStyle w:val="901"/>
                        <w:rFonts w:ascii="Times New Roman" w:hAnsi="Times New Roman" w:eastAsia="Times New Roman" w:cs="Times New Roman"/>
                        <w:color w:val="000000" w:themeColor="text1"/>
                        <w:highlight w:val="white"/>
                        <w:u w:val="none"/>
                      </w:rPr>
                      <w:t xml:space="preserve">3230402954124000009</w:t>
                    </w:r>
                  </w:hyperlink>
                  <w:r/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штук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lang w:val="en-US"/>
                    </w:rPr>
                    <w:t xml:space="preserve">    4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2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/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в течени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е 7 (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lang w:val="en-US"/>
                    </w:rPr>
                    <w:t xml:space="preserve">c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еми) рабочих дней с даты подписания Заказчиком документа о приемке 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outlineLvl w:val="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 течение 35-ти рабочих дней с даты заключения Контракта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32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5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%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03.09.2024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25.11.2024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34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 w:eastAsiaTheme="minorEastAsia"/>
                      <w:color w:val="000000" w:themeColor="text1"/>
                      <w:lang w:eastAsia="ru-RU"/>
                    </w:rPr>
                    <w:t xml:space="preserve">3982,9275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43" w:type="dxa"/>
                  <w:vAlign w:val="center"/>
                  <w:textDirection w:val="lrTb"/>
                  <w:noWrap w:val="false"/>
                </w:tcPr>
                <w:p>
                  <w:pPr>
                    <w:pStyle w:val="904"/>
                    <w:pBdr/>
                    <w:spacing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eastAsia="Times New Roman"/>
                    </w:rPr>
                    <w:t xml:space="preserve">Ценовая информация не принята в расчет, так как условия исполнения контракта, технические характеристики Товара не соответствуют требованиям Заказчика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rPr>
                <w:trHeight w:val="1085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60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/>
                  <w:hyperlink r:id="rId12" w:tooltip="https://zakupki.gov.ru/epz/contract/contractCard/common-info.html?reestrNumber=1772908209023000877" w:history="1">
                    <w:r>
                      <w:rPr>
                        <w:rStyle w:val="901"/>
                        <w:rFonts w:ascii="Times New Roman" w:hAnsi="Times New Roman" w:eastAsia="Times New Roman" w:cs="Times New Roman"/>
                        <w:color w:val="000000" w:themeColor="text1"/>
                        <w:highlight w:val="white"/>
                        <w:u w:val="none"/>
                      </w:rPr>
                      <w:t xml:space="preserve">1772908209023000877</w:t>
                    </w:r>
                  </w:hyperlink>
                  <w:r/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штук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 xml:space="preserve">1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2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/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в течение 7 (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lang w:val="en-US"/>
                    </w:rPr>
                    <w:t xml:space="preserve">c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еми) рабочих дней с даты подписания Заказчиком документа о приемке 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eastAsia="Times New Roman" w:cs="Times New Roman"/>
                    </w:rPr>
                    <w:t xml:space="preserve">в течение 30 календарных  дней с момента заключения договора</w:t>
                  </w:r>
                  <w:r>
                    <w:rPr>
                      <w:rFonts w:ascii="Times New Roman" w:hAnsi="Times New Roman" w:cs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32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0.5%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26.09.2023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28.12.2023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34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5 032,07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43" w:type="dxa"/>
                  <w:vAlign w:val="center"/>
                  <w:textDirection w:val="lrTb"/>
                  <w:noWrap w:val="false"/>
                </w:tcPr>
                <w:p>
                  <w:pPr>
                    <w:pStyle w:val="904"/>
                    <w:pBdr/>
                    <w:spacing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eastAsia="Times New Roman"/>
                    </w:rPr>
                    <w:t xml:space="preserve">Ценовая информация не принята в расчет, так как условия исполнения контракта и номенклатура Товара не соответствуют требованиям Заказчика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rPr>
                <w:trHeight w:val="1894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60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/>
                  <w:hyperlink r:id="rId13" w:tooltip="https://zakupki.gov.ru/epz/contract/contractCard/common-info.html?reestrNumber=1772908209023000877" w:history="1">
                    <w:r>
                      <w:rPr>
                        <w:rStyle w:val="901"/>
                        <w:rFonts w:ascii="Times New Roman" w:hAnsi="Times New Roman" w:eastAsia="Times New Roman" w:cs="Times New Roman"/>
                        <w:color w:val="000000" w:themeColor="text1"/>
                        <w:highlight w:val="white"/>
                        <w:u w:val="none"/>
                      </w:rPr>
                      <w:t xml:space="preserve">1772908209023000877</w:t>
                    </w:r>
                  </w:hyperlink>
                  <w:r/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штук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1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2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/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в течение 7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 (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lang w:val="en-US"/>
                    </w:rPr>
                    <w:t xml:space="preserve">c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еми) рабочих дней с даты подписания Заказчиком документа о приемке 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</w:rPr>
                  </w:pPr>
                  <w:r>
                    <w:rPr>
                      <w:rFonts w:ascii="Times New Roman" w:hAnsi="Times New Roman" w:eastAsia="Times New Roman" w:cs="Times New Roman"/>
                    </w:rPr>
                    <w:t xml:space="preserve">в течение 30 календарных  дней с момента заключения договора</w:t>
                  </w:r>
                  <w:r>
                    <w:rPr>
                      <w:rFonts w:ascii="Times New Roman" w:hAnsi="Times New Roman" w:eastAsia="Times New Roman" w:cs="Times New Roman"/>
                    </w:rPr>
                  </w:r>
                </w:p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32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0.5%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26.09.2023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28.12.2023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34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6 458,61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43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Ценовая информация не принята в расчет, так как условия исполнения контракта и номенкл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атура Товара не соответствуют требованиям Заказчика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</w:tr>
            <w:tr>
              <w:trPr>
                <w:trHeight w:val="1572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60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3762702506025000023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пара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2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/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в течение 7 (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lang w:val="en-US"/>
                    </w:rPr>
                    <w:t xml:space="preserve">c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еми) рабочих дней с даты подписания Заказчиком документа о приемке 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01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 xml:space="preserve">со дня подписания контракта до 12 декабря 2025 г.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3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eastAsia="ru-RU"/>
                    </w:rPr>
                    <w:t xml:space="preserve">не устанавливается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01.12.2025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31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.03.202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6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34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54000,00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43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Ценовая информация не принята в расчет, так как условия исполнения контракта  и номенклатура Товара не соответствуют требованиям Заказчика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rPr>
                <w:trHeight w:val="764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60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1772805192725000072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упак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40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12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/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в течение 7 (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lang w:val="en-US"/>
                    </w:rPr>
                    <w:t xml:space="preserve">c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еми) рабочих дней с даты подписания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 Заказчиком документа о приемке 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01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</w:rPr>
                    <w:t xml:space="preserve">в течении 5 (пяти) календарных дней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3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30</w:t>
                  </w:r>
                  <w:r>
                    <w:rPr>
                      <w:rFonts w:ascii="Times New Roman" w:hAnsi="Times New Roman" w:cs="Times New Roman"/>
                    </w:rPr>
                    <w:t xml:space="preserve">  %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15.12.2025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24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highlight w:val="white"/>
                    </w:rPr>
                    <w:t xml:space="preserve">.12.2025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434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  <w:t xml:space="preserve">553,39775</w:t>
                  </w: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343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/>
                    <w:spacing w:line="240" w:lineRule="auto"/>
                    <w:ind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Ценовая информация не принята в расчет, так как условия исполнения контракта  и номенклатура Товара не соответствуют требованиям Заказчика</w:t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</w:tbl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Bdr/>
              <w:spacing/>
              <w:ind w:right="0" w:firstLine="567"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4. З</w:t>
            </w:r>
            <w:r>
              <w:rPr>
                <w:rFonts w:ascii="Times New Roman" w:hAnsi="Times New Roman" w:cs="Times New Roman"/>
              </w:rPr>
              <w:t xml:space="preserve">аказчиком направлены запросы о предоставлении ценовой информации 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 (двенадцати) Поставщикам (Исполнителям, Подрядчикам), обладающим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опытом поставки товара (работы, услуги), информация о которых имеется в свободном доступе, и получен ответ от 2 (двух) </w:t>
            </w:r>
            <w:r>
              <w:rPr>
                <w:rFonts w:ascii="Times New Roman" w:hAnsi="Times New Roman" w:cs="Times New Roman"/>
              </w:rPr>
              <w:t xml:space="preserve">Поставщиков с ценовой информацией, 1 (один) из которых удовлетворяет требованиям заказчика.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Второе </w:t>
            </w:r>
            <w:r>
              <w:rPr>
                <w:rFonts w:ascii="Times New Roman" w:hAnsi="Times New Roman"/>
              </w:rPr>
              <w:t xml:space="preserve">представленное предложение с ценовой информацией не соответствует технической части требованиям Заказчика.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связи с этим применить метод сопоставимых рыночн</w:t>
            </w:r>
            <w:r>
              <w:rPr>
                <w:rFonts w:ascii="Times New Roman" w:hAnsi="Times New Roman"/>
              </w:rPr>
              <w:t xml:space="preserve">ых цен не представляется возможным.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spacing/>
              <w:ind w:right="0" w:firstLine="567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Применить методы: нормативный и тарифный не представляется возможным, так как на закупаемый объект государственное нормирование и 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утвержденные тарифы не предусмотрены; проектно-сметный метод –не применяется,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так как обоснование ЦК указанным методом используется для выполнения работ по строительству, реконструкции, капитальному и текущему ремонту зданий, 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троений, сооружений и помещений</w:t>
            </w:r>
            <w:r>
              <w:rPr>
                <w:rFonts w:ascii="Times New Roman" w:hAnsi="Times New Roman"/>
              </w:rPr>
              <w:t xml:space="preserve">, затратный метод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применим, т. к. отсутствуют объективные сведения о затратах при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поставке товара, ч</w:t>
            </w:r>
            <w:r>
              <w:rPr>
                <w:rFonts w:ascii="Times New Roman" w:hAnsi="Times New Roman"/>
              </w:rPr>
              <w:t xml:space="preserve">то для данного объекта закупки не применимо.</w:t>
            </w:r>
            <w:r>
              <w:rPr>
                <w:rFonts w:ascii="Times New Roman" w:hAnsi="Times New Roman"/>
              </w:rPr>
            </w:r>
          </w:p>
          <w:p>
            <w:pPr>
              <w:pBdr/>
              <w:spacing/>
              <w:ind w:right="0" w:firstLine="567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Обоснование ЦК</w:t>
            </w:r>
            <w:bookmarkStart w:id="2" w:name="_GoBack"/>
            <w:r/>
            <w:bookmarkEnd w:id="2"/>
            <w:r>
              <w:rPr>
                <w:rFonts w:ascii="Times New Roman" w:hAnsi="Times New Roman"/>
              </w:rPr>
              <w:t xml:space="preserve"> выполнено иным методом.</w:t>
            </w:r>
            <w:r>
              <w:rPr>
                <w:rFonts w:ascii="Times New Roman" w:hAnsi="Times New Roman"/>
              </w:rPr>
            </w:r>
          </w:p>
        </w:tc>
      </w:tr>
    </w:tbl>
    <w:p>
      <w:pPr>
        <w:pBdr/>
        <w:spacing w:line="240" w:lineRule="auto"/>
        <w:ind/>
        <w:rPr/>
      </w:pPr>
      <w:r/>
      <w:r/>
    </w:p>
    <w:tbl>
      <w:tblPr>
        <w:tblStyle w:val="902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770"/>
        <w:gridCol w:w="1505"/>
        <w:gridCol w:w="1134"/>
        <w:gridCol w:w="992"/>
        <w:gridCol w:w="1276"/>
        <w:gridCol w:w="1559"/>
        <w:gridCol w:w="1269"/>
        <w:gridCol w:w="1375"/>
        <w:gridCol w:w="1325"/>
        <w:gridCol w:w="1276"/>
        <w:gridCol w:w="992"/>
        <w:gridCol w:w="1559"/>
      </w:tblGrid>
      <w:tr>
        <w:trPr>
          <w:trHeight w:val="48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№ п/п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Наименование товара, работ, услуг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Объем поставки товара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Предложение 1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Стоимость, руб.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Предложение2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Стоимость, руб.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Предложение 3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Стоимость, руб.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ОДН/</w:t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br/>
              <w:t xml:space="preserve">НЕОДН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НМЦК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br/>
              <w:t xml:space="preserve">рын.руб</w:t>
            </w:r>
            <w:r/>
          </w:p>
        </w:tc>
      </w:tr>
      <w:tr>
        <w:trPr>
          <w:trHeight w:val="48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ед. изм.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кол-во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Цена за ед., руб.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Цена за ед., руб.</w:t>
            </w:r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Цена за ед., руб.</w:t>
            </w:r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8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Набор для игры в дартс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шт.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4550,00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13 650,00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ОДН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13 650,00р.</w:t>
            </w:r>
            <w:r/>
          </w:p>
        </w:tc>
      </w:tr>
      <w:tr>
        <w:trPr>
          <w:trHeight w:val="54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Карманы для волейбольных антенн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пара (2 шт.)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1130,00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1 130,00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ОДН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1 130,00р.</w:t>
            </w:r>
            <w:r/>
          </w:p>
        </w:tc>
      </w:tr>
      <w:tr>
        <w:trPr>
          <w:trHeight w:val="43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Гиря Вид 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шт.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4270,00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8 540,00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ОДН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8 540,00р.</w:t>
            </w:r>
            <w:r/>
          </w:p>
        </w:tc>
      </w:tr>
      <w:tr>
        <w:trPr>
          <w:trHeight w:val="44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Гиря Вид 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шт.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4840,00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9 680,00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ОДН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9 680,00р.</w:t>
            </w:r>
            <w:r/>
          </w:p>
        </w:tc>
      </w:tr>
      <w:tr>
        <w:trPr>
          <w:trHeight w:val="4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Лента эластичная с захватами</w:t>
            </w:r>
            <w:r>
              <w:rPr>
                <w:rFonts w:ascii="Times New Roman" w:hAnsi="Times New Roman" w:cs="Times New Roman"/>
                <w:shd w:val="clear" w:color="auto" w:fill="fffff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600,00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4 800,00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ОДН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4 800,00р.</w:t>
            </w:r>
            <w:r/>
          </w:p>
        </w:tc>
      </w:tr>
      <w:tr>
        <w:trPr>
          <w:trHeight w:val="4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Стойки волейбольные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пара (2 шт.)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44400,00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44 400,00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ОДН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44 400,00р.</w:t>
            </w:r>
            <w:r/>
          </w:p>
        </w:tc>
      </w:tr>
      <w:tr>
        <w:trPr>
          <w:trHeight w:val="44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Воланы для бадминтона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420,00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3 360,00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ОДН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3 360,00р.</w:t>
            </w:r>
            <w:r/>
          </w:p>
        </w:tc>
      </w:tr>
      <w:tr>
        <w:trPr>
          <w:trHeight w:val="42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85 560,00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0,00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85 560,00 </w:t>
            </w:r>
            <w:r/>
          </w:p>
        </w:tc>
      </w:tr>
    </w:tbl>
    <w:p>
      <w:pPr>
        <w:pBdr/>
        <w:spacing w:line="240" w:lineRule="auto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ЦК принято предложение, удовлетворяющее требованиям заказчика, и составила: </w:t>
      </w:r>
      <w:r>
        <w:rPr>
          <w:rFonts w:ascii="Times New Roman" w:hAnsi="Times New Roman" w:cs="Times New Roman"/>
          <w:b/>
        </w:rPr>
        <w:t xml:space="preserve">85 560 руб. 00 коп. </w:t>
      </w:r>
      <w:r>
        <w:rPr>
          <w:rFonts w:ascii="Times New Roman" w:hAnsi="Times New Roman" w:cs="Times New Roman"/>
        </w:rPr>
      </w:r>
    </w:p>
    <w:p>
      <w:pPr>
        <w:pBdr/>
        <w:spacing/>
        <w:ind/>
        <w:contextualSpacing w:val="tru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Реквизиты документов, на основании которых произведен расчет </w:t>
      </w:r>
      <w:r>
        <w:rPr>
          <w:rFonts w:ascii="Times New Roman" w:hAnsi="Times New Roman" w:cs="Times New Roman"/>
        </w:rPr>
        <w:t xml:space="preserve">НМЦК, НМЦД, </w:t>
      </w:r>
      <w:r>
        <w:rPr>
          <w:rFonts w:ascii="Times New Roman" w:hAnsi="Times New Roman" w:cs="Times New Roman"/>
          <w:u w:val="single"/>
        </w:rPr>
        <w:t xml:space="preserve">ЦК</w:t>
      </w:r>
      <w:r>
        <w:rPr>
          <w:rFonts w:ascii="Times New Roman" w:hAnsi="Times New Roman" w:cs="Times New Roman"/>
        </w:rPr>
        <w:t xml:space="preserve">, ЦД, НЦЕ (нужное подчеркнуть)</w:t>
      </w:r>
      <w:r>
        <w:rPr>
          <w:rFonts w:ascii="Times New Roman" w:hAnsi="Times New Roman" w:cs="Times New Roman"/>
          <w:lang w:eastAsia="ru-RU"/>
        </w:rPr>
        <w:t xml:space="preserve">:</w:t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Предложение 1: коммерческое предложение от 30.06.2026 г. б/н </w:t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Предложение 2: </w:t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Предложение 3: </w:t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eastAsia="ru-RU"/>
        </w:rPr>
        <w:t xml:space="preserve">Дата подготовки определения и (или) обоснования: 14 ию</w:t>
      </w:r>
      <w:r>
        <w:rPr>
          <w:rFonts w:ascii="Times New Roman" w:hAnsi="Times New Roman" w:cs="Times New Roman"/>
          <w:b/>
          <w:lang w:eastAsia="ru-RU"/>
        </w:rPr>
        <w:t xml:space="preserve">ля 2026г.</w:t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rPr/>
      </w:pPr>
      <w:r/>
      <w:bookmarkStart w:id="3" w:name="_MON_1452692368"/>
      <w:r/>
      <w:bookmarkEnd w:id="3"/>
      <w:r/>
      <w:r/>
    </w:p>
    <w:sectPr>
      <w:footnotePr/>
      <w:endnotePr/>
      <w:type w:val="nextPage"/>
      <w:pgSz w:h="11906" w:orient="landscape" w:w="16838"/>
      <w:pgMar w:top="284" w:right="1134" w:bottom="426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015D6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1">
    <w:nsid w:val="2719135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92"/>
        </w:tabs>
        <w:spacing/>
        <w:ind w:hanging="432" w:left="792"/>
      </w:pPr>
      <w:rPr>
        <w:rFonts w:hint="default" w:cs="Times New Roman"/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440"/>
        </w:tabs>
        <w:spacing/>
        <w:ind w:hanging="504" w:left="1224"/>
      </w:pPr>
      <w:rPr>
        <w:rFonts w:hint="default" w:ascii="Times New Roman" w:hAnsi="Times New Roman" w:cs="Times New Roman"/>
        <w:sz w:val="24"/>
        <w:szCs w:val="24"/>
      </w:rPr>
      <w:start w:val="1"/>
      <w:suff w:val="tab"/>
    </w:lvl>
    <w:lvl w:ilvl="3">
      <w:isLgl w:val="false"/>
      <w:lvlJc w:val="left"/>
      <w:lvlText w:val="%4."/>
      <w:numFmt w:val="russianLower"/>
      <w:pPr>
        <w:pBdr/>
        <w:tabs>
          <w:tab w:val="num" w:leader="none" w:pos="1800"/>
        </w:tabs>
        <w:spacing/>
        <w:ind w:hanging="648" w:left="1728"/>
      </w:pPr>
      <w:rPr>
        <w:rFonts w:hint="default"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hanging="792" w:left="2232"/>
      </w:pPr>
      <w:rPr>
        <w:rFonts w:hint="default"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2880"/>
        </w:tabs>
        <w:spacing/>
        <w:ind w:hanging="936" w:left="2736"/>
      </w:pPr>
      <w:rPr>
        <w:rFonts w:hint="default"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600"/>
        </w:tabs>
        <w:spacing/>
        <w:ind w:hanging="1080" w:left="3240"/>
      </w:pPr>
      <w:rPr>
        <w:rFonts w:hint="default"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960"/>
        </w:tabs>
        <w:spacing/>
        <w:ind w:hanging="1224" w:left="3744"/>
      </w:pPr>
      <w:rPr>
        <w:rFonts w:hint="default"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4680"/>
        </w:tabs>
        <w:spacing/>
        <w:ind w:hanging="1440" w:left="4320"/>
      </w:pPr>
      <w:rPr>
        <w:rFonts w:hint="default" w:cs="Times New Roman"/>
      </w:rPr>
      <w:start w:val="1"/>
      <w:suff w:val="tab"/>
    </w:lvl>
  </w:abstractNum>
  <w:abstractNum w:abstractNumId="2">
    <w:nsid w:val="49DD5B73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3">
    <w:nsid w:val="5F3409AD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4">
    <w:nsid w:val="677369AE"/>
    <w:lvl w:ilvl="0">
      <w:isLgl w:val="false"/>
      <w:lvlJc w:val="left"/>
      <w:lvlText w:val="%1."/>
      <w:numFmt w:val="decimal"/>
      <w:pPr>
        <w:pBdr/>
        <w:spacing/>
        <w:ind w:hanging="540" w:left="540"/>
      </w:pPr>
      <w:rPr>
        <w:rFonts w:hint="default" w:cs="Times New Roman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540" w:left="900"/>
      </w:pPr>
      <w:rPr>
        <w:rFonts w:hint="default" w:cs="Times New Roman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440"/>
      </w:pPr>
      <w:rPr>
        <w:rFonts w:hint="default"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800"/>
      </w:pPr>
      <w:rPr>
        <w:rFonts w:hint="default"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520"/>
      </w:pPr>
      <w:rPr>
        <w:rFonts w:hint="default"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2880"/>
      </w:pPr>
      <w:rPr>
        <w:rFonts w:hint="default"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600"/>
      </w:pPr>
      <w:rPr>
        <w:rFonts w:hint="default"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3960"/>
      </w:pPr>
      <w:rPr>
        <w:rFonts w:hint="default"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680"/>
      </w:pPr>
      <w:rPr>
        <w:rFonts w:hint="default" w:cs="Times New Roman"/>
      </w:rPr>
      <w:start w:val="1"/>
      <w:suff w:val="tab"/>
    </w:lvl>
  </w:abstractNum>
  <w:abstractNum w:abstractNumId="5">
    <w:nsid w:val="756D306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724"/>
    <w:link w:val="7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4"/>
    <w:link w:val="71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4"/>
    <w:link w:val="7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4"/>
    <w:link w:val="71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4"/>
    <w:link w:val="7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4"/>
    <w:link w:val="7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4"/>
    <w:link w:val="7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4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4"/>
    <w:link w:val="7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24"/>
    <w:link w:val="86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24"/>
    <w:link w:val="86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24"/>
    <w:link w:val="86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24"/>
    <w:link w:val="86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7">
    <w:name w:val="Header Char"/>
    <w:basedOn w:val="724"/>
    <w:link w:val="876"/>
    <w:uiPriority w:val="99"/>
    <w:pPr>
      <w:pBdr/>
      <w:spacing/>
      <w:ind/>
    </w:pPr>
  </w:style>
  <w:style w:type="character" w:styleId="179">
    <w:name w:val="Footer Char"/>
    <w:basedOn w:val="724"/>
    <w:link w:val="878"/>
    <w:uiPriority w:val="99"/>
    <w:pPr>
      <w:pBdr/>
      <w:spacing/>
      <w:ind/>
    </w:pPr>
  </w:style>
  <w:style w:type="character" w:styleId="182">
    <w:name w:val="Footnote Text Char"/>
    <w:basedOn w:val="724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24"/>
    <w:link w:val="884"/>
    <w:uiPriority w:val="99"/>
    <w:semiHidden/>
    <w:pPr>
      <w:pBdr/>
      <w:spacing/>
      <w:ind/>
    </w:pPr>
    <w:rPr>
      <w:sz w:val="20"/>
      <w:szCs w:val="20"/>
    </w:rPr>
  </w:style>
  <w:style w:type="paragraph" w:styleId="714" w:default="1">
    <w:name w:val="Normal"/>
    <w:qFormat/>
    <w:pPr>
      <w:pBdr/>
      <w:spacing/>
      <w:ind/>
    </w:pPr>
  </w:style>
  <w:style w:type="paragraph" w:styleId="715">
    <w:name w:val="Heading 1"/>
    <w:basedOn w:val="714"/>
    <w:next w:val="714"/>
    <w:link w:val="85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16">
    <w:name w:val="Heading 2"/>
    <w:basedOn w:val="714"/>
    <w:next w:val="714"/>
    <w:link w:val="85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17">
    <w:name w:val="Heading 3"/>
    <w:basedOn w:val="714"/>
    <w:next w:val="714"/>
    <w:link w:val="85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18">
    <w:name w:val="Heading 4"/>
    <w:basedOn w:val="714"/>
    <w:next w:val="714"/>
    <w:link w:val="85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19">
    <w:name w:val="Heading 5"/>
    <w:basedOn w:val="714"/>
    <w:next w:val="714"/>
    <w:link w:val="85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20">
    <w:name w:val="Heading 6"/>
    <w:basedOn w:val="714"/>
    <w:next w:val="714"/>
    <w:link w:val="85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21">
    <w:name w:val="Heading 7"/>
    <w:basedOn w:val="714"/>
    <w:next w:val="714"/>
    <w:link w:val="85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2">
    <w:name w:val="Heading 8"/>
    <w:basedOn w:val="714"/>
    <w:next w:val="714"/>
    <w:link w:val="85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3">
    <w:name w:val="Heading 9"/>
    <w:basedOn w:val="714"/>
    <w:next w:val="714"/>
    <w:link w:val="86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4" w:default="1">
    <w:name w:val="Default Paragraph Font"/>
    <w:uiPriority w:val="1"/>
    <w:semiHidden/>
    <w:unhideWhenUsed/>
    <w:pPr>
      <w:pBdr/>
      <w:spacing/>
      <w:ind/>
    </w:pPr>
  </w:style>
  <w:style w:type="table" w:styleId="72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6" w:default="1">
    <w:name w:val="No List"/>
    <w:uiPriority w:val="99"/>
    <w:semiHidden/>
    <w:unhideWhenUsed/>
    <w:pPr>
      <w:pBdr/>
      <w:spacing/>
      <w:ind/>
    </w:pPr>
  </w:style>
  <w:style w:type="table" w:styleId="727" w:customStyle="1">
    <w:name w:val="Table Grid Light"/>
    <w:basedOn w:val="72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1"/>
    <w:basedOn w:val="72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2"/>
    <w:basedOn w:val="72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1 Light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1 Light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1 Light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1 Light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1 Light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1 Light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2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2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2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2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2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2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3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3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3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3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3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3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4 - Accent 1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4 - Accent 2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4 - Accent 3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4 - Accent 4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4 - Accent 5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4 - Accent 6"/>
    <w:basedOn w:val="7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5 Dark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5 Dark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5 Dark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5 Dark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5 Dark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5 Dark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6 Colorful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6 Colorful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6 Colorful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6 Colorful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6 Colorful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6 Colorful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7 Colorful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7 Colorful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7 Colorful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7 Colorful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7 Colorful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7 Colorful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1 Light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1 Light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1 Light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1 Light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1 Light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1 Light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2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2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2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2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2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2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3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3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3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3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3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4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4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4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4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4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4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5 Dark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5 Dark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5 Dark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5 Dark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5 Dark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5 Dark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6 Colorful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6 Colorful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6 Colorful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6 Colorful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6 Colorful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6 Colorful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7 Colorful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7 Colorful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7 Colorful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7 Colorful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7 Colorful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7 Colorful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ned - Accent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ned - Accent 1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ned - Accent 2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ned - Accent 3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ned - Accent 4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ned - Accent 5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ned - Accent 6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&amp; Lined - Accent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&amp; Lined - Accent 1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&amp; Lined - Accent 2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&amp; Lined - Accent 3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&amp; Lined - Accent 4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&amp; Lined - Accent 5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&amp; Lined - Accent 6"/>
    <w:basedOn w:val="72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- Accent 1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- Accent 2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- Accent 3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- Accent 4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- Accent 5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- Accent 6"/>
    <w:basedOn w:val="7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2" w:customStyle="1">
    <w:name w:val="Заголовок 1 Знак"/>
    <w:basedOn w:val="724"/>
    <w:link w:val="71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53" w:customStyle="1">
    <w:name w:val="Заголовок 2 Знак"/>
    <w:basedOn w:val="724"/>
    <w:link w:val="71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54" w:customStyle="1">
    <w:name w:val="Заголовок 3 Знак"/>
    <w:basedOn w:val="724"/>
    <w:link w:val="71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55" w:customStyle="1">
    <w:name w:val="Заголовок 4 Знак"/>
    <w:basedOn w:val="724"/>
    <w:link w:val="71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56" w:customStyle="1">
    <w:name w:val="Заголовок 5 Знак"/>
    <w:basedOn w:val="724"/>
    <w:link w:val="71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57" w:customStyle="1">
    <w:name w:val="Заголовок 6 Знак"/>
    <w:basedOn w:val="724"/>
    <w:link w:val="7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8" w:customStyle="1">
    <w:name w:val="Заголовок 7 Знак"/>
    <w:basedOn w:val="724"/>
    <w:link w:val="7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9" w:customStyle="1">
    <w:name w:val="Заголовок 8 Знак"/>
    <w:basedOn w:val="724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0" w:customStyle="1">
    <w:name w:val="Заголовок 9 Знак"/>
    <w:basedOn w:val="724"/>
    <w:link w:val="7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1">
    <w:name w:val="Title"/>
    <w:basedOn w:val="714"/>
    <w:next w:val="714"/>
    <w:link w:val="86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2" w:customStyle="1">
    <w:name w:val="Заголовок Знак"/>
    <w:basedOn w:val="724"/>
    <w:link w:val="86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3">
    <w:name w:val="Subtitle"/>
    <w:basedOn w:val="714"/>
    <w:next w:val="714"/>
    <w:link w:val="86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4" w:customStyle="1">
    <w:name w:val="Подзаголовок Знак"/>
    <w:basedOn w:val="724"/>
    <w:link w:val="86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5">
    <w:name w:val="Quote"/>
    <w:basedOn w:val="714"/>
    <w:next w:val="714"/>
    <w:link w:val="86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6" w:customStyle="1">
    <w:name w:val="Цитата 2 Знак"/>
    <w:basedOn w:val="724"/>
    <w:link w:val="86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7">
    <w:name w:val="Intense Emphasis"/>
    <w:basedOn w:val="72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68">
    <w:name w:val="Intense Quote"/>
    <w:basedOn w:val="714"/>
    <w:next w:val="714"/>
    <w:link w:val="869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69" w:customStyle="1">
    <w:name w:val="Выделенная цитата Знак"/>
    <w:basedOn w:val="724"/>
    <w:link w:val="86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70">
    <w:name w:val="Intense Reference"/>
    <w:basedOn w:val="72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71">
    <w:name w:val="Subtle Emphasis"/>
    <w:basedOn w:val="7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2">
    <w:name w:val="Emphasis"/>
    <w:basedOn w:val="724"/>
    <w:uiPriority w:val="20"/>
    <w:qFormat/>
    <w:pPr>
      <w:pBdr/>
      <w:spacing/>
      <w:ind/>
    </w:pPr>
    <w:rPr>
      <w:i/>
      <w:iCs/>
    </w:rPr>
  </w:style>
  <w:style w:type="character" w:styleId="873">
    <w:name w:val="Strong"/>
    <w:basedOn w:val="724"/>
    <w:uiPriority w:val="22"/>
    <w:qFormat/>
    <w:pPr>
      <w:pBdr/>
      <w:spacing/>
      <w:ind/>
    </w:pPr>
    <w:rPr>
      <w:b/>
      <w:bCs/>
    </w:rPr>
  </w:style>
  <w:style w:type="character" w:styleId="874">
    <w:name w:val="Subtle Reference"/>
    <w:basedOn w:val="7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5">
    <w:name w:val="Book Title"/>
    <w:basedOn w:val="7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6">
    <w:name w:val="Header"/>
    <w:basedOn w:val="714"/>
    <w:link w:val="8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7" w:customStyle="1">
    <w:name w:val="Верхний колонтитул Знак"/>
    <w:basedOn w:val="724"/>
    <w:link w:val="876"/>
    <w:uiPriority w:val="99"/>
    <w:pPr>
      <w:pBdr/>
      <w:spacing/>
      <w:ind/>
    </w:pPr>
  </w:style>
  <w:style w:type="paragraph" w:styleId="878">
    <w:name w:val="Footer"/>
    <w:basedOn w:val="714"/>
    <w:link w:val="8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9" w:customStyle="1">
    <w:name w:val="Нижний колонтитул Знак"/>
    <w:basedOn w:val="724"/>
    <w:link w:val="878"/>
    <w:uiPriority w:val="99"/>
    <w:pPr>
      <w:pBdr/>
      <w:spacing/>
      <w:ind/>
    </w:pPr>
  </w:style>
  <w:style w:type="paragraph" w:styleId="880">
    <w:name w:val="Caption"/>
    <w:basedOn w:val="714"/>
    <w:next w:val="714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81">
    <w:name w:val="footnote text"/>
    <w:basedOn w:val="714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 w:customStyle="1">
    <w:name w:val="Текст сноски Знак"/>
    <w:basedOn w:val="724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footnote reference"/>
    <w:basedOn w:val="724"/>
    <w:uiPriority w:val="99"/>
    <w:semiHidden/>
    <w:unhideWhenUsed/>
    <w:pPr>
      <w:pBdr/>
      <w:spacing/>
      <w:ind/>
    </w:pPr>
    <w:rPr>
      <w:vertAlign w:val="superscript"/>
    </w:rPr>
  </w:style>
  <w:style w:type="paragraph" w:styleId="884">
    <w:name w:val="endnote text"/>
    <w:basedOn w:val="714"/>
    <w:link w:val="8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5" w:customStyle="1">
    <w:name w:val="Текст концевой сноски Знак"/>
    <w:basedOn w:val="724"/>
    <w:link w:val="884"/>
    <w:uiPriority w:val="99"/>
    <w:semiHidden/>
    <w:pPr>
      <w:pBdr/>
      <w:spacing/>
      <w:ind/>
    </w:pPr>
    <w:rPr>
      <w:sz w:val="20"/>
      <w:szCs w:val="20"/>
    </w:rPr>
  </w:style>
  <w:style w:type="character" w:styleId="886">
    <w:name w:val="endnote reference"/>
    <w:basedOn w:val="724"/>
    <w:uiPriority w:val="99"/>
    <w:semiHidden/>
    <w:unhideWhenUsed/>
    <w:pPr>
      <w:pBdr/>
      <w:spacing/>
      <w:ind/>
    </w:pPr>
    <w:rPr>
      <w:vertAlign w:val="superscript"/>
    </w:rPr>
  </w:style>
  <w:style w:type="character" w:styleId="887">
    <w:name w:val="FollowedHyperlink"/>
    <w:basedOn w:val="72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88">
    <w:name w:val="toc 1"/>
    <w:basedOn w:val="714"/>
    <w:next w:val="714"/>
    <w:uiPriority w:val="39"/>
    <w:unhideWhenUsed/>
    <w:pPr>
      <w:pBdr/>
      <w:spacing w:after="100"/>
      <w:ind/>
    </w:pPr>
  </w:style>
  <w:style w:type="paragraph" w:styleId="889">
    <w:name w:val="toc 2"/>
    <w:basedOn w:val="714"/>
    <w:next w:val="714"/>
    <w:uiPriority w:val="39"/>
    <w:unhideWhenUsed/>
    <w:pPr>
      <w:pBdr/>
      <w:spacing w:after="100"/>
      <w:ind w:left="220"/>
    </w:pPr>
  </w:style>
  <w:style w:type="paragraph" w:styleId="890">
    <w:name w:val="toc 3"/>
    <w:basedOn w:val="714"/>
    <w:next w:val="714"/>
    <w:uiPriority w:val="39"/>
    <w:unhideWhenUsed/>
    <w:pPr>
      <w:pBdr/>
      <w:spacing w:after="100"/>
      <w:ind w:left="440"/>
    </w:pPr>
  </w:style>
  <w:style w:type="paragraph" w:styleId="891">
    <w:name w:val="toc 4"/>
    <w:basedOn w:val="714"/>
    <w:next w:val="714"/>
    <w:uiPriority w:val="39"/>
    <w:unhideWhenUsed/>
    <w:pPr>
      <w:pBdr/>
      <w:spacing w:after="100"/>
      <w:ind w:left="660"/>
    </w:pPr>
  </w:style>
  <w:style w:type="paragraph" w:styleId="892">
    <w:name w:val="toc 5"/>
    <w:basedOn w:val="714"/>
    <w:next w:val="714"/>
    <w:uiPriority w:val="39"/>
    <w:unhideWhenUsed/>
    <w:pPr>
      <w:pBdr/>
      <w:spacing w:after="100"/>
      <w:ind w:left="880"/>
    </w:pPr>
  </w:style>
  <w:style w:type="paragraph" w:styleId="893">
    <w:name w:val="toc 6"/>
    <w:basedOn w:val="714"/>
    <w:next w:val="714"/>
    <w:uiPriority w:val="39"/>
    <w:unhideWhenUsed/>
    <w:pPr>
      <w:pBdr/>
      <w:spacing w:after="100"/>
      <w:ind w:left="1100"/>
    </w:pPr>
  </w:style>
  <w:style w:type="paragraph" w:styleId="894">
    <w:name w:val="toc 7"/>
    <w:basedOn w:val="714"/>
    <w:next w:val="714"/>
    <w:uiPriority w:val="39"/>
    <w:unhideWhenUsed/>
    <w:pPr>
      <w:pBdr/>
      <w:spacing w:after="100"/>
      <w:ind w:left="1320"/>
    </w:pPr>
  </w:style>
  <w:style w:type="paragraph" w:styleId="895">
    <w:name w:val="toc 8"/>
    <w:basedOn w:val="714"/>
    <w:next w:val="714"/>
    <w:uiPriority w:val="39"/>
    <w:unhideWhenUsed/>
    <w:pPr>
      <w:pBdr/>
      <w:spacing w:after="100"/>
      <w:ind w:left="1540"/>
    </w:pPr>
  </w:style>
  <w:style w:type="paragraph" w:styleId="896">
    <w:name w:val="toc 9"/>
    <w:basedOn w:val="714"/>
    <w:next w:val="714"/>
    <w:uiPriority w:val="39"/>
    <w:unhideWhenUsed/>
    <w:pPr>
      <w:pBdr/>
      <w:spacing w:after="100"/>
      <w:ind w:left="1760"/>
    </w:pPr>
  </w:style>
  <w:style w:type="character" w:styleId="897">
    <w:name w:val="Placeholder Text"/>
    <w:basedOn w:val="724"/>
    <w:uiPriority w:val="99"/>
    <w:semiHidden/>
    <w:pPr>
      <w:pBdr/>
      <w:spacing/>
      <w:ind/>
    </w:pPr>
    <w:rPr>
      <w:color w:val="666666"/>
    </w:r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basedOn w:val="714"/>
    <w:next w:val="714"/>
    <w:uiPriority w:val="99"/>
    <w:unhideWhenUsed/>
    <w:pPr>
      <w:pBdr/>
      <w:spacing w:after="0"/>
      <w:ind/>
    </w:pPr>
  </w:style>
  <w:style w:type="paragraph" w:styleId="900">
    <w:name w:val="List Paragraph"/>
    <w:basedOn w:val="714"/>
    <w:link w:val="903"/>
    <w:uiPriority w:val="34"/>
    <w:qFormat/>
    <w:pPr>
      <w:pBdr/>
      <w:spacing/>
      <w:ind w:left="720"/>
      <w:contextualSpacing w:val="true"/>
    </w:pPr>
  </w:style>
  <w:style w:type="character" w:styleId="901">
    <w:name w:val="Hyperlink"/>
    <w:basedOn w:val="724"/>
    <w:uiPriority w:val="99"/>
    <w:unhideWhenUsed/>
    <w:pPr>
      <w:pBdr/>
      <w:spacing/>
      <w:ind/>
    </w:pPr>
    <w:rPr>
      <w:color w:val="0000ff" w:themeColor="hyperlink"/>
      <w:u w:val="single"/>
    </w:rPr>
  </w:style>
  <w:style w:type="table" w:styleId="902">
    <w:name w:val="Table Grid"/>
    <w:basedOn w:val="72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3" w:customStyle="1">
    <w:name w:val="Абзац списка Знак"/>
    <w:link w:val="900"/>
    <w:uiPriority w:val="34"/>
    <w:qFormat/>
    <w:pPr>
      <w:pBdr/>
      <w:spacing/>
      <w:ind/>
    </w:pPr>
  </w:style>
  <w:style w:type="paragraph" w:styleId="904">
    <w:name w:val="No Spacing"/>
    <w:link w:val="905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character" w:styleId="905" w:customStyle="1">
    <w:name w:val="Без интервала Знак"/>
    <w:link w:val="904"/>
    <w:uiPriority w:val="1"/>
    <w:pPr>
      <w:pBdr/>
      <w:spacing/>
      <w:ind/>
    </w:pPr>
    <w:rPr>
      <w:rFonts w:ascii="Calibri" w:hAnsi="Calibri" w:eastAsia="Calibri" w:cs="Times New Roman"/>
    </w:rPr>
  </w:style>
  <w:style w:type="paragraph" w:styleId="906">
    <w:name w:val="Document Map"/>
    <w:basedOn w:val="714"/>
    <w:link w:val="90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07" w:customStyle="1">
    <w:name w:val="Схема документа Знак"/>
    <w:basedOn w:val="724"/>
    <w:link w:val="90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08" w:customStyle="1">
    <w:name w:val="ConsPlusNormal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Calibri" w:hAnsi="Calibri" w:eastAsia="Times New Roman" w:cs="Calibri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dns" TargetMode="External"/><Relationship Id="rId10" Type="http://schemas.openxmlformats.org/officeDocument/2006/relationships/hyperlink" Target="https://zakupki.gov.ru/epz/contract/contractCard/common-info.html?reestrNumber=3701000078925000039" TargetMode="External"/><Relationship Id="rId11" Type="http://schemas.openxmlformats.org/officeDocument/2006/relationships/hyperlink" Target="https://zakupki.gov.ru/epz/contract/contractCard/common-info.html?reestrNumber=3230402954124000009" TargetMode="External"/><Relationship Id="rId12" Type="http://schemas.openxmlformats.org/officeDocument/2006/relationships/hyperlink" Target="https://zakupki.gov.ru/epz/contract/contractCard/common-info.html?reestrNumber=1772908209023000877" TargetMode="External"/><Relationship Id="rId13" Type="http://schemas.openxmlformats.org/officeDocument/2006/relationships/hyperlink" Target="https://zakupki.gov.ru/epz/contract/contractCard/common-info.html?reestrNumber=177290820902300087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244-01</dc:creator>
  <cp:revision>31</cp:revision>
  <dcterms:created xsi:type="dcterms:W3CDTF">2025-12-03T23:43:00Z</dcterms:created>
  <dcterms:modified xsi:type="dcterms:W3CDTF">2026-08-06T10:14:43Z</dcterms:modified>
</cp:coreProperties>
</file>