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5812"/>
        <w:jc w:val="center"/>
        <w:rPr>
          <w:rFonts w:ascii="PT Astra Serif" w:hAnsi="PT Astra Serif"/>
          <w:sz w:val="22"/>
          <w:szCs w:val="22"/>
        </w:rPr>
      </w:pPr>
      <w:r>
        <w:rPr>
          <w:rFonts w:ascii="PT Astra Serif" w:hAnsi="PT Astra Serif"/>
          <w:sz w:val="22"/>
          <w:szCs w:val="22"/>
        </w:rPr>
        <w:t>УТВЕРЖДАЮ</w:t>
      </w:r>
    </w:p>
    <w:p>
      <w:pPr>
        <w:pStyle w:val="Normal"/>
        <w:spacing w:lineRule="auto" w:line="240" w:before="0" w:after="0"/>
        <w:ind w:left="5812"/>
        <w:jc w:val="center"/>
        <w:rPr>
          <w:rFonts w:ascii="PT Astra Serif" w:hAnsi="PT Astra Serif"/>
          <w:sz w:val="22"/>
          <w:szCs w:val="22"/>
        </w:rPr>
      </w:pPr>
      <w:r>
        <w:rPr>
          <w:rFonts w:ascii="PT Astra Serif" w:hAnsi="PT Astra Serif"/>
          <w:sz w:val="22"/>
          <w:szCs w:val="22"/>
        </w:rPr>
        <w:t xml:space="preserve">Начальник ФКУ ОК </w:t>
      </w:r>
    </w:p>
    <w:p>
      <w:pPr>
        <w:pStyle w:val="Normal"/>
        <w:spacing w:lineRule="auto" w:line="240" w:before="0" w:after="0"/>
        <w:ind w:left="5812"/>
        <w:jc w:val="center"/>
        <w:rPr>
          <w:rFonts w:ascii="PT Astra Serif" w:hAnsi="PT Astra Serif"/>
          <w:sz w:val="22"/>
          <w:szCs w:val="22"/>
        </w:rPr>
      </w:pPr>
      <w:r>
        <w:rPr>
          <w:rFonts w:ascii="PT Astra Serif" w:hAnsi="PT Astra Serif"/>
          <w:sz w:val="22"/>
          <w:szCs w:val="22"/>
        </w:rPr>
        <w:t>УФСИН России</w:t>
        <w:br/>
        <w:t>по Ханты-Мансийскому</w:t>
      </w:r>
    </w:p>
    <w:p>
      <w:pPr>
        <w:pStyle w:val="Normal"/>
        <w:spacing w:lineRule="auto" w:line="240" w:before="0" w:after="0"/>
        <w:ind w:left="5812"/>
        <w:jc w:val="center"/>
        <w:rPr>
          <w:rFonts w:ascii="PT Astra Serif" w:hAnsi="PT Astra Serif"/>
          <w:sz w:val="22"/>
          <w:szCs w:val="22"/>
        </w:rPr>
      </w:pPr>
      <w:r>
        <w:rPr>
          <w:rFonts w:ascii="PT Astra Serif" w:hAnsi="PT Astra Serif"/>
          <w:sz w:val="22"/>
          <w:szCs w:val="22"/>
        </w:rPr>
        <w:t>автономному округу – Югре</w:t>
      </w:r>
    </w:p>
    <w:p>
      <w:pPr>
        <w:pStyle w:val="Normal"/>
        <w:spacing w:lineRule="auto" w:line="240" w:before="0" w:after="0"/>
        <w:ind w:left="5812"/>
        <w:jc w:val="center"/>
        <w:rPr>
          <w:rFonts w:ascii="PT Astra Serif" w:hAnsi="PT Astra Serif"/>
          <w:sz w:val="22"/>
          <w:szCs w:val="22"/>
        </w:rPr>
      </w:pPr>
      <w:r>
        <w:rPr>
          <w:rFonts w:ascii="PT Astra Serif" w:hAnsi="PT Astra Serif"/>
          <w:sz w:val="22"/>
          <w:szCs w:val="22"/>
        </w:rPr>
        <w:t>подполковник внутренней службы</w:t>
      </w:r>
    </w:p>
    <w:p>
      <w:pPr>
        <w:pStyle w:val="Normal"/>
        <w:spacing w:lineRule="auto" w:line="240" w:before="0" w:after="0"/>
        <w:ind w:left="5812"/>
        <w:jc w:val="center"/>
        <w:rPr>
          <w:rFonts w:ascii="PT Astra Serif" w:hAnsi="PT Astra Serif"/>
          <w:sz w:val="22"/>
          <w:szCs w:val="22"/>
        </w:rPr>
      </w:pPr>
      <w:r>
        <w:rPr>
          <w:rFonts w:ascii="PT Astra Serif" w:hAnsi="PT Astra Serif"/>
          <w:sz w:val="22"/>
          <w:szCs w:val="22"/>
        </w:rPr>
        <w:t>_________________ Д.Н. Тарханов</w:t>
      </w:r>
    </w:p>
    <w:p>
      <w:pPr>
        <w:pStyle w:val="Normal"/>
        <w:spacing w:lineRule="auto" w:line="240" w:before="0" w:after="0"/>
        <w:ind w:left="5812"/>
        <w:jc w:val="center"/>
        <w:rPr>
          <w:rFonts w:ascii="PT Astra Serif" w:hAnsi="PT Astra Serif"/>
          <w:sz w:val="22"/>
          <w:szCs w:val="22"/>
        </w:rPr>
      </w:pPr>
      <w:r>
        <w:rPr>
          <w:rFonts w:ascii="PT Astra Serif" w:hAnsi="PT Astra Serif"/>
          <w:sz w:val="22"/>
          <w:szCs w:val="22"/>
        </w:rPr>
        <w:t xml:space="preserve">« ____ » </w:t>
      </w:r>
      <w:r>
        <w:rPr>
          <w:rFonts w:ascii="PT Astra Serif" w:hAnsi="PT Astra Serif"/>
          <w:sz w:val="22"/>
          <w:szCs w:val="22"/>
          <w:u w:val="single"/>
        </w:rPr>
        <w:t xml:space="preserve">                                 </w:t>
      </w:r>
      <w:r>
        <w:rPr>
          <w:rFonts w:ascii="PT Astra Serif" w:hAnsi="PT Astra Serif"/>
          <w:sz w:val="22"/>
          <w:szCs w:val="22"/>
        </w:rPr>
        <w:t xml:space="preserve"> 2026 г.</w:t>
      </w:r>
    </w:p>
    <w:p>
      <w:pPr>
        <w:pStyle w:val="Normal"/>
        <w:spacing w:lineRule="auto" w:line="240" w:before="0" w:after="0"/>
        <w:jc w:val="center"/>
        <w:rPr>
          <w:rFonts w:ascii="PT Astra Serif" w:hAnsi="PT Astra Serif"/>
          <w:sz w:val="22"/>
          <w:szCs w:val="22"/>
        </w:rPr>
      </w:pPr>
      <w:r>
        <w:rPr>
          <w:rFonts w:ascii="PT Astra Serif" w:hAnsi="PT Astra Serif"/>
          <w:sz w:val="22"/>
          <w:szCs w:val="22"/>
        </w:rPr>
      </w:r>
    </w:p>
    <w:p>
      <w:pPr>
        <w:pStyle w:val="Normal"/>
        <w:spacing w:lineRule="auto" w:line="240" w:before="0" w:after="0"/>
        <w:jc w:val="center"/>
        <w:rPr>
          <w:rFonts w:ascii="PT Astra Serif" w:hAnsi="PT Astra Serif"/>
          <w:sz w:val="22"/>
          <w:szCs w:val="22"/>
        </w:rPr>
      </w:pPr>
      <w:r>
        <w:rPr>
          <w:rFonts w:ascii="PT Astra Serif" w:hAnsi="PT Astra Serif"/>
          <w:sz w:val="22"/>
          <w:szCs w:val="22"/>
        </w:rPr>
      </w:r>
    </w:p>
    <w:p>
      <w:pPr>
        <w:pStyle w:val="Normal"/>
        <w:spacing w:lineRule="auto" w:line="240" w:before="0" w:after="0"/>
        <w:jc w:val="center"/>
        <w:rPr>
          <w:rFonts w:ascii="PT Astra Serif" w:hAnsi="PT Astra Serif"/>
          <w:sz w:val="22"/>
          <w:szCs w:val="22"/>
        </w:rPr>
      </w:pPr>
      <w:r>
        <w:rPr>
          <w:rFonts w:ascii="PT Astra Serif" w:hAnsi="PT Astra Serif"/>
          <w:sz w:val="22"/>
          <w:szCs w:val="22"/>
        </w:rPr>
      </w:r>
    </w:p>
    <w:p>
      <w:pPr>
        <w:pStyle w:val="Normal"/>
        <w:spacing w:lineRule="auto" w:line="240" w:before="0" w:after="0"/>
        <w:jc w:val="center"/>
        <w:rPr>
          <w:rFonts w:ascii="PT Astra Serif" w:hAnsi="PT Astra Serif"/>
          <w:b/>
          <w:bCs/>
          <w:sz w:val="22"/>
          <w:szCs w:val="22"/>
        </w:rPr>
      </w:pPr>
      <w:r>
        <w:rPr>
          <w:rFonts w:ascii="PT Astra Serif" w:hAnsi="PT Astra Serif"/>
          <w:b/>
          <w:bCs/>
          <w:sz w:val="22"/>
          <w:szCs w:val="22"/>
        </w:rPr>
        <w:t>Обоснование начальной (максимальной) цены контракта</w:t>
      </w:r>
    </w:p>
    <w:p>
      <w:pPr>
        <w:pStyle w:val="Normal"/>
        <w:spacing w:lineRule="auto" w:line="240" w:before="0" w:after="0"/>
        <w:jc w:val="center"/>
        <w:rPr>
          <w:rFonts w:ascii="PT Astra Serif" w:hAnsi="PT Astra Serif"/>
          <w:b/>
          <w:bCs/>
          <w:sz w:val="22"/>
          <w:szCs w:val="22"/>
        </w:rPr>
      </w:pPr>
      <w:r>
        <w:rPr>
          <w:rFonts w:ascii="PT Astra Serif" w:hAnsi="PT Astra Serif"/>
          <w:b/>
          <w:bCs/>
          <w:sz w:val="22"/>
          <w:szCs w:val="22"/>
        </w:rPr>
        <w:t>по минимальному ценовому предложению и исходя из выделенных лимитов бюджетных обязательств на приобретение товаров, соответствующих требованиям представленной документации для проведения закупочной сессии малой закупки в ЕАТ.</w:t>
      </w:r>
    </w:p>
    <w:p>
      <w:pPr>
        <w:pStyle w:val="Normal"/>
        <w:spacing w:lineRule="auto" w:line="240" w:before="0" w:after="0"/>
        <w:jc w:val="center"/>
        <w:rPr>
          <w:rFonts w:ascii="PT Astra Serif" w:hAnsi="PT Astra Serif"/>
          <w:b/>
          <w:bCs/>
          <w:sz w:val="22"/>
          <w:szCs w:val="22"/>
        </w:rPr>
      </w:pPr>
      <w:r>
        <w:rPr>
          <w:rFonts w:eastAsia="" w:ascii="PT Astra Serif" w:hAnsi="PT Astra Serif" w:eastAsiaTheme="minorEastAsia"/>
          <w:color w:themeColor="text1" w:val="000000"/>
          <w:sz w:val="22"/>
          <w:szCs w:val="22"/>
        </w:rPr>
        <w:t>«</w:t>
      </w:r>
      <w:r>
        <w:rPr>
          <w:rFonts w:ascii="PT Astra Serif" w:hAnsi="PT Astra Serif"/>
          <w:sz w:val="22"/>
          <w:szCs w:val="22"/>
        </w:rPr>
        <w:t xml:space="preserve">Уплотнитель проема двери армированный металлом У-912641, в соответствии </w:t>
        <w:br/>
        <w:t>со спецификацией</w:t>
      </w:r>
      <w:r>
        <w:rPr>
          <w:rFonts w:eastAsia="" w:ascii="PT Astra Serif" w:hAnsi="PT Astra Serif" w:eastAsiaTheme="minorEastAsia"/>
          <w:color w:themeColor="text1" w:val="000000"/>
          <w:sz w:val="22"/>
          <w:szCs w:val="22"/>
        </w:rPr>
        <w:t>»</w:t>
      </w:r>
    </w:p>
    <w:p>
      <w:pPr>
        <w:pStyle w:val="Normal"/>
        <w:spacing w:lineRule="auto" w:line="240" w:before="0" w:after="0"/>
        <w:jc w:val="center"/>
        <w:rPr>
          <w:rFonts w:ascii="PT Astra Serif" w:hAnsi="PT Astra Serif"/>
          <w:b/>
          <w:bCs/>
          <w:sz w:val="22"/>
          <w:szCs w:val="22"/>
        </w:rPr>
      </w:pPr>
      <w:r>
        <w:rPr>
          <w:rFonts w:ascii="PT Astra Serif" w:hAnsi="PT Astra Serif"/>
          <w:b/>
          <w:bCs/>
          <w:sz w:val="22"/>
          <w:szCs w:val="22"/>
        </w:rPr>
      </w:r>
    </w:p>
    <w:p>
      <w:pPr>
        <w:pStyle w:val="Normal"/>
        <w:spacing w:lineRule="auto" w:line="240" w:before="0" w:after="0"/>
        <w:jc w:val="center"/>
        <w:rPr>
          <w:rFonts w:ascii="PT Astra Serif" w:hAnsi="PT Astra Serif"/>
          <w:b/>
          <w:bCs/>
          <w:sz w:val="22"/>
          <w:szCs w:val="22"/>
        </w:rPr>
      </w:pPr>
      <w:r>
        <w:rPr>
          <w:rFonts w:ascii="PT Astra Serif" w:hAnsi="PT Astra Serif"/>
          <w:b/>
          <w:bCs/>
          <w:sz w:val="22"/>
          <w:szCs w:val="22"/>
        </w:rPr>
      </w:r>
    </w:p>
    <w:p>
      <w:pPr>
        <w:pStyle w:val="ListParagraph"/>
        <w:numPr>
          <w:ilvl w:val="0"/>
          <w:numId w:val="1"/>
        </w:numPr>
        <w:tabs>
          <w:tab w:val="clear" w:pos="708"/>
          <w:tab w:val="left" w:pos="709" w:leader="none"/>
        </w:tabs>
        <w:jc w:val="center"/>
        <w:rPr>
          <w:rFonts w:ascii="PT Astra Serif" w:hAnsi="PT Astra Serif"/>
          <w:b/>
          <w:sz w:val="22"/>
          <w:szCs w:val="22"/>
        </w:rPr>
      </w:pPr>
      <w:r>
        <w:rPr>
          <w:rFonts w:ascii="PT Astra Serif" w:hAnsi="PT Astra Serif"/>
          <w:b/>
          <w:sz w:val="22"/>
          <w:szCs w:val="22"/>
        </w:rPr>
        <w:t>Общие положения</w:t>
      </w:r>
    </w:p>
    <w:p>
      <w:pPr>
        <w:pStyle w:val="ListParagraph"/>
        <w:tabs>
          <w:tab w:val="clear" w:pos="708"/>
          <w:tab w:val="left" w:pos="709" w:leader="none"/>
        </w:tabs>
        <w:rPr>
          <w:rFonts w:ascii="PT Astra Serif" w:hAnsi="PT Astra Serif"/>
          <w:b/>
          <w:sz w:val="22"/>
          <w:szCs w:val="22"/>
        </w:rPr>
      </w:pPr>
      <w:r>
        <w:rPr>
          <w:rFonts w:ascii="PT Astra Serif" w:hAnsi="PT Astra Serif"/>
          <w:b/>
          <w:sz w:val="22"/>
          <w:szCs w:val="22"/>
        </w:rPr>
      </w:r>
    </w:p>
    <w:p>
      <w:pPr>
        <w:pStyle w:val="Normal"/>
        <w:tabs>
          <w:tab w:val="clear" w:pos="708"/>
          <w:tab w:val="left" w:pos="4820" w:leader="none"/>
          <w:tab w:val="left" w:pos="7230" w:leader="none"/>
        </w:tabs>
        <w:spacing w:lineRule="auto" w:line="240" w:before="0" w:after="0"/>
        <w:ind w:firstLine="709"/>
        <w:jc w:val="both"/>
        <w:rPr>
          <w:rFonts w:ascii="PT Astra Serif" w:hAnsi="PT Astra Serif"/>
          <w:sz w:val="22"/>
          <w:szCs w:val="22"/>
        </w:rPr>
      </w:pPr>
      <w:r>
        <w:rPr>
          <w:rFonts w:ascii="PT Astra Serif" w:hAnsi="PT Astra Serif"/>
          <w:b/>
          <w:sz w:val="22"/>
          <w:szCs w:val="22"/>
        </w:rPr>
        <w:t>1.1.</w:t>
      </w:r>
      <w:r>
        <w:rPr>
          <w:rFonts w:ascii="PT Astra Serif" w:hAnsi="PT Astra Serif"/>
          <w:sz w:val="22"/>
          <w:szCs w:val="22"/>
        </w:rPr>
        <w:t xml:space="preserve"> В соответствии с частью 1 статьи 22 Федерального закона от 05.04.2013 №44-ФЗ </w:t>
        <w:br/>
        <w:t xml:space="preserve">«О контрактной системе в сфере закупок товаров, работ, услуг для обеспечения государственных </w:t>
        <w:br/>
        <w:t>и муниципальных нужд» (далее – Федеральный закон №44-ФЗ) для обоснования начальной (максимальной) цены контракта по минимальному ценовому предложению на поставку товаров, применен метод сопоставимых рыночных цен.</w:t>
      </w:r>
    </w:p>
    <w:p>
      <w:pPr>
        <w:pStyle w:val="Normal"/>
        <w:tabs>
          <w:tab w:val="clear" w:pos="708"/>
          <w:tab w:val="left" w:pos="4820" w:leader="none"/>
          <w:tab w:val="left" w:pos="7230" w:leader="none"/>
        </w:tabs>
        <w:spacing w:lineRule="auto" w:line="240" w:before="0" w:after="0"/>
        <w:ind w:firstLine="709"/>
        <w:jc w:val="both"/>
        <w:rPr>
          <w:rFonts w:ascii="PT Astra Serif" w:hAnsi="PT Astra Serif"/>
          <w:sz w:val="22"/>
          <w:szCs w:val="22"/>
        </w:rPr>
      </w:pPr>
      <w:r>
        <w:rPr>
          <w:rFonts w:ascii="PT Astra Serif" w:hAnsi="PT Astra Serif"/>
          <w:b/>
          <w:sz w:val="22"/>
          <w:szCs w:val="22"/>
        </w:rPr>
        <w:t>1.2.</w:t>
      </w:r>
      <w:r>
        <w:rPr>
          <w:rFonts w:ascii="PT Astra Serif" w:hAnsi="PT Astra Serif"/>
          <w:sz w:val="22"/>
          <w:szCs w:val="22"/>
        </w:rPr>
        <w:t xml:space="preserve"> Первоначальная цена, определяется исходя из минимальной цены за 1 м. товара, удовлетворяющего требованиям заказчика, определенной по результатам анализа источников информации о цене товаров (с учетом доставки и транспортных расходов), являющегося предметом закупки (коммерческие предложения), а также исходя из принципа результативности </w:t>
        <w:br/>
        <w:t xml:space="preserve">и эффективности использования бюджетных средств. В соответствии с ч. 2 ст. 72 Бюджетного кодекса РФ государственные (муниципальные) контракты заключаются и оплачиваются </w:t>
        <w:br/>
        <w:t>в пределах лимитов бюджетных обязательств, 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w:t>
      </w:r>
    </w:p>
    <w:p>
      <w:pPr>
        <w:pStyle w:val="Normal"/>
        <w:tabs>
          <w:tab w:val="clear" w:pos="708"/>
          <w:tab w:val="left" w:pos="4820" w:leader="none"/>
          <w:tab w:val="left" w:pos="7230" w:leader="none"/>
        </w:tabs>
        <w:spacing w:lineRule="auto" w:line="240" w:before="0" w:after="0"/>
        <w:ind w:firstLine="709"/>
        <w:jc w:val="both"/>
        <w:rPr>
          <w:rFonts w:ascii="PT Astra Serif" w:hAnsi="PT Astra Serif"/>
          <w:sz w:val="22"/>
          <w:szCs w:val="22"/>
        </w:rPr>
      </w:pPr>
      <w:r>
        <w:rPr>
          <w:rFonts w:ascii="PT Astra Serif" w:hAnsi="PT Astra Serif"/>
          <w:b/>
          <w:sz w:val="22"/>
          <w:szCs w:val="22"/>
        </w:rPr>
        <w:t>1.3.</w:t>
      </w:r>
      <w:r>
        <w:rPr>
          <w:rFonts w:ascii="PT Astra Serif" w:hAnsi="PT Astra Serif"/>
          <w:sz w:val="22"/>
          <w:szCs w:val="22"/>
        </w:rPr>
        <w:t xml:space="preserve"> В цену включаются стоимость товаров в соответствии с установленными требованиями и иные расходы в соответствии с условиями контракта.</w:t>
      </w:r>
    </w:p>
    <w:p>
      <w:pPr>
        <w:pStyle w:val="Normal"/>
        <w:tabs>
          <w:tab w:val="clear" w:pos="708"/>
          <w:tab w:val="left" w:pos="4820" w:leader="none"/>
          <w:tab w:val="left" w:pos="7230" w:leader="none"/>
        </w:tabs>
        <w:spacing w:lineRule="auto" w:line="240" w:before="0" w:after="0"/>
        <w:ind w:firstLine="709"/>
        <w:jc w:val="both"/>
        <w:rPr>
          <w:rFonts w:ascii="PT Astra Serif" w:hAnsi="PT Astra Serif"/>
          <w:sz w:val="22"/>
          <w:szCs w:val="22"/>
        </w:rPr>
      </w:pPr>
      <w:r>
        <w:rPr>
          <w:rFonts w:ascii="PT Astra Serif" w:hAnsi="PT Astra Serif"/>
          <w:b/>
          <w:sz w:val="22"/>
          <w:szCs w:val="22"/>
        </w:rPr>
        <w:t>1.4.</w:t>
      </w:r>
      <w:r>
        <w:rPr>
          <w:rFonts w:ascii="PT Astra Serif" w:hAnsi="PT Astra Serif"/>
          <w:sz w:val="22"/>
          <w:szCs w:val="22"/>
        </w:rPr>
        <w:t xml:space="preserve">  Срок исполнения – в соответствии с условиями ГК.</w:t>
      </w:r>
    </w:p>
    <w:p>
      <w:pPr>
        <w:pStyle w:val="Normal"/>
        <w:tabs>
          <w:tab w:val="clear" w:pos="708"/>
          <w:tab w:val="left" w:pos="4820" w:leader="none"/>
          <w:tab w:val="left" w:pos="7230" w:leader="none"/>
        </w:tabs>
        <w:spacing w:lineRule="auto" w:line="240" w:before="0" w:after="0"/>
        <w:ind w:firstLine="709"/>
        <w:jc w:val="both"/>
        <w:rPr>
          <w:rFonts w:ascii="PT Astra Serif" w:hAnsi="PT Astra Serif"/>
          <w:sz w:val="22"/>
          <w:szCs w:val="22"/>
        </w:rPr>
      </w:pPr>
      <w:r>
        <w:rPr>
          <w:rFonts w:ascii="PT Astra Serif" w:hAnsi="PT Astra Serif"/>
          <w:sz w:val="22"/>
          <w:szCs w:val="22"/>
        </w:rPr>
      </w:r>
    </w:p>
    <w:p>
      <w:pPr>
        <w:pStyle w:val="Normal"/>
        <w:tabs>
          <w:tab w:val="clear" w:pos="708"/>
          <w:tab w:val="left" w:pos="4820" w:leader="none"/>
          <w:tab w:val="left" w:pos="7230" w:leader="none"/>
        </w:tabs>
        <w:spacing w:lineRule="auto" w:line="240" w:before="0" w:after="0"/>
        <w:ind w:firstLine="709"/>
        <w:jc w:val="center"/>
        <w:rPr>
          <w:rFonts w:ascii="PT Astra Serif" w:hAnsi="PT Astra Serif"/>
          <w:b/>
          <w:sz w:val="22"/>
          <w:szCs w:val="22"/>
        </w:rPr>
      </w:pPr>
      <w:r>
        <w:rPr>
          <w:rFonts w:ascii="PT Astra Serif" w:hAnsi="PT Astra Serif"/>
          <w:b/>
          <w:sz w:val="22"/>
          <w:szCs w:val="22"/>
        </w:rPr>
        <w:t>2. Источники информации</w:t>
      </w:r>
    </w:p>
    <w:p>
      <w:pPr>
        <w:pStyle w:val="Normal"/>
        <w:tabs>
          <w:tab w:val="clear" w:pos="708"/>
          <w:tab w:val="left" w:pos="4820" w:leader="none"/>
          <w:tab w:val="left" w:pos="7230" w:leader="none"/>
        </w:tabs>
        <w:spacing w:lineRule="auto" w:line="240" w:before="0" w:after="0"/>
        <w:ind w:firstLine="709"/>
        <w:jc w:val="center"/>
        <w:rPr>
          <w:rFonts w:ascii="PT Astra Serif" w:hAnsi="PT Astra Serif"/>
          <w:b/>
          <w:sz w:val="22"/>
          <w:szCs w:val="22"/>
        </w:rPr>
      </w:pPr>
      <w:r>
        <w:rPr>
          <w:rFonts w:ascii="PT Astra Serif" w:hAnsi="PT Astra Serif"/>
          <w:b/>
          <w:sz w:val="22"/>
          <w:szCs w:val="22"/>
        </w:rPr>
      </w:r>
    </w:p>
    <w:p>
      <w:pPr>
        <w:pStyle w:val="Normal"/>
        <w:spacing w:lineRule="auto" w:line="240" w:before="0" w:after="0"/>
        <w:ind w:firstLine="708"/>
        <w:jc w:val="both"/>
        <w:rPr>
          <w:rFonts w:ascii="PT Astra Serif" w:hAnsi="PT Astra Serif"/>
          <w:sz w:val="22"/>
          <w:szCs w:val="22"/>
        </w:rPr>
      </w:pPr>
      <w:r>
        <w:rPr>
          <w:rFonts w:ascii="PT Astra Serif" w:hAnsi="PT Astra Serif"/>
          <w:b/>
          <w:sz w:val="22"/>
          <w:szCs w:val="22"/>
        </w:rPr>
        <w:t>2.1.</w:t>
      </w:r>
      <w:r>
        <w:rPr>
          <w:rFonts w:ascii="PT Astra Serif" w:hAnsi="PT Astra Serif"/>
          <w:sz w:val="22"/>
          <w:szCs w:val="22"/>
        </w:rPr>
        <w:t xml:space="preserve"> Для определения цены контракта по минимальному ценовому предложению проанализированы цены следующих источников информации (документы, содержащие ценовую информацию, хранятся в делопроизводстве ФКУ ОК УФСИН России по Ханты-Мансийскому автономному округу – Югре и использованы для расчета минимальной цены контракта):</w:t>
      </w:r>
    </w:p>
    <w:p>
      <w:pPr>
        <w:pStyle w:val="Normal"/>
        <w:spacing w:lineRule="auto" w:line="240" w:before="0" w:after="0"/>
        <w:ind w:firstLine="708"/>
        <w:jc w:val="both"/>
        <w:rPr>
          <w:rFonts w:ascii="PT Astra Serif" w:hAnsi="PT Astra Serif"/>
          <w:sz w:val="22"/>
          <w:szCs w:val="22"/>
        </w:rPr>
      </w:pPr>
      <w:r>
        <w:rPr>
          <w:rFonts w:ascii="PT Astra Serif" w:hAnsi="PT Astra Serif"/>
          <w:sz w:val="22"/>
          <w:szCs w:val="22"/>
        </w:rPr>
      </w:r>
    </w:p>
    <w:tbl>
      <w:tblPr>
        <w:tblW w:w="93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40"/>
        <w:gridCol w:w="4110"/>
      </w:tblGrid>
      <w:tr>
        <w:trPr>
          <w:trHeight w:val="473" w:hRule="atLeast"/>
        </w:trPr>
        <w:tc>
          <w:tcPr>
            <w:tcW w:w="52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jc w:val="center"/>
              <w:rPr>
                <w:rFonts w:ascii="PT Astra Serif" w:hAnsi="PT Astra Serif"/>
                <w:sz w:val="22"/>
                <w:szCs w:val="22"/>
              </w:rPr>
            </w:pPr>
            <w:r>
              <w:rPr>
                <w:rFonts w:ascii="PT Astra Serif" w:hAnsi="PT Astra Serif"/>
                <w:sz w:val="22"/>
                <w:szCs w:val="22"/>
              </w:rPr>
              <w:t>Источник информации</w:t>
            </w:r>
          </w:p>
        </w:tc>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jc w:val="center"/>
              <w:rPr>
                <w:rFonts w:ascii="PT Astra Serif" w:hAnsi="PT Astra Serif"/>
                <w:sz w:val="22"/>
                <w:szCs w:val="22"/>
              </w:rPr>
            </w:pPr>
            <w:r>
              <w:rPr>
                <w:rFonts w:ascii="PT Astra Serif" w:hAnsi="PT Astra Serif"/>
                <w:sz w:val="22"/>
                <w:szCs w:val="22"/>
              </w:rPr>
              <w:t>Контактные данные</w:t>
            </w:r>
          </w:p>
        </w:tc>
      </w:tr>
      <w:tr>
        <w:trPr>
          <w:trHeight w:val="423" w:hRule="atLeast"/>
        </w:trPr>
        <w:tc>
          <w:tcPr>
            <w:tcW w:w="52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rPr>
                <w:rFonts w:ascii="PT Astra Serif" w:hAnsi="PT Astra Serif"/>
                <w:sz w:val="22"/>
                <w:szCs w:val="22"/>
              </w:rPr>
            </w:pPr>
            <w:r>
              <w:rPr>
                <w:rFonts w:ascii="PT Astra Serif" w:hAnsi="PT Astra Serif"/>
                <w:sz w:val="22"/>
                <w:szCs w:val="22"/>
              </w:rPr>
              <w:t>Поставщик №1 (вх. № 80/ТО/51-840 от 28.07.2026)</w:t>
            </w:r>
          </w:p>
        </w:tc>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jc w:val="center"/>
              <w:rPr>
                <w:rFonts w:ascii="PT Astra Serif" w:hAnsi="PT Astra Serif"/>
                <w:sz w:val="22"/>
                <w:szCs w:val="22"/>
              </w:rPr>
            </w:pPr>
            <w:r>
              <w:rPr>
                <w:rFonts w:ascii="PT Astra Serif" w:hAnsi="PT Astra Serif"/>
                <w:sz w:val="22"/>
                <w:szCs w:val="22"/>
              </w:rPr>
              <w:t>коммерческое предложение</w:t>
            </w:r>
          </w:p>
        </w:tc>
      </w:tr>
      <w:tr>
        <w:trPr>
          <w:trHeight w:val="416" w:hRule="atLeast"/>
        </w:trPr>
        <w:tc>
          <w:tcPr>
            <w:tcW w:w="52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rPr>
                <w:rFonts w:ascii="PT Astra Serif" w:hAnsi="PT Astra Serif"/>
                <w:sz w:val="22"/>
                <w:szCs w:val="22"/>
              </w:rPr>
            </w:pPr>
            <w:r>
              <w:rPr>
                <w:rFonts w:ascii="PT Astra Serif" w:hAnsi="PT Astra Serif"/>
                <w:sz w:val="22"/>
                <w:szCs w:val="22"/>
              </w:rPr>
              <w:t>Поставщик №2 (вх. № 80/ТО/51-841 от 28.07.2026)</w:t>
            </w:r>
          </w:p>
        </w:tc>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jc w:val="center"/>
              <w:rPr>
                <w:rFonts w:ascii="PT Astra Serif" w:hAnsi="PT Astra Serif"/>
                <w:sz w:val="22"/>
                <w:szCs w:val="22"/>
              </w:rPr>
            </w:pPr>
            <w:r>
              <w:rPr>
                <w:rFonts w:ascii="PT Astra Serif" w:hAnsi="PT Astra Serif"/>
                <w:sz w:val="22"/>
                <w:szCs w:val="22"/>
              </w:rPr>
              <w:t>коммерческое предложение</w:t>
            </w:r>
          </w:p>
        </w:tc>
      </w:tr>
      <w:tr>
        <w:trPr>
          <w:trHeight w:val="421" w:hRule="atLeast"/>
        </w:trPr>
        <w:tc>
          <w:tcPr>
            <w:tcW w:w="52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rPr>
                <w:rFonts w:ascii="PT Astra Serif" w:hAnsi="PT Astra Serif"/>
                <w:sz w:val="22"/>
                <w:szCs w:val="22"/>
              </w:rPr>
            </w:pPr>
            <w:r>
              <w:rPr>
                <w:rFonts w:ascii="PT Astra Serif" w:hAnsi="PT Astra Serif"/>
                <w:sz w:val="22"/>
                <w:szCs w:val="22"/>
              </w:rPr>
              <w:t>Поставщик №3 (вх. № 80/ТО/51-842 от 28.07.2026)</w:t>
            </w:r>
          </w:p>
        </w:tc>
        <w:tc>
          <w:tcPr>
            <w:tcW w:w="411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jc w:val="center"/>
              <w:rPr>
                <w:rFonts w:ascii="PT Astra Serif" w:hAnsi="PT Astra Serif"/>
                <w:sz w:val="22"/>
                <w:szCs w:val="22"/>
              </w:rPr>
            </w:pPr>
            <w:r>
              <w:rPr>
                <w:rFonts w:ascii="PT Astra Serif" w:hAnsi="PT Astra Serif"/>
                <w:sz w:val="22"/>
                <w:szCs w:val="22"/>
              </w:rPr>
              <w:t>коммерческое предложение</w:t>
            </w:r>
          </w:p>
        </w:tc>
      </w:tr>
    </w:tbl>
    <w:p>
      <w:pPr>
        <w:pStyle w:val="Normal"/>
        <w:spacing w:lineRule="auto" w:line="240" w:before="0" w:after="0"/>
        <w:ind w:firstLine="708"/>
        <w:jc w:val="both"/>
        <w:rPr>
          <w:rFonts w:ascii="PT Astra Serif" w:hAnsi="PT Astra Serif"/>
          <w:bCs/>
          <w:sz w:val="22"/>
          <w:szCs w:val="22"/>
        </w:rPr>
      </w:pPr>
      <w:r>
        <w:rPr>
          <w:rFonts w:ascii="PT Astra Serif" w:hAnsi="PT Astra Serif"/>
          <w:bCs/>
          <w:sz w:val="22"/>
          <w:szCs w:val="22"/>
        </w:rPr>
      </w:r>
    </w:p>
    <w:p>
      <w:pPr>
        <w:pStyle w:val="Normal"/>
        <w:spacing w:lineRule="auto" w:line="240" w:before="0" w:after="0"/>
        <w:ind w:firstLine="708"/>
        <w:jc w:val="both"/>
        <w:rPr>
          <w:rFonts w:ascii="PT Astra Serif" w:hAnsi="PT Astra Serif"/>
          <w:b/>
          <w:bCs/>
          <w:sz w:val="22"/>
          <w:szCs w:val="22"/>
        </w:rPr>
      </w:pPr>
      <w:r>
        <w:rPr>
          <w:rFonts w:ascii="PT Astra Serif" w:hAnsi="PT Astra Serif"/>
          <w:b/>
          <w:bCs/>
          <w:sz w:val="22"/>
          <w:szCs w:val="22"/>
        </w:rPr>
        <w:t>3. Экономический анализ исследования минимальных ценовых предложений</w:t>
      </w:r>
    </w:p>
    <w:p>
      <w:pPr>
        <w:pStyle w:val="Normal"/>
        <w:spacing w:lineRule="auto" w:line="240" w:before="0" w:after="0"/>
        <w:ind w:firstLine="708"/>
        <w:jc w:val="both"/>
        <w:rPr>
          <w:rFonts w:ascii="PT Astra Serif" w:hAnsi="PT Astra Serif"/>
          <w:b/>
          <w:bCs/>
          <w:sz w:val="22"/>
          <w:szCs w:val="22"/>
        </w:rPr>
      </w:pPr>
      <w:r>
        <w:rPr>
          <w:rFonts w:ascii="PT Astra Serif" w:hAnsi="PT Astra Serif"/>
          <w:b/>
          <w:bCs/>
          <w:sz w:val="22"/>
          <w:szCs w:val="22"/>
        </w:rPr>
      </w:r>
    </w:p>
    <w:p>
      <w:pPr>
        <w:pStyle w:val="Normal"/>
        <w:spacing w:lineRule="auto" w:line="240" w:before="0" w:after="0"/>
        <w:ind w:firstLine="708"/>
        <w:jc w:val="both"/>
        <w:rPr>
          <w:rFonts w:ascii="PT Astra Serif" w:hAnsi="PT Astra Serif"/>
          <w:sz w:val="22"/>
          <w:szCs w:val="22"/>
        </w:rPr>
      </w:pPr>
      <w:r>
        <w:rPr>
          <w:rFonts w:ascii="PT Astra Serif" w:hAnsi="PT Astra Serif"/>
          <w:b/>
          <w:sz w:val="22"/>
          <w:szCs w:val="22"/>
        </w:rPr>
        <w:t>3.1.</w:t>
      </w:r>
      <w:r>
        <w:rPr>
          <w:rFonts w:ascii="PT Astra Serif" w:hAnsi="PT Astra Serif"/>
          <w:sz w:val="22"/>
          <w:szCs w:val="22"/>
        </w:rPr>
        <w:t xml:space="preserve"> В целях определения цены контракта методом анализа рынка с исследованием минимальной цены использована информация о цене за 1 м.</w:t>
      </w:r>
    </w:p>
    <w:p>
      <w:pPr>
        <w:pStyle w:val="Normal"/>
        <w:spacing w:lineRule="auto" w:line="240" w:before="0" w:after="0"/>
        <w:ind w:firstLine="708"/>
        <w:jc w:val="both"/>
        <w:rPr>
          <w:rFonts w:ascii="PT Astra Serif" w:hAnsi="PT Astra Serif"/>
          <w:sz w:val="22"/>
          <w:szCs w:val="22"/>
        </w:rPr>
      </w:pPr>
      <w:r>
        <w:rPr>
          <w:rFonts w:ascii="PT Astra Serif" w:hAnsi="PT Astra Serif"/>
          <w:b/>
          <w:sz w:val="22"/>
          <w:szCs w:val="22"/>
        </w:rPr>
        <w:t>3.2.</w:t>
      </w:r>
      <w:r>
        <w:rPr>
          <w:rFonts w:ascii="PT Astra Serif" w:hAnsi="PT Astra Serif"/>
          <w:sz w:val="22"/>
          <w:szCs w:val="22"/>
        </w:rPr>
        <w:t xml:space="preserve"> Обоснование цены контракта по минимальному ценовому предложению.</w:t>
      </w:r>
    </w:p>
    <w:tbl>
      <w:tblPr>
        <w:tblW w:w="9323" w:type="dxa"/>
        <w:jc w:val="left"/>
        <w:tblInd w:w="-85" w:type="dxa"/>
        <w:tblLayout w:type="fixed"/>
        <w:tblCellMar>
          <w:top w:w="0" w:type="dxa"/>
          <w:left w:w="28" w:type="dxa"/>
          <w:bottom w:w="0" w:type="dxa"/>
          <w:right w:w="28" w:type="dxa"/>
        </w:tblCellMar>
        <w:tblLook w:val="04a0" w:noHBand="0" w:noVBand="1" w:firstColumn="1" w:lastRow="0" w:lastColumn="0" w:firstRow="1"/>
      </w:tblPr>
      <w:tblGrid>
        <w:gridCol w:w="2268"/>
        <w:gridCol w:w="426"/>
        <w:gridCol w:w="1133"/>
        <w:gridCol w:w="1134"/>
        <w:gridCol w:w="1134"/>
        <w:gridCol w:w="993"/>
        <w:gridCol w:w="1133"/>
        <w:gridCol w:w="1101"/>
      </w:tblGrid>
      <w:tr>
        <w:trPr>
          <w:trHeight w:val="698" w:hRule="atLeast"/>
          <w:cantSplit w:val="true"/>
        </w:trPr>
        <w:tc>
          <w:tcPr>
            <w:tcW w:w="226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t>Наименование</w:t>
            </w:r>
          </w:p>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t>объекта закупки</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pPr>
              <w:pStyle w:val="Normal"/>
              <w:tabs>
                <w:tab w:val="clear" w:pos="708"/>
                <w:tab w:val="left" w:pos="4820" w:leader="none"/>
                <w:tab w:val="left" w:pos="7230" w:leader="none"/>
              </w:tabs>
              <w:suppressAutoHyphens w:val="true"/>
              <w:spacing w:lineRule="auto" w:line="240" w:before="0" w:after="0"/>
              <w:ind w:left="113" w:right="113"/>
              <w:jc w:val="center"/>
              <w:rPr>
                <w:rFonts w:ascii="PT Astra Serif" w:hAnsi="PT Astra Serif"/>
              </w:rPr>
            </w:pPr>
            <w:r>
              <w:rPr>
                <w:rFonts w:ascii="PT Astra Serif" w:hAnsi="PT Astra Serif"/>
              </w:rPr>
              <w:t>Кол-во, м.</w:t>
            </w:r>
          </w:p>
        </w:tc>
        <w:tc>
          <w:tcPr>
            <w:tcW w:w="226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Поставщик №1</w:t>
            </w:r>
          </w:p>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(вх. № 80/ТО/51-840</w:t>
            </w:r>
          </w:p>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от 28.07.2026)</w:t>
            </w:r>
          </w:p>
        </w:tc>
        <w:tc>
          <w:tcPr>
            <w:tcW w:w="212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center"/>
              <w:rPr>
                <w:rFonts w:ascii="PT Astra Serif" w:hAnsi="PT Astra Serif"/>
              </w:rPr>
            </w:pPr>
            <w:r>
              <w:rPr>
                <w:rFonts w:ascii="PT Astra Serif" w:hAnsi="PT Astra Serif"/>
              </w:rPr>
              <w:t>Поставщик №2</w:t>
            </w:r>
          </w:p>
          <w:p>
            <w:pPr>
              <w:pStyle w:val="Normal"/>
              <w:suppressAutoHyphens w:val="true"/>
              <w:spacing w:lineRule="auto" w:line="240" w:before="0" w:after="0"/>
              <w:jc w:val="center"/>
              <w:rPr>
                <w:rFonts w:ascii="PT Astra Serif" w:hAnsi="PT Astra Serif"/>
              </w:rPr>
            </w:pPr>
            <w:r>
              <w:rPr>
                <w:rFonts w:ascii="PT Astra Serif" w:hAnsi="PT Astra Serif"/>
              </w:rPr>
              <w:t>(вх. № 80/ТО/51-841</w:t>
            </w:r>
          </w:p>
          <w:p>
            <w:pPr>
              <w:pStyle w:val="Normal"/>
              <w:suppressAutoHyphens w:val="true"/>
              <w:spacing w:lineRule="auto" w:line="240" w:before="0" w:after="0"/>
              <w:jc w:val="center"/>
              <w:rPr>
                <w:rFonts w:ascii="PT Astra Serif" w:hAnsi="PT Astra Serif"/>
              </w:rPr>
            </w:pPr>
            <w:r>
              <w:rPr>
                <w:rFonts w:ascii="PT Astra Serif" w:hAnsi="PT Astra Serif"/>
              </w:rPr>
              <w:t>от 28.07.2026)</w:t>
            </w:r>
          </w:p>
        </w:tc>
        <w:tc>
          <w:tcPr>
            <w:tcW w:w="223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center"/>
              <w:rPr>
                <w:rFonts w:ascii="PT Astra Serif" w:hAnsi="PT Astra Serif"/>
              </w:rPr>
            </w:pPr>
            <w:r>
              <w:rPr>
                <w:rFonts w:ascii="PT Astra Serif" w:hAnsi="PT Astra Serif"/>
              </w:rPr>
              <w:t>Поставщик №3</w:t>
            </w:r>
          </w:p>
          <w:p>
            <w:pPr>
              <w:pStyle w:val="Normal"/>
              <w:suppressAutoHyphens w:val="true"/>
              <w:spacing w:lineRule="auto" w:line="240" w:before="0" w:after="0"/>
              <w:jc w:val="center"/>
              <w:rPr>
                <w:rFonts w:ascii="PT Astra Serif" w:hAnsi="PT Astra Serif"/>
                <w:bCs/>
                <w:color w:val="000000"/>
              </w:rPr>
            </w:pPr>
            <w:r>
              <w:rPr>
                <w:rFonts w:ascii="PT Astra Serif" w:hAnsi="PT Astra Serif"/>
              </w:rPr>
              <w:t>(вх. № 80/ТО/51-842</w:t>
              <w:br/>
              <w:t>от 28.07.2026)</w:t>
            </w:r>
          </w:p>
        </w:tc>
      </w:tr>
      <w:tr>
        <w:trPr>
          <w:trHeight w:val="554" w:hRule="atLeast"/>
          <w:cantSplit w:val="true"/>
        </w:trPr>
        <w:tc>
          <w:tcPr>
            <w:tcW w:w="226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r>
          </w:p>
        </w:tc>
        <w:tc>
          <w:tcPr>
            <w:tcW w:w="426" w:type="dxa"/>
            <w:vMerge w:val="continue"/>
            <w:tcBorders>
              <w:top w:val="single" w:sz="4" w:space="0" w:color="000000"/>
              <w:left w:val="single" w:sz="4" w:space="0" w:color="000000"/>
              <w:bottom w:val="single" w:sz="4" w:space="0" w:color="000000"/>
              <w:right w:val="single" w:sz="4" w:space="0" w:color="000000"/>
            </w:tcBorders>
            <w:textDirection w:val="btLr"/>
            <w:vAlign w:val="center"/>
          </w:tcPr>
          <w:p>
            <w:pPr>
              <w:pStyle w:val="Normal"/>
              <w:tabs>
                <w:tab w:val="clear" w:pos="708"/>
                <w:tab w:val="left" w:pos="4820" w:leader="none"/>
                <w:tab w:val="left" w:pos="7230" w:leader="none"/>
              </w:tabs>
              <w:suppressAutoHyphens w:val="true"/>
              <w:spacing w:lineRule="auto" w:line="240" w:before="0" w:after="0"/>
              <w:ind w:left="113" w:right="113"/>
              <w:jc w:val="center"/>
              <w:rPr>
                <w:rFonts w:ascii="PT Astra Serif" w:hAnsi="PT Astra Serif"/>
              </w:rPr>
            </w:pPr>
            <w:r>
              <w:rPr>
                <w:rFonts w:ascii="PT Astra Serif" w:hAnsi="PT Astra Serif"/>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Цена</w:t>
            </w:r>
          </w:p>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за м., руб.</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Сумма,</w:t>
            </w:r>
          </w:p>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руб.</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Цена</w:t>
            </w:r>
          </w:p>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за м., руб.</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Сумма,</w:t>
            </w:r>
          </w:p>
          <w:p>
            <w:pPr>
              <w:pStyle w:val="Normal"/>
              <w:suppressAutoHyphens w:val="true"/>
              <w:spacing w:lineRule="auto" w:line="240" w:before="0" w:after="0"/>
              <w:jc w:val="center"/>
              <w:rPr>
                <w:rFonts w:ascii="PT Astra Serif" w:hAnsi="PT Astra Serif"/>
                <w:bCs/>
                <w:color w:val="000000"/>
              </w:rPr>
            </w:pPr>
            <w:r>
              <w:rPr>
                <w:rFonts w:ascii="PT Astra Serif" w:hAnsi="PT Astra Serif"/>
              </w:rPr>
              <w:t>руб.</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Цена</w:t>
            </w:r>
          </w:p>
          <w:p>
            <w:pPr>
              <w:pStyle w:val="Normal"/>
              <w:suppressAutoHyphens w:val="true"/>
              <w:spacing w:lineRule="auto" w:line="240" w:before="0" w:after="0"/>
              <w:jc w:val="center"/>
              <w:rPr>
                <w:rFonts w:ascii="PT Astra Serif" w:hAnsi="PT Astra Serif"/>
                <w:bCs/>
                <w:color w:val="000000"/>
              </w:rPr>
            </w:pPr>
            <w:r>
              <w:rPr>
                <w:rFonts w:ascii="PT Astra Serif" w:hAnsi="PT Astra Serif"/>
              </w:rPr>
              <w:t>за м., руб.</w:t>
            </w:r>
          </w:p>
        </w:tc>
        <w:tc>
          <w:tcPr>
            <w:tcW w:w="11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Сумма,</w:t>
            </w:r>
          </w:p>
          <w:p>
            <w:pPr>
              <w:pStyle w:val="Normal"/>
              <w:suppressAutoHyphens w:val="true"/>
              <w:spacing w:lineRule="auto" w:line="240" w:before="0" w:after="0"/>
              <w:jc w:val="center"/>
              <w:rPr>
                <w:rFonts w:ascii="PT Astra Serif" w:hAnsi="PT Astra Serif"/>
                <w:bCs/>
                <w:color w:val="000000"/>
              </w:rPr>
            </w:pPr>
            <w:r>
              <w:rPr>
                <w:rFonts w:ascii="PT Astra Serif" w:hAnsi="PT Astra Serif"/>
              </w:rPr>
              <w:t>руб.</w:t>
            </w:r>
          </w:p>
        </w:tc>
      </w:tr>
      <w:tr>
        <w:trPr>
          <w:trHeight w:val="1644" w:hRule="atLeast"/>
          <w:cantSplit w:val="true"/>
        </w:trPr>
        <w:tc>
          <w:tcPr>
            <w:tcW w:w="22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PT Astra Serif" w:hAnsi="PT Astra Serif"/>
              </w:rPr>
            </w:pPr>
            <w:r>
              <w:rPr>
                <w:rFonts w:ascii="PT Astra Serif" w:hAnsi="PT Astra Serif"/>
              </w:rPr>
              <w:t>Уплотнитель проема двери армированный металлом У-912641</w:t>
            </w:r>
          </w:p>
        </w:tc>
        <w:tc>
          <w:tcPr>
            <w:tcW w:w="42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t>14</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230,00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3 220,00</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250,00</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3 500,00</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center"/>
              <w:rPr>
                <w:rFonts w:ascii="PT Astra Serif" w:hAnsi="PT Astra Serif"/>
              </w:rPr>
            </w:pPr>
            <w:r>
              <w:rPr>
                <w:rFonts w:ascii="PT Astra Serif" w:hAnsi="PT Astra Serif"/>
              </w:rPr>
              <w:t>285,00</w:t>
            </w:r>
          </w:p>
        </w:tc>
        <w:tc>
          <w:tcPr>
            <w:tcW w:w="11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3 990,00</w:t>
            </w:r>
          </w:p>
        </w:tc>
      </w:tr>
      <w:tr>
        <w:trPr>
          <w:trHeight w:val="1644" w:hRule="atLeast"/>
          <w:cantSplit w:val="true"/>
        </w:trPr>
        <w:tc>
          <w:tcPr>
            <w:tcW w:w="22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PT Astra Serif" w:hAnsi="PT Astra Serif" w:cs="Arial"/>
                <w:color w:val="000000"/>
              </w:rPr>
            </w:pPr>
            <w:r>
              <w:rPr>
                <w:rFonts w:ascii="PT Astra Serif" w:hAnsi="PT Astra Serif"/>
              </w:rPr>
              <w:t>Уплотнитель проема двери армированный металлом У-912641</w:t>
            </w:r>
          </w:p>
        </w:tc>
        <w:tc>
          <w:tcPr>
            <w:tcW w:w="42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242,41</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242,41</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bookmarkStart w:id="0" w:name="_GoBack"/>
            <w:bookmarkEnd w:id="0"/>
            <w:r>
              <w:rPr>
                <w:rFonts w:ascii="PT Astra Serif" w:hAnsi="PT Astra Serif"/>
              </w:rPr>
              <w:t>250,00</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250,00</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center"/>
              <w:rPr>
                <w:rFonts w:ascii="PT Astra Serif" w:hAnsi="PT Astra Serif"/>
              </w:rPr>
            </w:pPr>
            <w:r>
              <w:rPr>
                <w:rFonts w:ascii="PT Astra Serif" w:hAnsi="PT Astra Serif"/>
              </w:rPr>
              <w:t>285,00</w:t>
            </w:r>
          </w:p>
        </w:tc>
        <w:tc>
          <w:tcPr>
            <w:tcW w:w="11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709" w:leader="none"/>
              </w:tabs>
              <w:spacing w:lineRule="auto" w:line="240" w:before="0" w:after="0"/>
              <w:contextualSpacing/>
              <w:jc w:val="center"/>
              <w:rPr>
                <w:rFonts w:ascii="PT Astra Serif" w:hAnsi="PT Astra Serif"/>
              </w:rPr>
            </w:pPr>
            <w:r>
              <w:rPr>
                <w:rFonts w:ascii="PT Astra Serif" w:hAnsi="PT Astra Serif"/>
              </w:rPr>
              <w:t>285,00</w:t>
            </w:r>
          </w:p>
        </w:tc>
      </w:tr>
      <w:tr>
        <w:trPr>
          <w:trHeight w:val="675" w:hRule="atLeast"/>
          <w:cantSplit w:val="true"/>
        </w:trPr>
        <w:tc>
          <w:tcPr>
            <w:tcW w:w="269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t>Сумма по представленным ценовым предложениям, руб.</w:t>
            </w:r>
          </w:p>
        </w:tc>
        <w:tc>
          <w:tcPr>
            <w:tcW w:w="226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contextualSpacing/>
              <w:jc w:val="center"/>
              <w:rPr>
                <w:rFonts w:ascii="PT Astra Serif" w:hAnsi="PT Astra Serif"/>
              </w:rPr>
            </w:pPr>
            <w:r>
              <w:rPr>
                <w:rFonts w:ascii="PT Astra Serif" w:hAnsi="PT Astra Serif"/>
              </w:rPr>
              <w:t>3462,41</w:t>
            </w:r>
          </w:p>
        </w:tc>
        <w:tc>
          <w:tcPr>
            <w:tcW w:w="212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center"/>
              <w:rPr>
                <w:rFonts w:ascii="PT Astra Serif" w:hAnsi="PT Astra Serif"/>
              </w:rPr>
            </w:pPr>
            <w:r>
              <w:rPr>
                <w:rFonts w:ascii="PT Astra Serif" w:hAnsi="PT Astra Serif"/>
              </w:rPr>
              <w:t>3 750,00</w:t>
            </w:r>
          </w:p>
        </w:tc>
        <w:tc>
          <w:tcPr>
            <w:tcW w:w="223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ind w:right="-108"/>
              <w:jc w:val="center"/>
              <w:rPr>
                <w:rFonts w:ascii="PT Astra Serif" w:hAnsi="PT Astra Serif"/>
              </w:rPr>
            </w:pPr>
            <w:r>
              <w:rPr>
                <w:rFonts w:ascii="PT Astra Serif" w:hAnsi="PT Astra Serif"/>
              </w:rPr>
              <w:t>4 275,00</w:t>
            </w:r>
          </w:p>
        </w:tc>
      </w:tr>
      <w:tr>
        <w:trPr>
          <w:trHeight w:val="574" w:hRule="atLeast"/>
          <w:cantSplit w:val="true"/>
        </w:trPr>
        <w:tc>
          <w:tcPr>
            <w:tcW w:w="269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t>Среднее значение цены,</w:t>
            </w:r>
          </w:p>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t>руб.</w:t>
            </w:r>
          </w:p>
        </w:tc>
        <w:tc>
          <w:tcPr>
            <w:tcW w:w="6628"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ind w:right="-108"/>
              <w:jc w:val="center"/>
              <w:rPr>
                <w:rFonts w:ascii="PT Astra Serif" w:hAnsi="PT Astra Serif"/>
              </w:rPr>
            </w:pPr>
            <w:r>
              <w:rPr>
                <w:rFonts w:ascii="PT Astra Serif" w:hAnsi="PT Astra Serif"/>
              </w:rPr>
              <w:t>3 829,41</w:t>
            </w:r>
          </w:p>
        </w:tc>
      </w:tr>
      <w:tr>
        <w:trPr>
          <w:trHeight w:val="601" w:hRule="atLeast"/>
          <w:cantSplit w:val="true"/>
        </w:trPr>
        <w:tc>
          <w:tcPr>
            <w:tcW w:w="269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t>Минимальное ценовое предложение, руб.</w:t>
            </w:r>
          </w:p>
        </w:tc>
        <w:tc>
          <w:tcPr>
            <w:tcW w:w="6628"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ind w:right="-108"/>
              <w:jc w:val="center"/>
              <w:rPr>
                <w:rFonts w:ascii="PT Astra Serif" w:hAnsi="PT Astra Serif"/>
              </w:rPr>
            </w:pPr>
            <w:r>
              <w:rPr>
                <w:rFonts w:ascii="PT Astra Serif" w:hAnsi="PT Astra Serif"/>
              </w:rPr>
              <w:t>3462,41</w:t>
            </w:r>
          </w:p>
        </w:tc>
      </w:tr>
      <w:tr>
        <w:trPr>
          <w:trHeight w:val="765" w:hRule="atLeast"/>
          <w:cantSplit w:val="true"/>
        </w:trPr>
        <w:tc>
          <w:tcPr>
            <w:tcW w:w="2694" w:type="dxa"/>
            <w:gridSpan w:val="2"/>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tabs>
                <w:tab w:val="clear" w:pos="708"/>
                <w:tab w:val="left" w:pos="4820" w:leader="none"/>
                <w:tab w:val="left" w:pos="7230" w:leader="none"/>
              </w:tabs>
              <w:suppressAutoHyphens w:val="true"/>
              <w:spacing w:lineRule="auto" w:line="240" w:before="0" w:after="0"/>
              <w:jc w:val="center"/>
              <w:rPr>
                <w:rFonts w:ascii="PT Astra Serif" w:hAnsi="PT Astra Serif"/>
              </w:rPr>
            </w:pPr>
            <w:r>
              <w:rPr>
                <w:rFonts w:ascii="PT Astra Serif" w:hAnsi="PT Astra Serif"/>
              </w:rPr>
              <w:t>Расчет коэффициента вариации по формуле</w:t>
            </w:r>
          </w:p>
        </w:tc>
        <w:tc>
          <w:tcPr>
            <w:tcW w:w="6628" w:type="dxa"/>
            <w:gridSpan w:val="6"/>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suppressAutoHyphens w:val="true"/>
              <w:spacing w:lineRule="auto" w:line="240" w:before="0" w:after="0"/>
              <w:ind w:right="-108"/>
              <w:rPr>
                <w:rFonts w:ascii="PT Astra Serif" w:hAnsi="PT Astra Serif"/>
              </w:rPr>
            </w:pPr>
            <w:r>
              <w:rPr/>
              <mc:AlternateContent>
                <mc:Choice Requires="wps">
                  <w:drawing>
                    <wp:anchor behindDoc="0" distT="0" distB="0" distL="0" distR="0" simplePos="0" locked="0" layoutInCell="1" allowOverlap="1" relativeHeight="3" wp14:anchorId="57018C84">
                      <wp:simplePos x="0" y="0"/>
                      <wp:positionH relativeFrom="column">
                        <wp:posOffset>1285240</wp:posOffset>
                      </wp:positionH>
                      <wp:positionV relativeFrom="paragraph">
                        <wp:posOffset>16510</wp:posOffset>
                      </wp:positionV>
                      <wp:extent cx="628650" cy="295275"/>
                      <wp:effectExtent l="0" t="0" r="0" b="0"/>
                      <wp:wrapNone/>
                      <wp:docPr id="1" name="Прямоугольник 1"/>
                      <a:graphic xmlns:a="http://schemas.openxmlformats.org/drawingml/2006/main">
                        <a:graphicData uri="http://schemas.microsoft.com/office/word/2010/wordprocessingShape">
                          <wps:wsp>
                            <wps:cNvSpPr/>
                            <wps:spPr>
                              <a:xfrm>
                                <a:off x="0" y="0"/>
                                <a:ext cx="628560" cy="295200"/>
                              </a:xfrm>
                              <a:prstGeom prst="rect">
                                <a:avLst/>
                              </a:prstGeom>
                              <a:noFill/>
                              <a:ln>
                                <a:noFill/>
                              </a:ln>
                            </wps:spPr>
                            <wps:style>
                              <a:lnRef idx="2">
                                <a:schemeClr val="accent1">
                                  <a:shade val="50000"/>
                                </a:schemeClr>
                              </a:lnRef>
                              <a:fillRef idx="1">
                                <a:schemeClr val="accent1"/>
                              </a:fillRef>
                              <a:effectRef idx="0">
                                <a:schemeClr val="accent1"/>
                              </a:effectRef>
                              <a:fontRef idx="minor"/>
                            </wps:style>
                            <wps:txbx>
                              <w:txbxContent>
                                <w:p>
                                  <w:pPr>
                                    <w:pStyle w:val="Style16"/>
                                    <w:spacing w:before="0" w:after="200"/>
                                    <w:jc w:val="center"/>
                                    <w:rPr>
                                      <w:rFonts w:ascii="PT Astra Serif" w:hAnsi="PT Astra Serif"/>
                                      <w:color w:themeColor="text1" w:val="000000"/>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PT Astra Serif" w:hAnsi="PT Astra Serif"/>
                                      <w:color w:themeColor="text1" w:val="000000"/>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10,76% %</w:t>
                                  </w:r>
                                </w:p>
                              </w:txbxContent>
                            </wps:txbx>
                            <wps:bodyPr anchor="ctr">
                              <a:prstTxWarp prst="textNoShape"/>
                              <a:noAutofit/>
                            </wps:bodyPr>
                          </wps:wsp>
                        </a:graphicData>
                      </a:graphic>
                    </wp:anchor>
                  </w:drawing>
                </mc:Choice>
                <mc:Fallback>
                  <w:pict>
                    <v:rect id="shape_0" ID="Прямоугольник 1" path="m0,0l-2147483645,0l-2147483645,-2147483646l0,-2147483646xe" stroked="f" o:allowincell="t" style="position:absolute;margin-left:101.2pt;margin-top:1.3pt;width:49.45pt;height:23.2pt;mso-wrap-style:square;v-text-anchor:middle" wp14:anchorId="57018C84">
                      <v:fill o:detectmouseclick="t" on="false"/>
                      <v:stroke color="#3465a4" weight="12600" joinstyle="miter" endcap="flat"/>
                      <v:textbox>
                        <w:txbxContent>
                          <w:p>
                            <w:pPr>
                              <w:pStyle w:val="Style16"/>
                              <w:spacing w:before="0" w:after="200"/>
                              <w:jc w:val="center"/>
                              <w:rPr>
                                <w:rFonts w:ascii="PT Astra Serif" w:hAnsi="PT Astra Serif"/>
                                <w:color w:themeColor="text1" w:val="000000"/>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PT Astra Serif" w:hAnsi="PT Astra Serif"/>
                                <w:color w:themeColor="text1" w:val="000000"/>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10,76% %</w:t>
                            </w:r>
                          </w:p>
                        </w:txbxContent>
                      </v:textbox>
                      <w10:wrap type="none"/>
                    </v:rect>
                  </w:pict>
                </mc:Fallback>
              </mc:AlternateContent>
              <w:drawing>
                <wp:inline distT="0" distB="0" distL="0" distR="0">
                  <wp:extent cx="1244600" cy="339725"/>
                  <wp:effectExtent l="0" t="0" r="0" b="0"/>
                  <wp:docPr id="2" name="Pictur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7" descr=""/>
                          <pic:cNvPicPr>
                            <a:picLocks noChangeAspect="1" noChangeArrowheads="1"/>
                          </pic:cNvPicPr>
                        </pic:nvPicPr>
                        <pic:blipFill>
                          <a:blip r:embed="rId2"/>
                          <a:stretch>
                            <a:fillRect/>
                          </a:stretch>
                        </pic:blipFill>
                        <pic:spPr bwMode="auto">
                          <a:xfrm>
                            <a:off x="0" y="0"/>
                            <a:ext cx="1244600" cy="339725"/>
                          </a:xfrm>
                          <a:prstGeom prst="rect">
                            <a:avLst/>
                          </a:prstGeom>
                          <a:noFill/>
                        </pic:spPr>
                      </pic:pic>
                    </a:graphicData>
                  </a:graphic>
                </wp:inline>
              </w:drawing>
            </w:r>
          </w:p>
        </w:tc>
      </w:tr>
    </w:tbl>
    <w:p>
      <w:pPr>
        <w:pStyle w:val="Normal"/>
        <w:tabs>
          <w:tab w:val="clear" w:pos="708"/>
          <w:tab w:val="left" w:pos="709" w:leader="none"/>
          <w:tab w:val="left" w:pos="5433" w:leader="none"/>
        </w:tabs>
        <w:spacing w:lineRule="auto" w:line="240" w:before="0" w:after="0"/>
        <w:jc w:val="center"/>
        <w:rPr>
          <w:rFonts w:ascii="PT Astra Serif" w:hAnsi="PT Astra Serif"/>
          <w:b/>
          <w:sz w:val="22"/>
          <w:szCs w:val="22"/>
        </w:rPr>
      </w:pPr>
      <w:r>
        <w:rPr>
          <w:rFonts w:ascii="PT Astra Serif" w:hAnsi="PT Astra Serif"/>
          <w:b/>
          <w:sz w:val="22"/>
          <w:szCs w:val="22"/>
        </w:rPr>
      </w:r>
    </w:p>
    <w:p>
      <w:pPr>
        <w:pStyle w:val="Normal"/>
        <w:tabs>
          <w:tab w:val="clear" w:pos="708"/>
          <w:tab w:val="left" w:pos="709" w:leader="none"/>
          <w:tab w:val="left" w:pos="5433" w:leader="none"/>
        </w:tabs>
        <w:spacing w:lineRule="auto" w:line="240" w:before="0" w:after="0"/>
        <w:jc w:val="center"/>
        <w:rPr>
          <w:rFonts w:ascii="PT Astra Serif" w:hAnsi="PT Astra Serif"/>
          <w:b/>
          <w:sz w:val="22"/>
          <w:szCs w:val="22"/>
        </w:rPr>
      </w:pPr>
      <w:r>
        <w:rPr>
          <w:rFonts w:ascii="PT Astra Serif" w:hAnsi="PT Astra Serif"/>
          <w:b/>
          <w:sz w:val="22"/>
          <w:szCs w:val="22"/>
        </w:rPr>
        <w:t>4. Заключение</w:t>
      </w:r>
    </w:p>
    <w:p>
      <w:pPr>
        <w:pStyle w:val="Normal"/>
        <w:tabs>
          <w:tab w:val="clear" w:pos="708"/>
          <w:tab w:val="left" w:pos="709" w:leader="none"/>
          <w:tab w:val="left" w:pos="5433" w:leader="none"/>
        </w:tabs>
        <w:spacing w:lineRule="auto" w:line="240" w:before="0" w:after="0"/>
        <w:jc w:val="center"/>
        <w:rPr>
          <w:rFonts w:ascii="PT Astra Serif" w:hAnsi="PT Astra Serif"/>
          <w:b/>
          <w:sz w:val="22"/>
          <w:szCs w:val="22"/>
        </w:rPr>
      </w:pPr>
      <w:r>
        <w:rPr>
          <w:rFonts w:ascii="PT Astra Serif" w:hAnsi="PT Astra Serif"/>
          <w:b/>
          <w:sz w:val="22"/>
          <w:szCs w:val="22"/>
        </w:rPr>
      </w:r>
    </w:p>
    <w:p>
      <w:pPr>
        <w:pStyle w:val="Normal"/>
        <w:tabs>
          <w:tab w:val="clear" w:pos="708"/>
          <w:tab w:val="left" w:pos="709" w:leader="none"/>
          <w:tab w:val="left" w:pos="5433" w:leader="none"/>
        </w:tabs>
        <w:spacing w:lineRule="auto" w:line="240" w:before="0" w:after="0"/>
        <w:jc w:val="both"/>
        <w:rPr>
          <w:rFonts w:ascii="PT Astra Serif" w:hAnsi="PT Astra Serif"/>
          <w:sz w:val="22"/>
          <w:szCs w:val="22"/>
        </w:rPr>
      </w:pPr>
      <w:r>
        <w:rPr>
          <w:rFonts w:ascii="PT Astra Serif" w:hAnsi="PT Astra Serif"/>
          <w:sz w:val="22"/>
          <w:szCs w:val="22"/>
        </w:rPr>
        <w:tab/>
      </w:r>
      <w:r>
        <w:rPr>
          <w:rFonts w:ascii="PT Astra Serif" w:hAnsi="PT Astra Serif"/>
          <w:b/>
          <w:sz w:val="22"/>
          <w:szCs w:val="22"/>
        </w:rPr>
        <w:t>4.1.</w:t>
      </w:r>
      <w:r>
        <w:rPr>
          <w:rFonts w:ascii="PT Astra Serif" w:hAnsi="PT Astra Serif"/>
          <w:sz w:val="22"/>
          <w:szCs w:val="22"/>
        </w:rPr>
        <w:t xml:space="preserve"> В соответствии с п. 4 ч. 1 ст. 93 Федерального закона №44-ФЗ осуществление закупки товара, работы или услуги на сумму, не превышающую шестьсот тысяч рублей, при проведении закупки через единый агрегатор торговли, методом сопоставимых рыночных цен путем сравнения цены за один м., позволило определить НМЦК по минимально предложенной стоимости товаров </w:t>
        <w:br/>
        <w:t xml:space="preserve">в сумме 3 462,41 </w:t>
      </w:r>
      <w:r>
        <w:rPr>
          <w:rFonts w:eastAsia="" w:cs="" w:ascii="PT Astra Serif" w:hAnsi="PT Astra Serif" w:cstheme="minorBidi" w:eastAsiaTheme="minorEastAsia"/>
          <w:sz w:val="22"/>
          <w:szCs w:val="22"/>
        </w:rPr>
        <w:t>(три тысячи четыреста шестьдесят два) рубля 41 копейка</w:t>
      </w:r>
      <w:r>
        <w:rPr>
          <w:rFonts w:ascii="PT Astra Serif" w:hAnsi="PT Astra Serif"/>
          <w:sz w:val="22"/>
          <w:szCs w:val="22"/>
        </w:rPr>
        <w:t>.</w:t>
      </w:r>
    </w:p>
    <w:p>
      <w:pPr>
        <w:pStyle w:val="Normal"/>
        <w:tabs>
          <w:tab w:val="clear" w:pos="708"/>
          <w:tab w:val="left" w:pos="709" w:leader="none"/>
          <w:tab w:val="left" w:pos="5433" w:leader="none"/>
        </w:tabs>
        <w:spacing w:lineRule="auto" w:line="240" w:before="0" w:after="0"/>
        <w:jc w:val="both"/>
        <w:rPr>
          <w:rFonts w:ascii="PT Astra Serif" w:hAnsi="PT Astra Serif"/>
          <w:sz w:val="22"/>
          <w:szCs w:val="22"/>
        </w:rPr>
      </w:pPr>
      <w:r>
        <w:rPr>
          <w:rFonts w:ascii="PT Astra Serif" w:hAnsi="PT Astra Serif"/>
          <w:sz w:val="22"/>
          <w:szCs w:val="22"/>
        </w:rPr>
      </w:r>
    </w:p>
    <w:p>
      <w:pPr>
        <w:pStyle w:val="Normal"/>
        <w:tabs>
          <w:tab w:val="clear" w:pos="708"/>
          <w:tab w:val="left" w:pos="709" w:leader="none"/>
          <w:tab w:val="left" w:pos="5433" w:leader="none"/>
        </w:tabs>
        <w:spacing w:lineRule="auto" w:line="240" w:before="0" w:after="0"/>
        <w:jc w:val="both"/>
        <w:rPr>
          <w:rFonts w:ascii="PT Astra Serif" w:hAnsi="PT Astra Serif"/>
          <w:sz w:val="22"/>
          <w:szCs w:val="22"/>
        </w:rPr>
      </w:pPr>
      <w:r>
        <w:rPr>
          <w:rFonts w:ascii="PT Astra Serif" w:hAnsi="PT Astra Serif"/>
          <w:sz w:val="22"/>
          <w:szCs w:val="22"/>
        </w:rPr>
      </w:r>
    </w:p>
    <w:p>
      <w:pPr>
        <w:pStyle w:val="Normal"/>
        <w:tabs>
          <w:tab w:val="clear" w:pos="708"/>
          <w:tab w:val="left" w:pos="709" w:leader="none"/>
          <w:tab w:val="left" w:pos="5433" w:leader="none"/>
        </w:tabs>
        <w:spacing w:lineRule="auto" w:line="240" w:before="0" w:after="0"/>
        <w:jc w:val="both"/>
        <w:rPr>
          <w:rFonts w:ascii="PT Astra Serif" w:hAnsi="PT Astra Serif"/>
          <w:sz w:val="22"/>
          <w:szCs w:val="22"/>
        </w:rPr>
      </w:pPr>
      <w:r>
        <w:rPr>
          <w:rFonts w:ascii="PT Astra Serif" w:hAnsi="PT Astra Serif"/>
          <w:sz w:val="22"/>
          <w:szCs w:val="22"/>
        </w:rPr>
      </w:r>
    </w:p>
    <w:p>
      <w:pPr>
        <w:pStyle w:val="Normal"/>
        <w:spacing w:lineRule="auto" w:line="240" w:before="0" w:after="0"/>
        <w:jc w:val="both"/>
        <w:rPr>
          <w:rFonts w:ascii="PT Astra Serif" w:hAnsi="PT Astra Serif"/>
          <w:sz w:val="22"/>
          <w:szCs w:val="22"/>
        </w:rPr>
      </w:pPr>
      <w:r>
        <w:rPr>
          <w:rFonts w:ascii="PT Astra Serif" w:hAnsi="PT Astra Serif"/>
          <w:sz w:val="22"/>
          <w:szCs w:val="22"/>
        </w:rPr>
        <w:t>Подготовил:</w:t>
      </w:r>
    </w:p>
    <w:p>
      <w:pPr>
        <w:pStyle w:val="Normal"/>
        <w:tabs>
          <w:tab w:val="clear" w:pos="708"/>
          <w:tab w:val="left" w:pos="709" w:leader="none"/>
        </w:tabs>
        <w:spacing w:lineRule="auto" w:line="240" w:before="0" w:after="0"/>
        <w:jc w:val="both"/>
        <w:rPr>
          <w:rFonts w:ascii="PT Astra Serif" w:hAnsi="PT Astra Serif"/>
          <w:sz w:val="22"/>
          <w:szCs w:val="22"/>
        </w:rPr>
      </w:pPr>
      <w:r>
        <w:rPr>
          <w:rFonts w:ascii="PT Astra Serif" w:hAnsi="PT Astra Serif"/>
          <w:sz w:val="22"/>
          <w:szCs w:val="22"/>
        </w:rPr>
        <w:t xml:space="preserve">Заместитель начальника ФКУ ОК УФСИН России </w:t>
      </w:r>
    </w:p>
    <w:p>
      <w:pPr>
        <w:pStyle w:val="Normal"/>
        <w:tabs>
          <w:tab w:val="clear" w:pos="708"/>
          <w:tab w:val="left" w:pos="709" w:leader="none"/>
        </w:tabs>
        <w:spacing w:lineRule="auto" w:line="240" w:before="0" w:after="0"/>
        <w:jc w:val="both"/>
        <w:rPr>
          <w:rFonts w:ascii="PT Astra Serif" w:hAnsi="PT Astra Serif"/>
          <w:sz w:val="22"/>
          <w:szCs w:val="22"/>
        </w:rPr>
      </w:pPr>
      <w:r>
        <w:rPr>
          <w:rFonts w:ascii="PT Astra Serif" w:hAnsi="PT Astra Serif"/>
          <w:sz w:val="22"/>
          <w:szCs w:val="22"/>
        </w:rPr>
        <w:t xml:space="preserve">по Ханты-Мансийскому автономному округу – Югре </w:t>
      </w:r>
    </w:p>
    <w:p>
      <w:pPr>
        <w:pStyle w:val="Normal"/>
        <w:tabs>
          <w:tab w:val="clear" w:pos="708"/>
          <w:tab w:val="left" w:pos="709" w:leader="none"/>
        </w:tabs>
        <w:spacing w:lineRule="auto" w:line="240" w:before="0" w:after="0"/>
        <w:jc w:val="both"/>
        <w:rPr>
          <w:rFonts w:ascii="PT Astra Serif" w:hAnsi="PT Astra Serif"/>
          <w:sz w:val="22"/>
          <w:szCs w:val="22"/>
        </w:rPr>
      </w:pPr>
      <w:r>
        <w:rPr>
          <w:rFonts w:ascii="PT Astra Serif" w:hAnsi="PT Astra Serif"/>
          <w:sz w:val="22"/>
          <w:szCs w:val="22"/>
        </w:rPr>
        <w:t>майор внутренней службы</w:t>
        <w:tab/>
        <w:tab/>
        <w:tab/>
        <w:tab/>
        <w:tab/>
        <w:tab/>
        <w:tab/>
        <w:t xml:space="preserve">            А.Ю. Иванченко</w:t>
      </w:r>
    </w:p>
    <w:p>
      <w:pPr>
        <w:pStyle w:val="Normal"/>
        <w:spacing w:lineRule="auto" w:line="240" w:before="0" w:after="0"/>
        <w:rPr>
          <w:rFonts w:ascii="PT Astra Serif" w:hAnsi="PT Astra Serif"/>
          <w:sz w:val="22"/>
          <w:szCs w:val="22"/>
        </w:rPr>
      </w:pPr>
      <w:r>
        <w:rPr>
          <w:rFonts w:ascii="PT Astra Serif" w:hAnsi="PT Astra Serif"/>
          <w:sz w:val="22"/>
          <w:szCs w:val="22"/>
        </w:rPr>
        <w:t xml:space="preserve">« ____ » </w:t>
      </w:r>
      <w:r>
        <w:rPr>
          <w:rFonts w:ascii="PT Astra Serif" w:hAnsi="PT Astra Serif"/>
          <w:sz w:val="22"/>
          <w:szCs w:val="22"/>
          <w:u w:val="single"/>
        </w:rPr>
        <w:t xml:space="preserve">                        </w:t>
      </w:r>
      <w:r>
        <w:rPr>
          <w:rFonts w:ascii="PT Astra Serif" w:hAnsi="PT Astra Serif"/>
          <w:sz w:val="22"/>
          <w:szCs w:val="22"/>
        </w:rPr>
        <w:t xml:space="preserve"> 2026 г.</w:t>
      </w:r>
    </w:p>
    <w:p>
      <w:pPr>
        <w:pStyle w:val="Normal"/>
        <w:spacing w:lineRule="auto" w:line="240" w:before="0" w:after="0"/>
        <w:rPr>
          <w:rFonts w:ascii="PT Astra Serif" w:hAnsi="PT Astra Serif"/>
          <w:sz w:val="22"/>
          <w:szCs w:val="22"/>
        </w:rPr>
      </w:pPr>
      <w:r>
        <w:rPr>
          <w:rFonts w:ascii="PT Astra Serif" w:hAnsi="PT Astra Serif"/>
          <w:sz w:val="22"/>
          <w:szCs w:val="22"/>
        </w:rPr>
      </w:r>
    </w:p>
    <w:p>
      <w:pPr>
        <w:pStyle w:val="Normal"/>
        <w:spacing w:lineRule="auto" w:line="240" w:before="0" w:after="0"/>
        <w:rPr>
          <w:rFonts w:ascii="PT Astra Serif" w:hAnsi="PT Astra Serif"/>
          <w:sz w:val="22"/>
          <w:szCs w:val="22"/>
        </w:rPr>
      </w:pPr>
      <w:r>
        <w:rPr>
          <w:rFonts w:ascii="PT Astra Serif" w:hAnsi="PT Astra Serif"/>
          <w:sz w:val="22"/>
          <w:szCs w:val="22"/>
        </w:rPr>
      </w:r>
    </w:p>
    <w:p>
      <w:pPr>
        <w:pStyle w:val="Normal"/>
        <w:spacing w:lineRule="auto" w:line="240" w:before="0" w:after="0"/>
        <w:rPr>
          <w:rFonts w:ascii="PT Astra Serif" w:hAnsi="PT Astra Serif"/>
          <w:sz w:val="22"/>
          <w:szCs w:val="22"/>
        </w:rPr>
      </w:pPr>
      <w:r>
        <w:rPr>
          <w:rFonts w:ascii="PT Astra Serif" w:hAnsi="PT Astra Serif"/>
          <w:sz w:val="22"/>
          <w:szCs w:val="22"/>
        </w:rPr>
        <w:t>Согласовано:</w:t>
      </w:r>
    </w:p>
    <w:p>
      <w:pPr>
        <w:pStyle w:val="Normal"/>
        <w:tabs>
          <w:tab w:val="clear" w:pos="708"/>
          <w:tab w:val="left" w:pos="709" w:leader="none"/>
        </w:tabs>
        <w:spacing w:lineRule="auto" w:line="240" w:before="0" w:after="0"/>
        <w:jc w:val="both"/>
        <w:rPr>
          <w:rFonts w:ascii="PT Astra Serif" w:hAnsi="PT Astra Serif"/>
          <w:sz w:val="22"/>
          <w:szCs w:val="22"/>
        </w:rPr>
      </w:pPr>
      <w:r>
        <w:rPr>
          <w:rFonts w:ascii="PT Astra Serif" w:hAnsi="PT Astra Serif"/>
          <w:sz w:val="22"/>
          <w:szCs w:val="22"/>
        </w:rPr>
        <w:t xml:space="preserve">Главный бухгалтер бухгалтерии ФКУ ОК УФСИН России </w:t>
      </w:r>
    </w:p>
    <w:p>
      <w:pPr>
        <w:pStyle w:val="Normal"/>
        <w:tabs>
          <w:tab w:val="clear" w:pos="708"/>
          <w:tab w:val="left" w:pos="709" w:leader="none"/>
        </w:tabs>
        <w:spacing w:lineRule="auto" w:line="240" w:before="0" w:after="0"/>
        <w:jc w:val="both"/>
        <w:rPr>
          <w:rFonts w:ascii="PT Astra Serif" w:hAnsi="PT Astra Serif"/>
          <w:sz w:val="22"/>
          <w:szCs w:val="22"/>
        </w:rPr>
      </w:pPr>
      <w:r>
        <w:rPr>
          <w:rFonts w:ascii="PT Astra Serif" w:hAnsi="PT Astra Serif"/>
          <w:sz w:val="22"/>
          <w:szCs w:val="22"/>
        </w:rPr>
        <w:t xml:space="preserve">по Ханты-Мансийскому автономному округу – Югре </w:t>
      </w:r>
    </w:p>
    <w:p>
      <w:pPr>
        <w:pStyle w:val="Normal"/>
        <w:spacing w:lineRule="auto" w:line="240" w:before="0" w:after="0"/>
        <w:rPr>
          <w:rFonts w:ascii="PT Astra Serif" w:hAnsi="PT Astra Serif"/>
          <w:sz w:val="22"/>
          <w:szCs w:val="22"/>
        </w:rPr>
      </w:pPr>
      <w:r>
        <w:rPr>
          <w:rFonts w:ascii="PT Astra Serif" w:hAnsi="PT Astra Serif"/>
          <w:sz w:val="22"/>
          <w:szCs w:val="22"/>
        </w:rPr>
        <w:t xml:space="preserve">майор внутренней службы </w:t>
        <w:tab/>
        <w:tab/>
        <w:tab/>
        <w:tab/>
        <w:tab/>
        <w:tab/>
        <w:tab/>
        <w:tab/>
        <w:t xml:space="preserve">   А.П. Баяндина</w:t>
      </w:r>
    </w:p>
    <w:p>
      <w:pPr>
        <w:pStyle w:val="Normal"/>
        <w:spacing w:lineRule="auto" w:line="240" w:before="0" w:after="0"/>
        <w:rPr>
          <w:rFonts w:ascii="PT Astra Serif" w:hAnsi="PT Astra Serif"/>
          <w:sz w:val="22"/>
          <w:szCs w:val="22"/>
        </w:rPr>
      </w:pPr>
      <w:r>
        <w:rPr>
          <w:rFonts w:ascii="PT Astra Serif" w:hAnsi="PT Astra Serif"/>
          <w:sz w:val="22"/>
          <w:szCs w:val="22"/>
        </w:rPr>
        <w:t xml:space="preserve">« ____ » </w:t>
      </w:r>
      <w:r>
        <w:rPr>
          <w:rFonts w:ascii="PT Astra Serif" w:hAnsi="PT Astra Serif"/>
          <w:sz w:val="22"/>
          <w:szCs w:val="22"/>
          <w:u w:val="single"/>
        </w:rPr>
        <w:t xml:space="preserve">                        </w:t>
      </w:r>
      <w:r>
        <w:rPr>
          <w:rFonts w:ascii="PT Astra Serif" w:hAnsi="PT Astra Serif"/>
          <w:sz w:val="22"/>
          <w:szCs w:val="22"/>
        </w:rPr>
        <w:t xml:space="preserve"> 2026 г.</w:t>
      </w:r>
    </w:p>
    <w:p>
      <w:pPr>
        <w:pStyle w:val="Normal"/>
        <w:spacing w:lineRule="auto" w:line="240" w:before="0" w:after="0"/>
        <w:rPr>
          <w:rFonts w:ascii="PT Astra Serif" w:hAnsi="PT Astra Serif"/>
          <w:sz w:val="22"/>
          <w:szCs w:val="22"/>
        </w:rPr>
      </w:pPr>
      <w:r>
        <w:rPr>
          <w:rFonts w:ascii="PT Astra Serif" w:hAnsi="PT Astra Serif"/>
          <w:sz w:val="22"/>
          <w:szCs w:val="22"/>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TimesNewRomanPSMT">
    <w:charset w:val="01"/>
    <w:family w:val="roman"/>
    <w:pitch w:val="default"/>
  </w:font>
  <w:font w:name="Segoe UI">
    <w:charset w:val="01"/>
    <w:family w:val="swiss"/>
    <w:pitch w:val="default"/>
  </w:font>
  <w:font w:name="PT Astra Serif">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93926"/>
    <w:pPr>
      <w:widowControl/>
      <w:bidi w:val="0"/>
      <w:spacing w:lineRule="auto" w:line="276" w:before="0" w:after="200"/>
      <w:jc w:val="lef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Normal"/>
    <w:next w:val="Normal"/>
    <w:link w:val="1"/>
    <w:qFormat/>
    <w:rsid w:val="00222db7"/>
    <w:pPr>
      <w:widowControl w:val="false"/>
      <w:spacing w:lineRule="auto" w:line="240" w:before="108" w:after="108"/>
      <w:jc w:val="center"/>
      <w:outlineLvl w:val="0"/>
    </w:pPr>
    <w:rPr>
      <w:rFonts w:ascii="Arial" w:hAnsi="Arial"/>
      <w:b/>
      <w:bCs/>
      <w:color w:val="000080"/>
    </w:rPr>
  </w:style>
  <w:style w:type="character" w:styleId="DefaultParagraphFont" w:default="1">
    <w:name w:val="Default Paragraph Font"/>
    <w:uiPriority w:val="1"/>
    <w:semiHidden/>
    <w:unhideWhenUsed/>
    <w:qFormat/>
    <w:rPr/>
  </w:style>
  <w:style w:type="character" w:styleId="fontstyle01" w:customStyle="1">
    <w:name w:val="fontstyle01"/>
    <w:qFormat/>
    <w:rsid w:val="00f71b50"/>
    <w:rPr>
      <w:rFonts w:ascii="TimesNewRomanPSMT" w:hAnsi="TimesNewRomanPSMT"/>
      <w:b w:val="false"/>
      <w:bCs w:val="false"/>
      <w:i w:val="false"/>
      <w:iCs w:val="false"/>
      <w:color w:val="000000"/>
      <w:sz w:val="20"/>
      <w:szCs w:val="20"/>
    </w:rPr>
  </w:style>
  <w:style w:type="character" w:styleId="1" w:customStyle="1">
    <w:name w:val="Заголовок 1 Знак"/>
    <w:basedOn w:val="DefaultParagraphFont"/>
    <w:qFormat/>
    <w:rsid w:val="00222db7"/>
    <w:rPr>
      <w:rFonts w:ascii="Arial" w:hAnsi="Arial" w:eastAsia="Times New Roman" w:cs="Times New Roman"/>
      <w:b/>
      <w:bCs/>
      <w:color w:val="000080"/>
      <w:sz w:val="20"/>
      <w:szCs w:val="20"/>
    </w:rPr>
  </w:style>
  <w:style w:type="character" w:styleId="Style13" w:customStyle="1">
    <w:name w:val="Текст выноски Знак"/>
    <w:basedOn w:val="DefaultParagraphFont"/>
    <w:link w:val="BalloonText"/>
    <w:uiPriority w:val="99"/>
    <w:semiHidden/>
    <w:qFormat/>
    <w:rsid w:val="007d0345"/>
    <w:rPr>
      <w:rFonts w:ascii="Segoe UI" w:hAnsi="Segoe UI" w:eastAsia="Times New Roman" w:cs="Segoe UI"/>
      <w:sz w:val="18"/>
      <w:szCs w:val="18"/>
      <w:lang w:eastAsia="ru-RU"/>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ListParagraph">
    <w:name w:val="List Paragraph"/>
    <w:basedOn w:val="Normal"/>
    <w:uiPriority w:val="34"/>
    <w:qFormat/>
    <w:rsid w:val="00e93926"/>
    <w:pPr>
      <w:spacing w:lineRule="auto" w:line="240" w:before="0" w:after="0"/>
      <w:ind w:left="720"/>
      <w:contextualSpacing/>
    </w:pPr>
    <w:rPr>
      <w:sz w:val="24"/>
      <w:szCs w:val="24"/>
    </w:rPr>
  </w:style>
  <w:style w:type="paragraph" w:styleId="BalloonText">
    <w:name w:val="Balloon Text"/>
    <w:basedOn w:val="Normal"/>
    <w:link w:val="Style13"/>
    <w:uiPriority w:val="99"/>
    <w:semiHidden/>
    <w:unhideWhenUsed/>
    <w:qFormat/>
    <w:rsid w:val="007d0345"/>
    <w:pPr>
      <w:spacing w:lineRule="auto" w:line="240" w:before="0" w:after="0"/>
    </w:pPr>
    <w:rPr>
      <w:rFonts w:ascii="Segoe UI" w:hAnsi="Segoe UI" w:cs="Segoe UI"/>
      <w:sz w:val="18"/>
      <w:szCs w:val="18"/>
    </w:rPr>
  </w:style>
  <w:style w:type="paragraph" w:styleId="Style16">
    <w:name w:val="Содержимое врезки"/>
    <w:basedOn w:val="Normal"/>
    <w:qFormat/>
    <w:pPr/>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9F8F0-4374-4C96-BE17-183056BA9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Application>LibreOffice/25.2.3.2$Linux_X86_64 LibreOffice_project/520$Build-2</Application>
  <AppVersion>15.0000</AppVersion>
  <Pages>2</Pages>
  <Words>544</Words>
  <Characters>3619</Characters>
  <CharactersWithSpaces>4204</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2023-07-27T05:53:00Z</dcterms:created>
  <dc:creator>Сергей Кожихов</dc:creator>
  <dc:description/>
  <dc:language>ru-RU</dc:language>
  <cp:lastModifiedBy/>
  <cp:lastPrinted>2025-03-24T09:12:00Z</cp:lastPrinted>
  <dcterms:modified xsi:type="dcterms:W3CDTF">2026-07-28T15:56:14Z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file>