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tabs>
          <w:tab w:val="left" w:pos="154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НАЧАЛЬНОЙ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ЦЕНЫ </w:t>
      </w:r>
      <w:r>
        <w:rPr>
          <w:rFonts w:ascii="Times New Roman" w:hAnsi="Times New Roman" w:cs="Times New Roman"/>
          <w:b/>
          <w:sz w:val="28"/>
          <w:szCs w:val="28"/>
        </w:rPr>
        <w:t xml:space="preserve">ЕДИНИЦЫ УСЛУГИ ДОГОВОРА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6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частью 5  </w:t>
      </w:r>
      <w:r>
        <w:rPr>
          <w:sz w:val="26"/>
          <w:szCs w:val="26"/>
        </w:rPr>
        <w:t xml:space="preserve">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6"/>
          <w:szCs w:val="26"/>
        </w:rPr>
        <w:t xml:space="preserve"> (далее – Федеральный закон № 44-ФЗ), а также </w:t>
      </w:r>
      <w:r>
        <w:rPr>
          <w:sz w:val="26"/>
          <w:szCs w:val="26"/>
        </w:rPr>
        <w:t xml:space="preserve">Методическими рекомендациями по применению методов определения начальной (максимальной) цены </w:t>
      </w:r>
      <w:r>
        <w:rPr>
          <w:sz w:val="26"/>
          <w:szCs w:val="26"/>
        </w:rPr>
        <w:t xml:space="preserve">государственного к</w:t>
      </w:r>
      <w:r>
        <w:rPr>
          <w:sz w:val="26"/>
          <w:szCs w:val="26"/>
        </w:rPr>
        <w:t xml:space="preserve">онтракта, цены </w:t>
      </w:r>
      <w:r>
        <w:rPr>
          <w:sz w:val="26"/>
          <w:szCs w:val="26"/>
        </w:rPr>
        <w:t xml:space="preserve">государственного к</w:t>
      </w:r>
      <w:r>
        <w:rPr>
          <w:sz w:val="26"/>
          <w:szCs w:val="26"/>
        </w:rPr>
        <w:t xml:space="preserve">онтракта, заключаемого с единственным поставщиком (подрядчиком, исполнителем), утвержденными приказом Минэкономразвития России от 02.10.2013 № 567, </w:t>
      </w:r>
      <w:r>
        <w:rPr>
          <w:sz w:val="26"/>
          <w:szCs w:val="26"/>
        </w:rPr>
        <w:t xml:space="preserve">определение начальной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цен</w:t>
      </w:r>
      <w:r>
        <w:rPr>
          <w:sz w:val="26"/>
          <w:szCs w:val="26"/>
        </w:rPr>
        <w:t xml:space="preserve">ы</w:t>
      </w:r>
      <w:r>
        <w:rPr>
          <w:sz w:val="26"/>
          <w:szCs w:val="26"/>
        </w:rPr>
        <w:t xml:space="preserve"> услуг</w:t>
      </w:r>
      <w:r>
        <w:rPr>
          <w:sz w:val="26"/>
          <w:szCs w:val="26"/>
        </w:rPr>
        <w:t xml:space="preserve">и</w:t>
      </w:r>
      <w:r>
        <w:rPr>
          <w:sz w:val="26"/>
          <w:szCs w:val="26"/>
        </w:rPr>
        <w:t xml:space="preserve"> произведен заказчиком на основании метода сопоставимых рыночных цен (анализа рынка), с использованием в том числе общедоступной ценовой информации </w:t>
      </w:r>
      <w:r>
        <w:rPr>
          <w:sz w:val="26"/>
          <w:szCs w:val="26"/>
        </w:rPr>
        <w:t xml:space="preserve">о рыночных ценах услуг в соответствии с частью 18</w:t>
      </w:r>
      <w:r>
        <w:rPr>
          <w:sz w:val="26"/>
          <w:szCs w:val="26"/>
        </w:rPr>
        <w:t xml:space="preserve"> статьи 22 Федерального закона № 44-ФЗ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Росимуществом</w:t>
      </w:r>
      <w:r>
        <w:rPr>
          <w:sz w:val="26"/>
          <w:szCs w:val="26"/>
        </w:rPr>
        <w:t xml:space="preserve"> были направлены запросы в оценочные компании, которые могут </w:t>
      </w:r>
      <w:r>
        <w:rPr>
          <w:sz w:val="26"/>
          <w:szCs w:val="26"/>
        </w:rPr>
        <w:t xml:space="preserve">оказывать аналогичные услуги </w:t>
      </w:r>
      <w:r>
        <w:rPr>
          <w:sz w:val="26"/>
          <w:szCs w:val="26"/>
        </w:rPr>
        <w:t xml:space="preserve">по оценке находящихся в федеральной собственности объектов недвижимого </w:t>
      </w:r>
      <w:r>
        <w:rPr>
          <w:sz w:val="26"/>
          <w:szCs w:val="26"/>
        </w:rPr>
        <w:t xml:space="preserve">имущества и обладают достаточной информацией </w:t>
      </w:r>
      <w:r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сроках оказания услуг, необходимых </w:t>
      </w:r>
      <w:r>
        <w:rPr>
          <w:sz w:val="26"/>
          <w:szCs w:val="26"/>
        </w:rPr>
        <w:t xml:space="preserve">Росимуществу</w:t>
      </w:r>
      <w:r>
        <w:rPr>
          <w:sz w:val="26"/>
          <w:szCs w:val="26"/>
        </w:rPr>
        <w:t xml:space="preserve">, на</w:t>
      </w:r>
      <w:r>
        <w:rPr>
          <w:sz w:val="26"/>
          <w:szCs w:val="26"/>
        </w:rPr>
        <w:t xml:space="preserve"> которые были получены ответы (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х</w:t>
      </w:r>
      <w:r>
        <w:rPr>
          <w:sz w:val="26"/>
          <w:szCs w:val="26"/>
        </w:rPr>
        <w:t xml:space="preserve">. письма: </w:t>
      </w:r>
      <w:r>
        <w:rPr>
          <w:sz w:val="26"/>
          <w:szCs w:val="26"/>
        </w:rPr>
        <w:t xml:space="preserve">№ 58588 от 28.04.2026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58309 от 28.04.2026</w:t>
      </w:r>
      <w:r>
        <w:rPr>
          <w:sz w:val="26"/>
          <w:szCs w:val="26"/>
        </w:rPr>
        <w:t xml:space="preserve">, контракт с реестровым № </w:t>
      </w:r>
      <w:r>
        <w:rPr>
          <w:sz w:val="26"/>
          <w:szCs w:val="26"/>
        </w:rPr>
        <w:t xml:space="preserve">1771072313426000024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НЦЕУ включает в себя все затраты, связанные с оказанием оценочных услуг, в том числе налоги, другие обязательные</w:t>
      </w:r>
      <w:r>
        <w:rPr>
          <w:sz w:val="26"/>
          <w:szCs w:val="26"/>
        </w:rPr>
        <w:t xml:space="preserve"> платежи и иные расходы, предусмотренные проектом </w:t>
      </w:r>
      <w:r>
        <w:rPr>
          <w:sz w:val="26"/>
          <w:szCs w:val="26"/>
        </w:rPr>
        <w:t xml:space="preserve">государс</w:t>
      </w:r>
      <w:bookmarkStart w:id="0" w:name="_GoBack"/>
      <w:r/>
      <w:bookmarkEnd w:id="0"/>
      <w:r>
        <w:rPr>
          <w:sz w:val="26"/>
          <w:szCs w:val="26"/>
        </w:rPr>
        <w:t xml:space="preserve">твенного контракта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68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По запросу была получена следующая информация о стоимости оценочных услуг и представлена в Таблице</w:t>
      </w:r>
      <w:r>
        <w:rPr>
          <w:sz w:val="26"/>
          <w:szCs w:val="26"/>
        </w:rPr>
        <w:t xml:space="preserve"> № 1</w:t>
      </w:r>
      <w:r>
        <w:rPr>
          <w:sz w:val="26"/>
          <w:szCs w:val="26"/>
        </w:rPr>
        <w:t xml:space="preserve"> ниже.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Поскольку предложения оценочных организаций отличаются, с целью формирования сбалансированной величины НЦЕУ предлагается использовать их среднеарифметическое значение.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68"/>
        <w:ind w:firstLine="709"/>
        <w:jc w:val="center"/>
        <w:rPr>
          <w:highlight w:val="none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Т</w:t>
      </w:r>
      <w:r>
        <w:t xml:space="preserve">аблица № 1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text" w:tblpXSpec="center" w:vertAnchor="text" w:tblpY="1" w:leftFromText="180" w:topFromText="0" w:rightFromText="180" w:bottomFromText="0"/>
        <w:tblW w:w="4908" w:type="pct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773"/>
        <w:gridCol w:w="4355"/>
        <w:gridCol w:w="1651"/>
        <w:gridCol w:w="1799"/>
        <w:gridCol w:w="1745"/>
        <w:gridCol w:w="1708"/>
        <w:gridCol w:w="1951"/>
      </w:tblGrid>
      <w:tr>
        <w:tblPrEx/>
        <w:trPr>
          <w:jc w:val="center"/>
          <w:trHeight w:val="1266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№ п/п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Объекты оценки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(наименование услуг)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  <w:t xml:space="preserve">ОКПД2</w:t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  <w:t xml:space="preserve">Ценовое предложение 1</w:t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  <w:t xml:space="preserve">Ценовое предложение 2</w:t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  <w14:ligatures w14:val="none"/>
              </w:rPr>
            </w:pP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  <w:t xml:space="preserve">Ценовое предложение 3</w:t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Arial"/>
                <w:b/>
                <w:bCs/>
                <w:color w:val="000000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Начальная цена единицы услуги по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договору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(за объект), руб.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</w:tr>
      <w:tr>
        <w:tblPrEx/>
        <w:trPr>
          <w:jc w:val="center"/>
          <w:trHeight w:val="8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12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</w:t>
              <w:br/>
              <w:t xml:space="preserve">нежилое помещение/машиноместо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9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4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13 430,00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16 810,00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7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</w:t>
              <w:br/>
              <w:t xml:space="preserve">жилое помещение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17 000,00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13 430,00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16 810,00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99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Услуги по оценке прав на нежилое здание/ строение/ сооружение/ объект незавершенного строительства площадью до 5 000 кв.метров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013,33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25 671,11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5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Услуги по оценке прав на жилое здание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013,33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25 671,11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6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 земельные участки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26 000,00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013,33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31 000,00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25 671,11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  земельный участок с расположенным на нем объектом нежилого недвижимого имущества  площадью до 5 000 кв.метров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27 913,33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34 971,11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112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  земельный участок с расположенным на нем объектом жилого недвижимого имущества 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.110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33 000,00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27 913,33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44 000,00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34 971,11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  объекты недвижимого имущества (от 3 до 10 включительно объектов недвижимости, расположенных на одном или нескольких смежных земельных участков)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31.16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65 000,00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51 613,33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75 000,00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63 871,11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2"/>
                <w:szCs w:val="22"/>
                <w:u w:val="none"/>
                <w14:ligatures w14:val="none"/>
              </w:rPr>
            </w:r>
          </w:p>
        </w:tc>
      </w:tr>
      <w:tr>
        <w:tblPrEx/>
        <w:trPr>
          <w:trHeight w:val="11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1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Услуги по оценке прав на находящиеся в федеральной собственности объекты движимого имущества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5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74.90.12.120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245,00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198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,82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280,00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</w:rPr>
              <w:t xml:space="preserve">,27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2"/>
                <w:u w:val="none"/>
                <w:vertAlign w:val="baseline"/>
              </w:rPr>
              <w:t xml:space="preserve"> </w:t>
            </w:r>
            <w:r/>
          </w:p>
        </w:tc>
      </w:tr>
      <w:tr>
        <w:tblPrEx/>
        <w:trPr>
          <w:jc w:val="center"/>
          <w:trHeight w:val="448"/>
        </w:trPr>
        <w:tc>
          <w:tcPr>
            <w:gridSpan w:val="7"/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908" w:type="dxa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 xml:space="preserve">244 687,93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r>
          </w:p>
        </w:tc>
      </w:tr>
    </w:tbl>
    <w:p>
      <w:pPr>
        <w:pStyle w:val="868"/>
        <w:ind w:firstLine="0"/>
        <w:tabs>
          <w:tab w:val="left" w:pos="1245" w:leader="none"/>
        </w:tabs>
      </w:pPr>
      <w:r/>
      <w:r/>
    </w:p>
    <w:sectPr>
      <w:footerReference w:type="default" r:id="rId9"/>
      <w:footnotePr/>
      <w:endnotePr/>
      <w:type w:val="nextPage"/>
      <w:pgSz w:w="16838" w:h="11906" w:orient="landscape"/>
      <w:pgMar w:top="850" w:right="850" w:bottom="850" w:left="85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28314452"/>
      <w:docPartObj>
        <w:docPartGallery w:val="Page Numbers (Bottom of Page)"/>
        <w:docPartUnique w:val="true"/>
      </w:docPartObj>
      <w:rPr/>
    </w:sdtPr>
    <w:sdtContent>
      <w:p>
        <w:pPr>
          <w:pStyle w:val="87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87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pStyle w:val="862"/>
      <w:isLgl w:val="false"/>
      <w:suff w:val="tab"/>
      <w:lvlText w:val="%1."/>
      <w:lvlJc w:val="left"/>
      <w:pPr>
        <w:ind w:left="928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pStyle w:val="864"/>
      <w:isLgl w:val="false"/>
      <w:suff w:val="tab"/>
      <w:lvlText w:val="%1.%2."/>
      <w:lvlJc w:val="left"/>
      <w:pPr>
        <w:ind w:left="2067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865"/>
      <w:isLgl w:val="false"/>
      <w:suff w:val="tab"/>
      <w:lvlText w:val="%1.%2.%3."/>
      <w:lvlJc w:val="left"/>
      <w:pPr>
        <w:ind w:left="2499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003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507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011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515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19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595" w:hanging="14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57"/>
    <w:next w:val="857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basedOn w:val="858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57"/>
    <w:next w:val="857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basedOn w:val="858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57"/>
    <w:next w:val="857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basedOn w:val="858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57"/>
    <w:next w:val="85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basedOn w:val="858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57"/>
    <w:next w:val="857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basedOn w:val="858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57"/>
    <w:next w:val="85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8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57"/>
    <w:next w:val="85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8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57"/>
    <w:next w:val="85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8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57"/>
    <w:next w:val="85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8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57"/>
    <w:next w:val="857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basedOn w:val="858"/>
    <w:link w:val="705"/>
    <w:uiPriority w:val="10"/>
    <w:rPr>
      <w:sz w:val="48"/>
      <w:szCs w:val="48"/>
    </w:rPr>
  </w:style>
  <w:style w:type="paragraph" w:styleId="707">
    <w:name w:val="Subtitle"/>
    <w:basedOn w:val="857"/>
    <w:next w:val="857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basedOn w:val="858"/>
    <w:link w:val="707"/>
    <w:uiPriority w:val="11"/>
    <w:rPr>
      <w:sz w:val="24"/>
      <w:szCs w:val="24"/>
    </w:rPr>
  </w:style>
  <w:style w:type="paragraph" w:styleId="709">
    <w:name w:val="Quote"/>
    <w:basedOn w:val="857"/>
    <w:next w:val="857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57"/>
    <w:next w:val="857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character" w:styleId="713">
    <w:name w:val="Header Char"/>
    <w:basedOn w:val="858"/>
    <w:link w:val="873"/>
    <w:uiPriority w:val="99"/>
  </w:style>
  <w:style w:type="character" w:styleId="714">
    <w:name w:val="Footer Char"/>
    <w:basedOn w:val="858"/>
    <w:link w:val="875"/>
    <w:uiPriority w:val="99"/>
  </w:style>
  <w:style w:type="paragraph" w:styleId="715">
    <w:name w:val="Caption"/>
    <w:basedOn w:val="857"/>
    <w:next w:val="857"/>
    <w:link w:val="7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858"/>
    <w:link w:val="715"/>
    <w:uiPriority w:val="35"/>
    <w:rPr>
      <w:b/>
      <w:bCs/>
      <w:color w:val="4f81bd" w:themeColor="accent1"/>
      <w:sz w:val="18"/>
      <w:szCs w:val="18"/>
    </w:rPr>
  </w:style>
  <w:style w:type="table" w:styleId="717">
    <w:name w:val="Table Grid Light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Footnote Text Char"/>
    <w:link w:val="870"/>
    <w:uiPriority w:val="99"/>
    <w:rPr>
      <w:sz w:val="18"/>
    </w:rPr>
  </w:style>
  <w:style w:type="paragraph" w:styleId="843">
    <w:name w:val="endnote text"/>
    <w:basedOn w:val="857"/>
    <w:link w:val="844"/>
    <w:uiPriority w:val="99"/>
    <w:semiHidden/>
    <w:unhideWhenUsed/>
    <w:pPr>
      <w:spacing w:after="0" w:line="240" w:lineRule="auto"/>
    </w:pPr>
    <w:rPr>
      <w:sz w:val="20"/>
    </w:rPr>
  </w:style>
  <w:style w:type="character" w:styleId="844">
    <w:name w:val="Endnote Text Char"/>
    <w:link w:val="843"/>
    <w:uiPriority w:val="99"/>
    <w:rPr>
      <w:sz w:val="20"/>
    </w:rPr>
  </w:style>
  <w:style w:type="character" w:styleId="845">
    <w:name w:val="endnote reference"/>
    <w:basedOn w:val="858"/>
    <w:uiPriority w:val="99"/>
    <w:semiHidden/>
    <w:unhideWhenUsed/>
    <w:rPr>
      <w:vertAlign w:val="superscript"/>
    </w:rPr>
  </w:style>
  <w:style w:type="paragraph" w:styleId="846">
    <w:name w:val="toc 1"/>
    <w:basedOn w:val="857"/>
    <w:next w:val="857"/>
    <w:uiPriority w:val="39"/>
    <w:unhideWhenUsed/>
    <w:pPr>
      <w:ind w:left="0" w:right="0" w:firstLine="0"/>
      <w:spacing w:after="57"/>
    </w:pPr>
  </w:style>
  <w:style w:type="paragraph" w:styleId="847">
    <w:name w:val="toc 2"/>
    <w:basedOn w:val="857"/>
    <w:next w:val="857"/>
    <w:uiPriority w:val="39"/>
    <w:unhideWhenUsed/>
    <w:pPr>
      <w:ind w:left="283" w:right="0" w:firstLine="0"/>
      <w:spacing w:after="57"/>
    </w:pPr>
  </w:style>
  <w:style w:type="paragraph" w:styleId="848">
    <w:name w:val="toc 3"/>
    <w:basedOn w:val="857"/>
    <w:next w:val="857"/>
    <w:uiPriority w:val="39"/>
    <w:unhideWhenUsed/>
    <w:pPr>
      <w:ind w:left="567" w:right="0" w:firstLine="0"/>
      <w:spacing w:after="57"/>
    </w:pPr>
  </w:style>
  <w:style w:type="paragraph" w:styleId="849">
    <w:name w:val="toc 4"/>
    <w:basedOn w:val="857"/>
    <w:next w:val="857"/>
    <w:uiPriority w:val="39"/>
    <w:unhideWhenUsed/>
    <w:pPr>
      <w:ind w:left="850" w:right="0" w:firstLine="0"/>
      <w:spacing w:after="57"/>
    </w:pPr>
  </w:style>
  <w:style w:type="paragraph" w:styleId="850">
    <w:name w:val="toc 5"/>
    <w:basedOn w:val="857"/>
    <w:next w:val="857"/>
    <w:uiPriority w:val="39"/>
    <w:unhideWhenUsed/>
    <w:pPr>
      <w:ind w:left="1134" w:right="0" w:firstLine="0"/>
      <w:spacing w:after="57"/>
    </w:pPr>
  </w:style>
  <w:style w:type="paragraph" w:styleId="851">
    <w:name w:val="toc 6"/>
    <w:basedOn w:val="857"/>
    <w:next w:val="857"/>
    <w:uiPriority w:val="39"/>
    <w:unhideWhenUsed/>
    <w:pPr>
      <w:ind w:left="1417" w:right="0" w:firstLine="0"/>
      <w:spacing w:after="57"/>
    </w:pPr>
  </w:style>
  <w:style w:type="paragraph" w:styleId="852">
    <w:name w:val="toc 7"/>
    <w:basedOn w:val="857"/>
    <w:next w:val="857"/>
    <w:uiPriority w:val="39"/>
    <w:unhideWhenUsed/>
    <w:pPr>
      <w:ind w:left="1701" w:right="0" w:firstLine="0"/>
      <w:spacing w:after="57"/>
    </w:pPr>
  </w:style>
  <w:style w:type="paragraph" w:styleId="853">
    <w:name w:val="toc 8"/>
    <w:basedOn w:val="857"/>
    <w:next w:val="857"/>
    <w:uiPriority w:val="39"/>
    <w:unhideWhenUsed/>
    <w:pPr>
      <w:ind w:left="1984" w:right="0" w:firstLine="0"/>
      <w:spacing w:after="57"/>
    </w:pPr>
  </w:style>
  <w:style w:type="paragraph" w:styleId="854">
    <w:name w:val="toc 9"/>
    <w:basedOn w:val="857"/>
    <w:next w:val="857"/>
    <w:uiPriority w:val="39"/>
    <w:unhideWhenUsed/>
    <w:pPr>
      <w:ind w:left="2268" w:right="0" w:firstLine="0"/>
      <w:spacing w:after="57"/>
    </w:pPr>
  </w:style>
  <w:style w:type="paragraph" w:styleId="855">
    <w:name w:val="TOC Heading"/>
    <w:uiPriority w:val="39"/>
    <w:unhideWhenUsed/>
  </w:style>
  <w:style w:type="paragraph" w:styleId="856">
    <w:name w:val="table of figures"/>
    <w:basedOn w:val="857"/>
    <w:next w:val="857"/>
    <w:uiPriority w:val="99"/>
    <w:unhideWhenUsed/>
    <w:pPr>
      <w:spacing w:after="0" w:afterAutospacing="0"/>
    </w:pPr>
  </w:style>
  <w:style w:type="paragraph" w:styleId="857" w:default="1">
    <w:name w:val="Normal"/>
    <w:qFormat/>
  </w:style>
  <w:style w:type="character" w:styleId="858" w:default="1">
    <w:name w:val="Default Paragraph Font"/>
    <w:uiPriority w:val="1"/>
    <w:semiHidden/>
    <w:unhideWhenUsed/>
  </w:style>
  <w:style w:type="table" w:styleId="8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0" w:default="1">
    <w:name w:val="No List"/>
    <w:uiPriority w:val="99"/>
    <w:semiHidden/>
    <w:unhideWhenUsed/>
  </w:style>
  <w:style w:type="paragraph" w:styleId="861">
    <w:name w:val="List Paragraph"/>
    <w:basedOn w:val="857"/>
    <w:uiPriority w:val="34"/>
    <w:qFormat/>
    <w:pPr>
      <w:contextualSpacing/>
      <w:ind w:left="720"/>
    </w:pPr>
  </w:style>
  <w:style w:type="paragraph" w:styleId="862" w:customStyle="1">
    <w:name w:val="КДОснНрмрвнн1"/>
    <w:basedOn w:val="866"/>
    <w:link w:val="863"/>
    <w:qFormat/>
    <w:pPr>
      <w:numPr>
        <w:ilvl w:val="0"/>
        <w:numId w:val="2"/>
      </w:numPr>
      <w:ind w:left="0" w:firstLine="56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63" w:customStyle="1">
    <w:name w:val="КДОснНрмрвнн1 Знак"/>
    <w:basedOn w:val="867"/>
    <w:link w:val="86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64" w:customStyle="1">
    <w:name w:val="КДОснНрмрвнн2"/>
    <w:basedOn w:val="862"/>
    <w:qFormat/>
    <w:pPr>
      <w:numPr>
        <w:ilvl w:val="1"/>
      </w:numPr>
      <w:ind w:left="0" w:firstLine="567"/>
      <w:tabs>
        <w:tab w:val="num" w:pos="360" w:leader="none"/>
      </w:tabs>
    </w:pPr>
    <w:rPr>
      <w:rFonts w:eastAsia="Calibri"/>
    </w:rPr>
  </w:style>
  <w:style w:type="paragraph" w:styleId="865" w:customStyle="1">
    <w:name w:val="КДОснНрмрвнн3"/>
    <w:basedOn w:val="864"/>
    <w:qFormat/>
    <w:pPr>
      <w:numPr>
        <w:ilvl w:val="2"/>
      </w:numPr>
      <w:ind w:left="0" w:firstLine="567"/>
      <w:tabs>
        <w:tab w:val="num" w:pos="360" w:leader="none"/>
      </w:tabs>
    </w:pPr>
  </w:style>
  <w:style w:type="paragraph" w:styleId="866">
    <w:name w:val="Body Text Indent"/>
    <w:basedOn w:val="857"/>
    <w:link w:val="867"/>
    <w:uiPriority w:val="99"/>
    <w:semiHidden/>
    <w:unhideWhenUsed/>
    <w:pPr>
      <w:ind w:left="283"/>
      <w:spacing w:after="120"/>
    </w:pPr>
  </w:style>
  <w:style w:type="character" w:styleId="867" w:customStyle="1">
    <w:name w:val="Основной текст с отступом Знак"/>
    <w:basedOn w:val="858"/>
    <w:link w:val="866"/>
    <w:uiPriority w:val="99"/>
    <w:semiHidden/>
  </w:style>
  <w:style w:type="paragraph" w:styleId="868" w:customStyle="1">
    <w:name w:val="КДОбчн"/>
    <w:basedOn w:val="857"/>
    <w:link w:val="869"/>
    <w:qFormat/>
    <w:pPr>
      <w:ind w:firstLine="567"/>
      <w:jc w:val="both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69" w:customStyle="1">
    <w:name w:val="КДОбчн Знак"/>
    <w:basedOn w:val="858"/>
    <w:link w:val="868"/>
    <w:rPr>
      <w:rFonts w:ascii="Times New Roman" w:hAnsi="Times New Roman" w:cs="Times New Roman"/>
      <w:sz w:val="24"/>
      <w:szCs w:val="24"/>
    </w:rPr>
  </w:style>
  <w:style w:type="paragraph" w:styleId="870">
    <w:name w:val="footnote text"/>
    <w:basedOn w:val="857"/>
    <w:link w:val="871"/>
    <w:uiPriority w:val="99"/>
    <w:unhideWhenUsed/>
    <w:pPr>
      <w:spacing w:after="0" w:line="240" w:lineRule="auto"/>
    </w:pPr>
    <w:rPr>
      <w:sz w:val="20"/>
      <w:szCs w:val="20"/>
    </w:rPr>
  </w:style>
  <w:style w:type="character" w:styleId="871" w:customStyle="1">
    <w:name w:val="Текст сноски Знак"/>
    <w:basedOn w:val="858"/>
    <w:link w:val="870"/>
    <w:uiPriority w:val="99"/>
    <w:rPr>
      <w:sz w:val="20"/>
      <w:szCs w:val="20"/>
    </w:rPr>
  </w:style>
  <w:style w:type="character" w:styleId="872">
    <w:name w:val="footnote reference"/>
    <w:basedOn w:val="858"/>
    <w:uiPriority w:val="99"/>
    <w:unhideWhenUsed/>
    <w:rPr>
      <w:vertAlign w:val="superscript"/>
    </w:rPr>
  </w:style>
  <w:style w:type="paragraph" w:styleId="873">
    <w:name w:val="Header"/>
    <w:basedOn w:val="857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858"/>
    <w:link w:val="873"/>
    <w:uiPriority w:val="99"/>
  </w:style>
  <w:style w:type="paragraph" w:styleId="875">
    <w:name w:val="Footer"/>
    <w:basedOn w:val="857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858"/>
    <w:link w:val="875"/>
    <w:uiPriority w:val="99"/>
  </w:style>
  <w:style w:type="table" w:styleId="877">
    <w:name w:val="Table Grid"/>
    <w:basedOn w:val="859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8">
    <w:name w:val="Hyperlink"/>
    <w:basedOn w:val="85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4517-CDC3-4FF5-A821-7AD97034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Наталья Анатольевна</dc:creator>
  <cp:keywords/>
  <dc:description/>
  <cp:lastModifiedBy>anastasia.okina</cp:lastModifiedBy>
  <cp:revision>15</cp:revision>
  <dcterms:created xsi:type="dcterms:W3CDTF">2023-08-22T09:18:00Z</dcterms:created>
  <dcterms:modified xsi:type="dcterms:W3CDTF">2026-06-25T07:16:40Z</dcterms:modified>
</cp:coreProperties>
</file>