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6"/>
        <w:jc w:val="righ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                    ПРОЕКТ</w:t>
      </w:r>
      <w:r>
        <w:rPr>
          <w:rFonts w:ascii="Times New Roman" w:hAnsi="Times New Roman"/>
          <w:b/>
          <w:i/>
          <w:sz w:val="22"/>
          <w:szCs w:val="22"/>
        </w:rPr>
      </w:r>
      <w:r>
        <w:rPr>
          <w:rFonts w:ascii="Times New Roman" w:hAnsi="Times New Roman"/>
          <w:b/>
          <w:i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Государственный Контракт №________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на оказание </w:t>
      </w:r>
      <w:r>
        <w:rPr>
          <w:rFonts w:ascii="Times New Roman" w:hAnsi="Times New Roman"/>
          <w:b/>
          <w:sz w:val="22"/>
          <w:szCs w:val="22"/>
        </w:rPr>
        <w:t xml:space="preserve">услуг по специальной оценк</w:t>
      </w:r>
      <w:r>
        <w:rPr>
          <w:rFonts w:ascii="Times New Roman" w:hAnsi="Times New Roman"/>
          <w:b/>
          <w:sz w:val="22"/>
          <w:szCs w:val="22"/>
        </w:rPr>
        <w:t xml:space="preserve">е</w:t>
      </w:r>
      <w:r>
        <w:rPr>
          <w:rFonts w:ascii="Times New Roman" w:hAnsi="Times New Roman"/>
          <w:b/>
          <w:sz w:val="22"/>
          <w:szCs w:val="22"/>
        </w:rPr>
        <w:t xml:space="preserve"> условий труда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t xml:space="preserve">г. Горно-Алтайск           </w:t>
      </w: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</w:t>
      </w: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«</w:t>
      </w:r>
      <w:r>
        <w:rPr>
          <w:rFonts w:ascii="Times New Roman" w:hAnsi="Times New Roman"/>
          <w:sz w:val="22"/>
          <w:szCs w:val="22"/>
        </w:rPr>
        <w:t xml:space="preserve">____» ____________ </w:t>
      </w:r>
      <w:r>
        <w:rPr>
          <w:rFonts w:ascii="Times New Roman" w:hAnsi="Times New Roman"/>
          <w:sz w:val="22"/>
          <w:szCs w:val="22"/>
        </w:rPr>
        <w:t xml:space="preserve">202</w:t>
      </w:r>
      <w:r>
        <w:rPr>
          <w:rFonts w:ascii="Times New Roman" w:hAnsi="Times New Roman"/>
          <w:sz w:val="22"/>
          <w:szCs w:val="22"/>
        </w:rPr>
        <w:t xml:space="preserve">6 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86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  <w:lang w:eastAsia="en-US"/>
        </w:rPr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Республике Алтай (Управление Росреестра по Республике Алтай), именуемое в дальнейшем «Заказчик» в лице руководителя Вопиловской Ларисы Александровны, действующего на основа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нии Положения об Управлении Федеральной службы государственной регистрации, кадастра и картографии по Республике Алтай, утвержденного приказом Росреестра № П/0117 от 06.04.2023 года, и приказа  Минэкономразвития России от 03.11.2011 № 2935 - л,  с одной сто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роны,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</w:r>
      <w:r>
        <w:rPr>
          <w:rFonts w:ascii="Times New Roman" w:hAnsi="Times New Roman" w:cs="Times New Roman"/>
          <w:sz w:val="22"/>
          <w:szCs w:val="22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___________</w:t>
      </w:r>
      <w:r>
        <w:rPr>
          <w:rFonts w:ascii="Times New Roman" w:hAnsi="Times New Roman" w:cs="Times New Roman"/>
          <w:sz w:val="22"/>
          <w:szCs w:val="22"/>
        </w:rPr>
        <w:t xml:space="preserve">_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(полное наименование организации, оказывающей услуги по проведению специальной  оценки условий труда, реквизиты аттестата аккредитации испытательной лаборатории (центра), место нахождения испытательной лаборатории)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лице ________________________________________, действующего(ей) на основании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6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(должность, фамилия, имя, отчество (при наличии) </w:t>
      </w:r>
      <w:r>
        <w:rPr>
          <w:rFonts w:ascii="Times New Roman" w:hAnsi="Times New Roman" w:cs="Times New Roman"/>
          <w:sz w:val="22"/>
          <w:szCs w:val="22"/>
        </w:rPr>
        <w:t xml:space="preserve">__________</w:t>
      </w:r>
      <w:r>
        <w:rPr>
          <w:rFonts w:ascii="Times New Roman" w:hAnsi="Times New Roman" w:cs="Times New Roman"/>
          <w:sz w:val="22"/>
          <w:szCs w:val="22"/>
        </w:rPr>
        <w:t xml:space="preserve">_________________</w:t>
      </w:r>
      <w:r>
        <w:rPr>
          <w:rFonts w:ascii="Times New Roman" w:hAnsi="Times New Roman" w:cs="Times New Roman"/>
          <w:sz w:val="22"/>
          <w:szCs w:val="22"/>
        </w:rPr>
        <w:t xml:space="preserve">, именуемый в дальнейшем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6"/>
        <w:ind w:left="-709"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(название и реквизиты правового акта, удостоверяющего полномочия)</w:t>
      </w:r>
      <w:r>
        <w:rPr>
          <w:rFonts w:ascii="Times New Roman" w:hAnsi="Times New Roman" w:cs="Times New Roman"/>
          <w:sz w:val="22"/>
          <w:szCs w:val="22"/>
          <w:vertAlign w:val="superscript"/>
        </w:rPr>
      </w:r>
      <w:r>
        <w:rPr>
          <w:rFonts w:ascii="Times New Roman" w:hAnsi="Times New Roman" w:cs="Times New Roman"/>
          <w:sz w:val="22"/>
          <w:szCs w:val="22"/>
          <w:vertAlign w:val="superscript"/>
        </w:rPr>
      </w:r>
    </w:p>
    <w:p>
      <w:pPr>
        <w:pStyle w:val="986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«Исполнитель», с другой стороны, именуемые в дальнейшем «Стороны» и каждый в отдельности «Сторона», </w:t>
      </w:r>
      <w:r>
        <w:rPr>
          <w:rFonts w:ascii="Times New Roman" w:hAnsi="Times New Roman" w:cs="Times New Roman"/>
          <w:bCs/>
          <w:sz w:val="22"/>
          <w:szCs w:val="22"/>
        </w:rPr>
        <w:t xml:space="preserve">в соответствии с Федеральным законом от 28 декабря 2013 г. № 426-ФЗ «О специальной оценке условий труда» (далее – Федеральный закон </w:t>
      </w:r>
      <w:r>
        <w:rPr>
          <w:rFonts w:ascii="Times New Roman" w:hAnsi="Times New Roman" w:cs="Times New Roman"/>
          <w:sz w:val="22"/>
          <w:szCs w:val="22"/>
        </w:rPr>
        <w:t xml:space="preserve">от 28.12.2013 </w:t>
      </w:r>
      <w:r>
        <w:rPr>
          <w:rFonts w:ascii="Times New Roman" w:hAnsi="Times New Roman" w:cs="Times New Roman"/>
          <w:bCs/>
          <w:sz w:val="22"/>
          <w:szCs w:val="22"/>
        </w:rPr>
        <w:t xml:space="preserve">№ 426-ФЗ), нормами Трудового кодекса Российской Федерации </w:t>
      </w:r>
      <w:r>
        <w:rPr>
          <w:rFonts w:ascii="Times New Roman" w:hAnsi="Times New Roman" w:cs="Times New Roman"/>
          <w:bCs/>
          <w:sz w:val="22"/>
          <w:szCs w:val="22"/>
        </w:rPr>
        <w:t xml:space="preserve">и приказом Минтруда России от 21 ноября 2023 г. № 817</w:t>
      </w:r>
      <w:r>
        <w:rPr>
          <w:rFonts w:ascii="Times New Roman" w:hAnsi="Times New Roman" w:cs="Times New Roman"/>
          <w:bCs/>
          <w:sz w:val="22"/>
          <w:szCs w:val="22"/>
        </w:rPr>
        <w:t xml:space="preserve">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(дале</w:t>
      </w:r>
      <w:r>
        <w:rPr>
          <w:rFonts w:ascii="Times New Roman" w:hAnsi="Times New Roman" w:cs="Times New Roman"/>
          <w:bCs/>
          <w:sz w:val="22"/>
          <w:szCs w:val="22"/>
        </w:rPr>
        <w:t xml:space="preserve">е – Приказ Минтруда России от 21.11.2023 № 817</w:t>
      </w:r>
      <w:r>
        <w:rPr>
          <w:rFonts w:ascii="Times New Roman" w:hAnsi="Times New Roman" w:cs="Times New Roman"/>
          <w:bCs/>
          <w:sz w:val="22"/>
          <w:szCs w:val="22"/>
        </w:rPr>
        <w:t xml:space="preserve">н), с соблюдением требований Гражданского кодекса Российской Федерации, идентификационный код закупки </w:t>
      </w:r>
      <w:r>
        <w:rPr>
          <w:rFonts w:ascii="Times New Roman" w:hAnsi="Times New Roman" w:cs="Times New Roman"/>
          <w:bCs/>
          <w:sz w:val="22"/>
          <w:szCs w:val="22"/>
        </w:rPr>
        <w:t xml:space="preserve">№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261041111975704110100100130000000244</w:t>
      </w:r>
      <w:r>
        <w:rPr>
          <w:rFonts w:ascii="Times New Roman" w:hAnsi="Times New Roman" w:cs="Times New Roman"/>
          <w:bCs/>
          <w:sz w:val="22"/>
          <w:szCs w:val="22"/>
        </w:rPr>
        <w:t xml:space="preserve">,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пункта 4  части 1 статьи 93 Федерального закона от </w:t>
      </w:r>
      <w:r>
        <w:rPr>
          <w:rFonts w:ascii="Times New Roman" w:hAnsi="Times New Roman" w:cs="Times New Roman"/>
          <w:sz w:val="22"/>
          <w:szCs w:val="22"/>
        </w:rPr>
        <w:t xml:space="preserve">05.04.2013</w:t>
      </w:r>
      <w:r>
        <w:rPr>
          <w:rFonts w:ascii="Times New Roman" w:hAnsi="Times New Roman" w:cs="Times New Roman"/>
          <w:sz w:val="22"/>
          <w:szCs w:val="22"/>
        </w:rPr>
        <w:t xml:space="preserve"> № 44-ФЗ,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sz w:val="22"/>
          <w:szCs w:val="22"/>
        </w:rPr>
        <w:t xml:space="preserve"> заключили настоящий Государственный контракт (далее - Контракт) о нижеследующем:</w:t>
      </w:r>
      <w:r>
        <w:rPr>
          <w:rFonts w:ascii="Times New Roman" w:hAnsi="Times New Roman" w:cs="Times New Roman"/>
          <w:sz w:val="22"/>
          <w:szCs w:val="22"/>
          <w:vertAlign w:val="superscript"/>
        </w:rPr>
      </w:r>
      <w:r>
        <w:rPr>
          <w:rFonts w:ascii="Times New Roman" w:hAnsi="Times New Roman" w:cs="Times New Roman"/>
          <w:sz w:val="22"/>
          <w:szCs w:val="22"/>
          <w:vertAlign w:val="superscript"/>
        </w:rPr>
      </w:r>
    </w:p>
    <w:p>
      <w:pPr>
        <w:pStyle w:val="986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/>
        <w:widowControl w:val="o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ПРЕДМЕТ КОНТРАКТА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Заказчик поручает, а Исполнитель принимает на себя обязательства по оказанию </w:t>
      </w:r>
      <w:r>
        <w:rPr>
          <w:rFonts w:ascii="Times New Roman" w:hAnsi="Times New Roman"/>
          <w:sz w:val="22"/>
          <w:szCs w:val="22"/>
        </w:rPr>
        <w:t xml:space="preserve">услуг по специальной оценк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условий труда (далее соответственно – СОУТ, Услуги).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 Требования к характеристикам и объему (содержанию) оказанных Услуг, а также иные условия оказания Услуг </w:t>
      </w:r>
      <w:r>
        <w:rPr>
          <w:rFonts w:ascii="Times New Roman" w:hAnsi="Times New Roman"/>
          <w:sz w:val="22"/>
          <w:szCs w:val="22"/>
        </w:rPr>
        <w:t xml:space="preserve">определяются техническим заданием на оказание Услуг, предусмотренным приложением № 1 к Контракту (код предмета Контракта по общероссийскому классификатору продукции по видам экономической деятельности (ОКПД2) – </w:t>
      </w:r>
      <w:r>
        <w:rPr>
          <w:rFonts w:ascii="Times New Roman" w:hAnsi="Times New Roman"/>
          <w:sz w:val="22"/>
          <w:szCs w:val="22"/>
        </w:rPr>
        <w:t xml:space="preserve">71.20.19.130</w:t>
      </w:r>
      <w:r>
        <w:rPr>
          <w:rFonts w:ascii="Times New Roman" w:hAnsi="Times New Roman"/>
          <w:sz w:val="22"/>
          <w:szCs w:val="22"/>
        </w:rPr>
        <w:t xml:space="preserve"> услуги по оценке условий труда).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Услуга состоит из последовательно реализуемых процедур: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1.3.1. идентификация потенциально вредных и (или) опасных производственных факторов;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1.3.2. исследования (испытания) и измерения вредных и (или) опасных производственных факторов;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1.3.3. 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1.3.4. оформление результатов проведения СОУТ.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Сроки оказания Услуг: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  <w14:ligatures w14:val="none"/>
        </w:rPr>
      </w:pPr>
      <w:r>
        <w:rPr>
          <w:rFonts w:ascii="Times New Roman" w:hAnsi="Times New Roman"/>
          <w:sz w:val="22"/>
          <w:szCs w:val="22"/>
        </w:rPr>
        <w:t xml:space="preserve">Исполнитель оказывает услу</w:t>
      </w:r>
      <w:r>
        <w:rPr>
          <w:rFonts w:ascii="Times New Roman" w:hAnsi="Times New Roman"/>
          <w:sz w:val="22"/>
          <w:szCs w:val="22"/>
        </w:rPr>
        <w:t xml:space="preserve">ги: </w:t>
      </w:r>
      <w:r>
        <w:rPr>
          <w:rFonts w:ascii="Times New Roman" w:hAnsi="Times New Roman"/>
          <w:sz w:val="22"/>
          <w:szCs w:val="22"/>
        </w:rPr>
        <w:t xml:space="preserve">с момента заключения контракта,  но не позднее 30.11.2026. Дата начала и окончания услуг согласовывается с Заказчиком.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  <w14:ligatures w14:val="none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1.5. Место оказания Услуг: </w:t>
      </w:r>
      <w:r>
        <w:rPr>
          <w:rFonts w:ascii="Times New Roman" w:hAnsi="Times New Roman"/>
          <w:sz w:val="22"/>
          <w:szCs w:val="22"/>
        </w:rPr>
        <w:t xml:space="preserve">в соответствии с</w:t>
      </w:r>
      <w:r>
        <w:rPr>
          <w:rFonts w:ascii="Times New Roman" w:hAnsi="Times New Roman"/>
          <w:sz w:val="22"/>
          <w:szCs w:val="22"/>
        </w:rPr>
        <w:t xml:space="preserve"> п.</w:t>
      </w:r>
      <w:r>
        <w:rPr>
          <w:rFonts w:ascii="Times New Roman" w:hAnsi="Times New Roman"/>
          <w:sz w:val="22"/>
          <w:szCs w:val="22"/>
        </w:rPr>
        <w:t xml:space="preserve">1.</w:t>
      </w:r>
      <w:r>
        <w:rPr>
          <w:rFonts w:ascii="Times New Roman" w:hAnsi="Times New Roman"/>
          <w:sz w:val="22"/>
          <w:szCs w:val="22"/>
        </w:rPr>
        <w:t xml:space="preserve">3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технического задания </w:t>
      </w:r>
      <w:r>
        <w:rPr>
          <w:rFonts w:ascii="Times New Roman" w:hAnsi="Times New Roman"/>
          <w:sz w:val="22"/>
          <w:szCs w:val="22"/>
        </w:rPr>
        <w:t xml:space="preserve">(П</w:t>
      </w:r>
      <w:r>
        <w:rPr>
          <w:rFonts w:ascii="Times New Roman" w:hAnsi="Times New Roman"/>
          <w:sz w:val="22"/>
          <w:szCs w:val="22"/>
        </w:rPr>
        <w:t xml:space="preserve">риложени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№ 1 к Контракту</w:t>
      </w:r>
      <w:r>
        <w:rPr>
          <w:rFonts w:ascii="Times New Roman" w:hAnsi="Times New Roman"/>
          <w:sz w:val="22"/>
          <w:szCs w:val="22"/>
        </w:rPr>
        <w:t xml:space="preserve">)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1.6. Срок сдачи Исполнителем отчета о проведении СОУТ и представления документов на оплату ока</w:t>
      </w:r>
      <w:r>
        <w:rPr>
          <w:rFonts w:ascii="Times New Roman" w:hAnsi="Times New Roman"/>
          <w:sz w:val="22"/>
          <w:szCs w:val="22"/>
        </w:rPr>
        <w:t xml:space="preserve">занных Услуг: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t xml:space="preserve"> до 30 ноября 2026 г.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1.7. Место сдачи результатов оказанных Услуг: 64900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2,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Республика Алтай, г. Горно-Алтайск, ул. Строителей, д. 8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КОНТРАКТА И ПОРЯДОК РАСЧЕТОВ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 Цена Контракта устанавливается в российских рублях.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 Цена Контракта составляет __________ (__________________) руб. __ коп., </w:t>
      </w:r>
      <w:r>
        <w:rPr>
          <w:rFonts w:ascii="Times New Roman" w:hAnsi="Times New Roman"/>
          <w:sz w:val="22"/>
          <w:szCs w:val="22"/>
        </w:rPr>
        <w:t xml:space="preserve">в том числе НДС _____ (_____) рублей _____ копеек/НДС не облагается (указывается в зависимости от способа налогообложения Исполнителя).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Цена Контракта является твердой и не подлежит изменению в течение срока действия Контракта за исключением случаев, предусмотренных Федеральным законом от 05.04.2013 № 44-ФЗ.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89"/>
        <w:numPr>
          <w:ilvl w:val="0"/>
          <w:numId w:val="0"/>
        </w:numPr>
        <w:ind w:firstLine="709"/>
        <w:tabs>
          <w:tab w:val="left" w:pos="708" w:leader="none"/>
        </w:tabs>
        <w:rPr>
          <w:iCs/>
          <w:sz w:val="22"/>
          <w:szCs w:val="22"/>
        </w:rPr>
      </w:pPr>
      <w:r>
        <w:rPr>
          <w:sz w:val="22"/>
          <w:szCs w:val="22"/>
        </w:rPr>
        <w:t xml:space="preserve">2.4. В цену Контракта входят все расходы, связанные с выполнением Исполнителем обязательств по Контракту, включая расходы на уплату налог</w:t>
      </w:r>
      <w:r>
        <w:rPr>
          <w:sz w:val="22"/>
          <w:szCs w:val="22"/>
        </w:rPr>
        <w:t xml:space="preserve">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В соответствии с частью 13 статьи 34 Федерального закона от 05.04.2013 № 44-ФЗ </w:t>
      </w:r>
      <w:r>
        <w:rPr>
          <w:iCs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iCs/>
          <w:sz w:val="22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>
      <w:pPr>
        <w:pStyle w:val="989"/>
        <w:numPr>
          <w:ilvl w:val="0"/>
          <w:numId w:val="0"/>
        </w:numPr>
        <w:ind w:firstLine="709"/>
        <w:tabs>
          <w:tab w:val="left" w:pos="70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2.5. Оплата Услуг производится в форме безналичных расчетов.</w:t>
      </w:r>
      <w:r>
        <w:rPr>
          <w:sz w:val="22"/>
          <w:szCs w:val="22"/>
        </w:rPr>
        <w:t xml:space="preserve"> Оплата в декабре месяце производится не позднее 29 декабря 2026 года.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2.6</w:t>
      </w:r>
      <w:r>
        <w:rPr>
          <w:rFonts w:ascii="Times New Roman" w:hAnsi="Times New Roman" w:cs="Times New Roman"/>
          <w:sz w:val="22"/>
          <w:szCs w:val="22"/>
        </w:rPr>
        <w:t xml:space="preserve">.  </w:t>
      </w:r>
      <w:r>
        <w:rPr>
          <w:rFonts w:ascii="Times New Roman" w:hAnsi="Times New Roman" w:cs="Times New Roman"/>
          <w:sz w:val="22"/>
          <w:szCs w:val="22"/>
        </w:rPr>
        <w:t xml:space="preserve">Оплата за фактически</w:t>
      </w:r>
      <w:r>
        <w:rPr>
          <w:rFonts w:ascii="Times New Roman" w:hAnsi="Times New Roman" w:cs="Times New Roman"/>
          <w:sz w:val="22"/>
          <w:szCs w:val="22"/>
        </w:rPr>
        <w:t xml:space="preserve"> оказанные услуги</w:t>
      </w:r>
      <w:r>
        <w:rPr>
          <w:rFonts w:ascii="Times New Roman" w:hAnsi="Times New Roman" w:cs="Times New Roman"/>
          <w:sz w:val="22"/>
          <w:szCs w:val="22"/>
        </w:rPr>
        <w:t xml:space="preserve"> производится Заказчиком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без авансового платежа в течение 10 (</w:t>
      </w:r>
      <w:r>
        <w:rPr>
          <w:rFonts w:ascii="Times New Roman" w:hAnsi="Times New Roman" w:cs="Times New Roman"/>
          <w:sz w:val="22"/>
          <w:szCs w:val="22"/>
        </w:rPr>
        <w:t xml:space="preserve">десяти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рабочих дней </w:t>
      </w:r>
      <w:r>
        <w:rPr>
          <w:rFonts w:ascii="Times New Roman" w:hAnsi="Times New Roman" w:cs="Times New Roman"/>
          <w:sz w:val="22"/>
          <w:szCs w:val="22"/>
        </w:rPr>
        <w:t xml:space="preserve">с даты подписания Заказчиком</w:t>
      </w:r>
      <w:r>
        <w:rPr>
          <w:rFonts w:ascii="Times New Roman" w:hAnsi="Times New Roman" w:cs="Times New Roman"/>
          <w:sz w:val="22"/>
          <w:szCs w:val="22"/>
        </w:rPr>
        <w:t xml:space="preserve"> документа о приемке (</w:t>
      </w:r>
      <w:r>
        <w:rPr>
          <w:rFonts w:ascii="Times New Roman" w:hAnsi="Times New Roman" w:eastAsia="Calibri" w:cs="Times New Roman"/>
          <w:sz w:val="22"/>
          <w:szCs w:val="22"/>
        </w:rPr>
        <w:t xml:space="preserve">акта сдачи-приемки оказанных услуг</w:t>
      </w:r>
      <w:r>
        <w:rPr>
          <w:rFonts w:ascii="Times New Roman" w:hAnsi="Times New Roman" w:cs="Times New Roman"/>
          <w:sz w:val="22"/>
          <w:szCs w:val="22"/>
        </w:rPr>
        <w:t xml:space="preserve">) на основании надлежащим образом оформленного Исполнителем счета/счета-фактуры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sz w:val="22"/>
          <w:szCs w:val="22"/>
        </w:rPr>
        <w:t xml:space="preserve">/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Финансирование Договора осуществляется за счет средств федерального бюджета в пределах лим</w:t>
      </w:r>
      <w:r>
        <w:rPr>
          <w:rFonts w:ascii="Times New Roman" w:hAnsi="Times New Roman" w:cs="Times New Roman"/>
          <w:sz w:val="22"/>
          <w:szCs w:val="22"/>
        </w:rPr>
        <w:t xml:space="preserve">итов бюджетных обязательств 202</w:t>
      </w:r>
      <w:r>
        <w:rPr>
          <w:rFonts w:ascii="Times New Roman" w:hAnsi="Times New Roman" w:cs="Times New Roman"/>
          <w:sz w:val="22"/>
          <w:szCs w:val="22"/>
        </w:rPr>
        <w:t xml:space="preserve">6 года по 244 коду вида расходов классификации расходов бюджетов.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6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2.</w:t>
      </w:r>
      <w:r>
        <w:rPr>
          <w:rFonts w:ascii="Times New Roman" w:hAnsi="Times New Roman"/>
          <w:sz w:val="22"/>
          <w:szCs w:val="22"/>
        </w:rPr>
        <w:t xml:space="preserve">7</w:t>
      </w:r>
      <w:r>
        <w:rPr>
          <w:rFonts w:ascii="Times New Roman" w:hAnsi="Times New Roman"/>
          <w:sz w:val="22"/>
          <w:szCs w:val="22"/>
        </w:rPr>
        <w:t xml:space="preserve">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</w:t>
      </w: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. Датой оплаты Услуг считается дата списания денежных средств со счета Заказчика.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</w:p>
    <w:p>
      <w:pPr>
        <w:pStyle w:val="1016"/>
        <w:ind w:firstLine="708"/>
        <w:jc w:val="center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</w:rPr>
        <w:t xml:space="preserve">3. ВЗАИМОДЕЙСТВИЕ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3.1.2. 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3.1.3. требовать и получать от Исполнителя обоснования результатов проведения СОУТ, разъяснения по вопросам проведения СОУТ на рабочих местах 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3.1.4. запрашивать у Исполнителя информацию о ходе оказания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3.1.5. осуществлять контроль за объемом и сроками оказан</w:t>
      </w:r>
      <w:r>
        <w:rPr>
          <w:rFonts w:ascii="Times New Roman" w:hAnsi="Times New Roman"/>
          <w:sz w:val="22"/>
          <w:szCs w:val="22"/>
        </w:rPr>
        <w:t xml:space="preserve">ия Услуг, проверять ход оказания Услуг, а также их соответствие требованиям к измерениям, осуществляемым испытательной лабораторией (центром) Исполнителя в соответствии с Федеральным законом от 28.12.2013 № 426-ФЗ, не вмешиваясь в деятельность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3.1.6. 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3.1.7. обжаловать в порядке, установленном статьей 26 Федерального закона от 28.12.2013 </w:t>
      </w:r>
      <w:r>
        <w:rPr>
          <w:rFonts w:ascii="Times New Roman" w:hAnsi="Times New Roman"/>
          <w:sz w:val="22"/>
          <w:szCs w:val="22"/>
        </w:rPr>
        <w:t xml:space="preserve">                </w:t>
      </w:r>
      <w:r>
        <w:rPr>
          <w:rFonts w:ascii="Times New Roman" w:hAnsi="Times New Roman"/>
          <w:sz w:val="22"/>
          <w:szCs w:val="22"/>
        </w:rPr>
        <w:t xml:space="preserve">№ 426-ФЗ, действия (бездействие)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3.1.8. самостоятельно в течение срока действия Контракта проверять информацию о соответствии Исполнителя требованиям, установленным пунктом 3 части 1, частями 2 и 3 статьи 19, частями 4 и 5 статьи 21 Федерального закона от 28.12.2013 № 426-ФЗ;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3.1.9. получать от Исполнителя отчет о проведении СОУТ, оформленный в соответствии с требованиями статьи 15 Федерального закона от 28.12.2013 № 426-ФЗ, в срок, установленный Контрактом;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3.1.10.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Заказчик обязуется: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до начала проведения СОУТ предоставить Исполнителю: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приказ о проведении СОУТ;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перечень рабочих мест, подлежащих СОУТ;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штатное расписание организации (содержащее информацию, имеющую отношение к проведению СОУТ);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копии приказов о приеме на работу работников, совмещающих должности, профессии (в случае совмещения);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</w:t>
      </w:r>
      <w:r>
        <w:rPr>
          <w:rFonts w:ascii="Times New Roman" w:hAnsi="Times New Roman" w:cs="Times New Roman"/>
          <w:sz w:val="22"/>
          <w:szCs w:val="22"/>
        </w:rPr>
        <w:t xml:space="preserve">Приказа </w:t>
      </w:r>
      <w:r>
        <w:rPr>
          <w:rFonts w:ascii="Times New Roman" w:hAnsi="Times New Roman" w:cs="Times New Roman"/>
          <w:sz w:val="22"/>
          <w:szCs w:val="22"/>
        </w:rPr>
        <w:t xml:space="preserve">Минздравсоцразвития</w:t>
      </w:r>
      <w:r>
        <w:rPr>
          <w:rFonts w:ascii="Times New Roman" w:hAnsi="Times New Roman" w:cs="Times New Roman"/>
          <w:sz w:val="22"/>
          <w:szCs w:val="22"/>
        </w:rPr>
        <w:t xml:space="preserve"> РФ от 28.01.2021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</w:t>
      </w:r>
      <w:r>
        <w:rPr>
          <w:rFonts w:ascii="Times New Roman" w:hAnsi="Times New Roman" w:cs="Times New Roman"/>
          <w:sz w:val="22"/>
          <w:szCs w:val="22"/>
        </w:rPr>
        <w:t xml:space="preserve">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страховые номера индивидуальных лицевых счетов работников, рабочие места которых подлежат СОУТ согласно Контракта;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перечень оборудования, инструментов и приспособлений, применяемых на рабочих местах, подлежащих СОУТ, а также используемых материалов и сырья;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разъяснения по вопросам проведения СОУТ и предложения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3.2.2. определить ответ</w:t>
      </w:r>
      <w:r>
        <w:rPr>
          <w:rFonts w:ascii="Times New Roman" w:hAnsi="Times New Roman"/>
          <w:sz w:val="22"/>
          <w:szCs w:val="22"/>
        </w:rPr>
        <w:t xml:space="preserve">ственное лицо (лиц) со стороны Заказчика, отвечающее за взаимодействие с Исполнителем по вопросам оказания Услуг в соответствии с Контрактом. Заказчик представляет Исполнителю информацию о назначении ответственного лица (лиц) в письменной форме не позднее </w:t>
      </w:r>
      <w:r>
        <w:rPr>
          <w:rFonts w:ascii="Times New Roman" w:hAnsi="Times New Roman"/>
          <w:sz w:val="22"/>
          <w:szCs w:val="22"/>
        </w:rPr>
        <w:t xml:space="preserve">           </w:t>
      </w:r>
      <w:r>
        <w:rPr>
          <w:rFonts w:ascii="Times New Roman" w:hAnsi="Times New Roman"/>
          <w:sz w:val="22"/>
          <w:szCs w:val="22"/>
        </w:rPr>
        <w:t xml:space="preserve">3-х рабочих дней с даты подписания Контракта;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3.2.3. в процессе проведения СОУТ предоставить Исполнителю необходимые сведения, документы и информац</w:t>
      </w:r>
      <w:r>
        <w:rPr>
          <w:rFonts w:ascii="Times New Roman" w:hAnsi="Times New Roman"/>
          <w:sz w:val="22"/>
          <w:szCs w:val="22"/>
        </w:rPr>
        <w:t xml:space="preserve">ию, которые характеризуют условия труда 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3.2.4. 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3.2.5. содействовать Исполнителю в своевременном и полном проведении СОУТ, создавать для этого соответствующие условия;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3.2.6. обеспечивать доступ к рабочим местам представителям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3.2.7. обеспечивать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и(или) опасных факторов производственной среды и трудового процесса;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3.2.8. сообщать в письменной форме Исполнителю о недостатках, обнаруженных в ходе оказания Услуг, в течение 2 рабочих дней после обнаружения таких недостатков;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3.2.9. давать работникам организации-Заказчика необходимые разъяснения по вопросам проведения СОУТ на их рабочих местах;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3.2.10. своевременно принять и оплатить надлежащим образом оказанные Исполнителем Услуги в соответствии с Контрактом;</w:t>
      </w:r>
      <w:r>
        <w:rPr>
          <w:rFonts w:ascii="Times New Roman" w:hAnsi="Times New Roman"/>
          <w:sz w:val="22"/>
          <w:szCs w:val="22"/>
          <w:u w:val="single"/>
        </w:rPr>
      </w:r>
      <w:r>
        <w:rPr>
          <w:rFonts w:ascii="Times New Roman" w:hAnsi="Times New Roman"/>
          <w:sz w:val="22"/>
          <w:szCs w:val="22"/>
          <w:u w:val="single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3.2.11. в течение 3 рабочих дней с даты утверждения отчета о проведении СОУТ уведомить об этом Исполнителя любым доступным способом, обеспечивающим возможность подтверждения</w:t>
      </w:r>
      <w:r>
        <w:rPr>
          <w:rFonts w:ascii="Times New Roman" w:hAnsi="Times New Roman"/>
          <w:sz w:val="22"/>
          <w:szCs w:val="22"/>
        </w:rPr>
        <w:t xml:space="preserve">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3.2.12. 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об условиях труда на рабочих местах;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3.2.13. исполнять требования законодательства Российской Федерации о СОУТ и иные обязанности, предусмотренные Контрактом.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Предоставляемая Заказчиком информация может содержать персональные данные работников Заказч</w:t>
      </w:r>
      <w:r>
        <w:rPr>
          <w:rFonts w:ascii="Times New Roman" w:hAnsi="Times New Roman"/>
          <w:sz w:val="22"/>
          <w:szCs w:val="22"/>
        </w:rPr>
        <w:t xml:space="preserve">ика. Предоставляя Исполнителю указанную информацию о персональных данных,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 Исполнитель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3.4.1. отказаться в порядке, установленном Федеральным законом от 28.12.2013 № 426-ФЗ, от проведения СОУТ, если при ее проведении возникла либо может возникнуть угроза жизни или здоровью работников организации-Заказчика;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3.4.2. получать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3.4.3. 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3.4.4. 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3.4.5. привлекать к исполнению Контракта соисполнителей;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3.4.6. в случае неисполнения или ненадлежащего исполнения соисполнителем обязательств, предусмотренных Контрактом, заключенным с </w:t>
      </w:r>
      <w:r>
        <w:rPr>
          <w:rFonts w:ascii="Times New Roman" w:hAnsi="Times New Roman"/>
          <w:sz w:val="22"/>
          <w:szCs w:val="22"/>
        </w:rPr>
        <w:t xml:space="preserve">Испо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лнителем, осуществлять замену соисполнителя, с которым ранее был заключен Контракт, на другого соисполнителя.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 Исполнитель обязуется: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3.5.1. предоставлять по требованию Заказчика документы, подтверждающие соответствие Исполнителя требованиям, установленным статьей 19 Федерального закона от 28.12.2013 № 426-ФЗ;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3.5.2. предоставлять по требованию Заказчика обоснования результатов проведения СОУТ, а также давать работникам Заказчика разъяснения по вопросам проведения СОУТ на их рабочих местах;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3.5.3. осуществлять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3.5.4. оказывать Услуги с соблюдением требований, установленных Федеральным законом от 28.12.2013 № 426-ФЗ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а также </w:t>
      </w:r>
      <w:r>
        <w:rPr>
          <w:rFonts w:ascii="Times New Roman" w:hAnsi="Times New Roman"/>
          <w:bCs/>
          <w:sz w:val="22"/>
          <w:szCs w:val="22"/>
        </w:rPr>
        <w:t xml:space="preserve">Приказом Ми</w:t>
      </w:r>
      <w:r>
        <w:rPr>
          <w:rFonts w:ascii="Times New Roman" w:hAnsi="Times New Roman"/>
          <w:bCs/>
          <w:sz w:val="22"/>
          <w:szCs w:val="22"/>
        </w:rPr>
        <w:t xml:space="preserve">нтруда России от 21.11.2023 № 817</w:t>
      </w:r>
      <w:r>
        <w:rPr>
          <w:rFonts w:ascii="Times New Roman" w:hAnsi="Times New Roman"/>
          <w:bCs/>
          <w:sz w:val="22"/>
          <w:szCs w:val="22"/>
        </w:rPr>
        <w:t xml:space="preserve">н в</w:t>
      </w:r>
      <w:r>
        <w:rPr>
          <w:rFonts w:ascii="Times New Roman" w:hAnsi="Times New Roman"/>
          <w:sz w:val="22"/>
          <w:szCs w:val="22"/>
        </w:rPr>
        <w:t xml:space="preserve"> соответствии с областью аккредитации испытательной лаборатории (центра)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3.5.5. применять утвержденные и аттестованные в порядке,</w:t>
      </w:r>
      <w:r>
        <w:rPr>
          <w:rFonts w:ascii="Times New Roman" w:hAnsi="Times New Roman"/>
          <w:sz w:val="22"/>
          <w:szCs w:val="22"/>
        </w:rPr>
        <w:t xml:space="preserve">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3.5.6. обеспечивать соблюдение работниками, оказывающими Услуги, требований </w:t>
      </w:r>
      <w:r>
        <w:rPr>
          <w:rFonts w:ascii="Times New Roman" w:hAnsi="Times New Roman"/>
          <w:sz w:val="22"/>
          <w:szCs w:val="22"/>
        </w:rPr>
        <w:t xml:space="preserve">внутриобъектового</w:t>
      </w:r>
      <w:r>
        <w:rPr>
          <w:rFonts w:ascii="Times New Roman" w:hAnsi="Times New Roman"/>
          <w:sz w:val="22"/>
          <w:szCs w:val="22"/>
        </w:rPr>
        <w:t xml:space="preserve"> режима, режима работы и внутреннего трудового распорядка Заказчика при обязательном наличии у них документов, удостоверяющих личность;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3.5.7. предоставлять по запросу Заказчика информацию о ходе оказания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3.5.8. своевременно устранять выявленные Заказчиком недостатки;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3.5.9. направить Заказчику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</w:t>
      </w:r>
      <w:r>
        <w:rPr>
          <w:rFonts w:ascii="Times New Roman" w:hAnsi="Times New Roman"/>
          <w:sz w:val="22"/>
          <w:szCs w:val="22"/>
        </w:rPr>
        <w:t xml:space="preserve">едитации, внесения в реестр организаций, проводящих СОУТ, записи о приостановлении деятельности, а также о начале процедуры подтверждения компетентности испытательной лаборатории (центра) в течение 2 рабочих дней с даты наступления указанных обстоятельств;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3.5.10. передать Заказчику в срок, установленный Контрактом, отчет о проведении СОУТ на бумажном носителе;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3.5.11. соблюдать требования об обеспечении конфиденциальности информации в соответствии с требованиями законодательства Российской Федерации;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3.5.12. обеспечить сохранность документов, получаемых от Заказчика в ходе оказания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3.5.13.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</w:t>
      </w:r>
      <w:r>
        <w:rPr>
          <w:rFonts w:ascii="Times New Roman" w:hAnsi="Times New Roman"/>
          <w:sz w:val="22"/>
          <w:szCs w:val="22"/>
        </w:rPr>
        <w:t xml:space="preserve">Календарном плане</w:t>
      </w:r>
      <w:r>
        <w:rPr>
          <w:rFonts w:ascii="Times New Roman" w:hAnsi="Times New Roman"/>
          <w:sz w:val="22"/>
          <w:szCs w:val="22"/>
        </w:rPr>
        <w:t xml:space="preserve">, а также акте сдачи-приемки оказанных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3.5.14. предоставлять информацию обо всех соисполнителях, заключивших К</w:t>
      </w:r>
      <w:r>
        <w:rPr>
          <w:rFonts w:ascii="Times New Roman" w:hAnsi="Times New Roman"/>
          <w:sz w:val="22"/>
          <w:szCs w:val="22"/>
        </w:rPr>
        <w:t xml:space="preserve">онтракт или Контракты с Исполнителем, цена которого или общая цена которых составляет более чем 10 процентов цены Контракта. Указанная информация предоставляется Заказчику в течение 10 рабочих дней с даты заключения Исполнителем Контракта с соисполнителем;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3.5.15. за </w:t>
      </w:r>
      <w:r>
        <w:rPr>
          <w:rFonts w:ascii="Times New Roman" w:hAnsi="Times New Roman" w:cs="Times New Roman"/>
          <w:sz w:val="22"/>
          <w:szCs w:val="22"/>
        </w:rPr>
        <w:t xml:space="preserve">непредоставление</w:t>
      </w:r>
      <w:r>
        <w:rPr>
          <w:rFonts w:ascii="Times New Roman" w:hAnsi="Times New Roman" w:cs="Times New Roman"/>
          <w:sz w:val="22"/>
          <w:szCs w:val="22"/>
        </w:rPr>
        <w:t xml:space="preserve"> указанной в подпункте 3.5.14 настоящего пункта Контрак</w:t>
      </w:r>
      <w:r>
        <w:rPr>
          <w:rFonts w:ascii="Times New Roman" w:hAnsi="Times New Roman" w:cs="Times New Roman"/>
          <w:sz w:val="22"/>
          <w:szCs w:val="22"/>
        </w:rPr>
        <w:t xml:space="preserve">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Контракта, заключенного Исполнителем с соисполнителем. </w:t>
      </w:r>
      <w:r>
        <w:rPr>
          <w:rFonts w:ascii="Times New Roman" w:hAnsi="Times New Roman" w:cs="Times New Roman"/>
          <w:iCs/>
          <w:sz w:val="22"/>
          <w:szCs w:val="22"/>
        </w:rPr>
        <w:t xml:space="preserve">Пеня подлежит начислению за каждый день просрочки исполнения такого обязательства.</w:t>
      </w:r>
      <w:r>
        <w:rPr>
          <w:rFonts w:ascii="Times New Roman" w:hAnsi="Times New Roman" w:cs="Times New Roman"/>
          <w:iCs/>
          <w:sz w:val="22"/>
          <w:szCs w:val="22"/>
        </w:rPr>
      </w:r>
      <w:r>
        <w:rPr>
          <w:rFonts w:ascii="Times New Roman" w:hAnsi="Times New Roman" w:cs="Times New Roman"/>
          <w:iCs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sz w:val="22"/>
          <w:szCs w:val="22"/>
        </w:rPr>
        <w:t xml:space="preserve">4. ОТЧЕТ О ПРОВЕДЕНИИ СОУТ</w:t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sz w:val="22"/>
          <w:szCs w:val="22"/>
        </w:rPr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По окончании оказания Услуг по проведению СОУТ Исполнитель представляет Заказчику отчет о проведении СОУТ.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Отчет о проведении СОУТ составляется с соблюдением требований, установленных Федеральным законом от 28.12.2013 № 426-ФЗ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а также </w:t>
      </w:r>
      <w:r>
        <w:rPr>
          <w:rFonts w:ascii="Times New Roman" w:hAnsi="Times New Roman"/>
          <w:bCs/>
          <w:sz w:val="22"/>
          <w:szCs w:val="22"/>
        </w:rPr>
        <w:t xml:space="preserve">Приказом Ми</w:t>
      </w:r>
      <w:r>
        <w:rPr>
          <w:rFonts w:ascii="Times New Roman" w:hAnsi="Times New Roman"/>
          <w:bCs/>
          <w:sz w:val="22"/>
          <w:szCs w:val="22"/>
        </w:rPr>
        <w:t xml:space="preserve">нтруда России от 21.11.2023 № 817</w:t>
      </w:r>
      <w:r>
        <w:rPr>
          <w:rFonts w:ascii="Times New Roman" w:hAnsi="Times New Roman"/>
          <w:bCs/>
          <w:sz w:val="22"/>
          <w:szCs w:val="22"/>
        </w:rPr>
        <w:t xml:space="preserve">н.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4.3. Отчет о проведении СОУТ на бумажном и электронном носителе представляется Исполнителем Заказчику в количестве одного экземпляра.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 Исполнитель в течение 10 (десяти) рабочих дней с даты утверждения отчета о проведении СОУТ</w:t>
      </w:r>
      <w:r>
        <w:rPr>
          <w:rFonts w:ascii="Times New Roman" w:hAnsi="Times New Roman"/>
          <w:sz w:val="22"/>
          <w:szCs w:val="22"/>
        </w:rPr>
        <w:t xml:space="preserve"> 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hyperlink w:tooltip="#P307" w:anchor="P307" w:history="1">
        <w:r>
          <w:rPr>
            <w:rFonts w:ascii="Times New Roman" w:hAnsi="Times New Roman"/>
            <w:sz w:val="22"/>
            <w:szCs w:val="22"/>
          </w:rPr>
          <w:t xml:space="preserve">частью 2</w:t>
        </w:r>
      </w:hyperlink>
      <w:r>
        <w:rPr>
          <w:rFonts w:ascii="Times New Roman" w:hAnsi="Times New Roman"/>
          <w:sz w:val="22"/>
          <w:szCs w:val="22"/>
        </w:rPr>
        <w:t xml:space="preserve"> статьи 18 Федерального закона от 28.12.2013 № 426-ФЗ.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6"/>
        <w:ind w:firstLine="708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СДАЧИ И ПРИЕМКИ ОКАЗАННЫХ УСЛУГ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</w:t>
      </w:r>
      <w:r>
        <w:rPr>
          <w:rFonts w:ascii="Times New Roman" w:hAnsi="Times New Roman" w:cs="Times New Roman"/>
          <w:sz w:val="22"/>
          <w:szCs w:val="22"/>
        </w:rPr>
        <w:t xml:space="preserve">исле о сложностях, возникающих при исполнении Контракта, а также к установленному Контрактом сроку представить Заказчику результаты оказания Услуг, предусмотренных Контрактом. Заказчик обязан обеспечить приемку оказанных Услуг в соответствии с Федеральным </w:t>
      </w:r>
      <w:hyperlink r:id="rId11" w:tooltip="consultantplus://offline/ref=62570D635B28CC27173B12FB15CFE29923CCCE01ECDB88BC2EB6BCDB71BF199051CFA3D1956CBCEE9A64962A2Fy2r0O" w:history="1">
        <w:r>
          <w:rPr>
            <w:rFonts w:ascii="Times New Roman" w:hAnsi="Times New Roman" w:cs="Times New Roman"/>
            <w:sz w:val="22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от 05.04.2013 № 44-ФЗ.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Для проверки представленных Исполнителем результатов оказания Услуг в части их соответст</w:t>
      </w:r>
      <w:r>
        <w:rPr>
          <w:rFonts w:ascii="Times New Roman" w:hAnsi="Times New Roman"/>
          <w:sz w:val="22"/>
          <w:szCs w:val="22"/>
        </w:rPr>
        <w:t xml:space="preserve">вия условиям Контракта Заказчик проводит экспертизу результатов оказания Услуг, предусмотренных Контрактом (далее - Экспертиза).  Экспертиза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3</w:t>
      </w:r>
      <w:r>
        <w:rPr>
          <w:rFonts w:ascii="Times New Roman" w:hAnsi="Times New Roman"/>
          <w:sz w:val="22"/>
          <w:szCs w:val="22"/>
        </w:rPr>
        <w:t xml:space="preserve">. По решению Заказчика для приемки оказанных Услуг может создаваться приемочная комиссия.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4</w:t>
      </w:r>
      <w:r>
        <w:rPr>
          <w:rFonts w:ascii="Times New Roman" w:hAnsi="Times New Roman"/>
          <w:sz w:val="22"/>
          <w:szCs w:val="22"/>
        </w:rPr>
        <w:t xml:space="preserve">. Приемка оказанных Услуг осуществляется Заказчиком </w:t>
      </w:r>
      <w:r>
        <w:rPr>
          <w:rFonts w:ascii="Times New Roman" w:hAnsi="Times New Roman" w:eastAsia="Calibri" w:cs="Times New Roman"/>
          <w:sz w:val="22"/>
          <w:szCs w:val="22"/>
          <w:highlight w:val="none"/>
          <w:u w:val="single"/>
        </w:rPr>
        <w:t xml:space="preserve">по факту оказания Услуг</w:t>
      </w:r>
      <w:r>
        <w:rPr>
          <w:rFonts w:ascii="Times New Roman" w:hAnsi="Times New Roman"/>
          <w:sz w:val="22"/>
          <w:szCs w:val="22"/>
        </w:rPr>
        <w:t xml:space="preserve"> в течение 10 рабочих дней со дня получения акта сдачи-приемки оказанных Услуг, который подписывается Заказчиком, либо в течение </w:t>
      </w:r>
      <w:r>
        <w:rPr>
          <w:rFonts w:ascii="Times New Roman" w:hAnsi="Times New Roman"/>
          <w:sz w:val="22"/>
          <w:szCs w:val="22"/>
        </w:rPr>
        <w:t xml:space="preserve">10 рабочих дней Заказчиком направляется в письменной форме мотивированных отказ от подписания акта сдачи-приемки оказанных Услуг.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Результаты приемки оказанных услуг отражаются в акте сдачи-приемки оказанных услуг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6. Заказчик в</w:t>
      </w:r>
      <w:r>
        <w:rPr>
          <w:rFonts w:ascii="Times New Roman" w:hAnsi="Times New Roman"/>
          <w:sz w:val="22"/>
          <w:szCs w:val="22"/>
        </w:rPr>
        <w:t xml:space="preserve">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оказанных Услуг и устранено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7. После устранения недостатков,</w:t>
      </w:r>
      <w:r>
        <w:rPr>
          <w:rFonts w:ascii="Times New Roman" w:hAnsi="Times New Roman"/>
          <w:sz w:val="22"/>
          <w:szCs w:val="22"/>
        </w:rPr>
        <w:t xml:space="preserve"> послуживших основанием для не подписания акта сдачи-приемки оказанных услуг, Заказчик подписывает акт сдачи-приемки оказанных услуг, в порядке и сроки, предусмотренные пунктом </w:t>
      </w:r>
      <w:r>
        <w:rPr>
          <w:rFonts w:ascii="Times New Roman" w:hAnsi="Times New Roman"/>
          <w:sz w:val="22"/>
          <w:szCs w:val="22"/>
        </w:rPr>
        <w:t xml:space="preserve">5</w:t>
      </w:r>
      <w:r>
        <w:rPr>
          <w:rFonts w:ascii="Times New Roman" w:hAnsi="Times New Roman"/>
          <w:sz w:val="22"/>
          <w:szCs w:val="22"/>
        </w:rPr>
        <w:t xml:space="preserve">.4.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8. Услуги, предусмотренные Контрактом, считаются оказанными с даты подписания Сторонами акта сдачи-приемки оказанных Услуг.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9. По окончании исполнения Сторонами обязательств по Контракту Исполнитель в течение 10 дней представляет Заказчику акт сверки расчетов по Контракту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6. ОТВЕТСТВЕННОСТЬ СТОРОН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6"/>
        <w:ind w:firstLine="708"/>
        <w:jc w:val="both"/>
        <w:rPr>
          <w:rFonts w:ascii="Times New Roman" w:hAnsi="Times New Roman" w:eastAsiaTheme="minorEastAsia"/>
          <w:sz w:val="22"/>
          <w:szCs w:val="22"/>
        </w:rPr>
      </w:pPr>
      <w:r>
        <w:rPr>
          <w:rFonts w:ascii="Times New Roman" w:hAnsi="Times New Roman" w:eastAsiaTheme="minorEastAsia"/>
          <w:sz w:val="22"/>
          <w:szCs w:val="22"/>
        </w:rPr>
        <w:t xml:space="preserve">6.1. 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  <w:r>
        <w:rPr>
          <w:rFonts w:ascii="Times New Roman" w:hAnsi="Times New Roman" w:eastAsiaTheme="minorEastAsia"/>
          <w:sz w:val="22"/>
          <w:szCs w:val="22"/>
        </w:rPr>
      </w:r>
      <w:r>
        <w:rPr>
          <w:rFonts w:ascii="Times New Roman" w:hAnsi="Times New Roman" w:eastAsiaTheme="minorEastAsia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6.2. </w:t>
      </w:r>
      <w:r>
        <w:rPr>
          <w:rFonts w:ascii="Times New Roman" w:hAnsi="Times New Roman"/>
          <w:sz w:val="22"/>
          <w:szCs w:val="22"/>
        </w:rPr>
        <w:t xml:space="preserve">В случае просрочки исполнения Исполнителем обязательств, предусмотренных Контрактом, Заказчик направляет Исполнителю требование об уплате пени в размере, определенном Правилами определения размера штрафа, начисляемого в случае ненадлежащ</w:t>
      </w:r>
      <w:r>
        <w:rPr>
          <w:rFonts w:ascii="Times New Roman" w:hAnsi="Times New Roman"/>
          <w:sz w:val="22"/>
          <w:szCs w:val="22"/>
        </w:rPr>
        <w:t xml:space="preserve">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</w:t>
      </w:r>
      <w:r>
        <w:rPr>
          <w:rFonts w:ascii="Times New Roman" w:hAnsi="Times New Roman"/>
          <w:sz w:val="22"/>
          <w:szCs w:val="22"/>
        </w:rPr>
        <w:t xml:space="preserve">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– Правила).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113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за днем истечения установленного Контрактом срока исполнения обязательства,  в размере одной трехсотой действующей на да</w:t>
      </w:r>
      <w:r>
        <w:rPr>
          <w:rFonts w:ascii="Times New Roman" w:hAnsi="Times New Roman"/>
          <w:sz w:val="22"/>
          <w:szCs w:val="22"/>
        </w:rPr>
        <w:t xml:space="preserve">ту уплаты пеней ключевой ставки Центрального банка Российской Федерации от не уплаченной в срок суммы, а также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 В </w:t>
      </w:r>
      <w:r>
        <w:rPr>
          <w:rFonts w:ascii="Times New Roman" w:hAnsi="Times New Roman"/>
          <w:sz w:val="22"/>
          <w:szCs w:val="22"/>
        </w:rPr>
        <w:t xml:space="preserve">случае неисполнения или ненадлежащего исполнения Исполнителем обязательств, предусмотренных Контрактом (за 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За каждый факт неисполнения или ненадлежащего исполнения Исполнителем обязательств, предусмотренных Контрактом (за исключением просрочки исполнения Исполнителем обязательств, </w:t>
      </w:r>
      <w:r>
        <w:rPr>
          <w:rFonts w:ascii="Times New Roman" w:hAnsi="Times New Roman"/>
          <w:sz w:val="22"/>
          <w:szCs w:val="22"/>
        </w:rPr>
        <w:t xml:space="preserve">предусмотренных Контрактом), размер штрафа определяется в соответствии с Правилами и равен 10 процентам цены Контракта, что составляет ________ (________________) руб. ___ коп.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6.5. 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</w:t>
      </w:r>
      <w:r>
        <w:rPr>
          <w:rFonts w:ascii="Times New Roman" w:hAnsi="Times New Roman"/>
          <w:sz w:val="22"/>
          <w:szCs w:val="22"/>
        </w:rPr>
        <w:t xml:space="preserve">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</w:t>
      </w:r>
      <w:r>
        <w:rPr>
          <w:rFonts w:ascii="Times New Roman" w:hAnsi="Times New Roman"/>
          <w:sz w:val="22"/>
          <w:szCs w:val="22"/>
        </w:rPr>
        <w:t xml:space="preserve">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ответственности, установленной настоящим пунктом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6.6. В случае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Услуг), Исполнитель вправе потребовать уплаты штрафа. За каждый факт неисполнения Заказ</w:t>
      </w:r>
      <w:r>
        <w:rPr>
          <w:rFonts w:ascii="Times New Roman" w:hAnsi="Times New Roman"/>
          <w:sz w:val="22"/>
          <w:szCs w:val="22"/>
        </w:rPr>
        <w:t xml:space="preserve">чиком указанных обязательств, предусмотренных Контрактом (за исключением просрочки исполнения Заказчиком обязательства по оплате оказанных Услуг) размер штрафа устанавливается в соответствии с Правилами, и составляет 1000 рублей (Одна тысяча рублей 00 коп.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6.7. 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цены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6.8. Общая сумма начисленных штрафов за ненадлежащее исполнение Заказчиком обязательств, предусмотренных Контрактом, не может превышать цены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6.10. За каждый </w:t>
      </w:r>
      <w:r>
        <w:rPr>
          <w:rFonts w:ascii="Times New Roman" w:hAnsi="Times New Roman"/>
          <w:sz w:val="22"/>
          <w:szCs w:val="22"/>
        </w:rPr>
        <w:t xml:space="preserve">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соответствии с Правилами, и составляет 1000 рублей (Одна тысяча рублей 00 коп).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7. КОНФИДЕНЦИАЛЬНОСТЬ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7.1. </w:t>
      </w:r>
      <w:r>
        <w:rPr>
          <w:rFonts w:ascii="Times New Roman" w:hAnsi="Times New Roman"/>
          <w:bCs/>
          <w:sz w:val="22"/>
          <w:szCs w:val="22"/>
        </w:rPr>
        <w:t xml:space="preserve">Исполнитель не несет ответственности за действия Заказчика по соблюдению Заказчиком положений Федерального закона от 27 июля 2006 г. № 152-ФЗ «О персональных данных» в отношении работников Заказчика, на рабочих местах которых проводится или проведена СОУТ.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7.2. Передача, распространение и обеспечение защиты информации,</w:t>
      </w:r>
      <w:r>
        <w:rPr>
          <w:rFonts w:ascii="Times New Roman" w:hAnsi="Times New Roman" w:cs="Times New Roman"/>
          <w:sz w:val="22"/>
          <w:szCs w:val="22"/>
        </w:rPr>
        <w:t xml:space="preserve"> связанной с </w:t>
      </w:r>
      <w:r>
        <w:rPr>
          <w:rFonts w:ascii="Times New Roman" w:hAnsi="Times New Roman"/>
          <w:bCs/>
          <w:sz w:val="22"/>
          <w:szCs w:val="22"/>
        </w:rPr>
        <w:t xml:space="preserve">исполнением обязательств по Контракту,</w:t>
      </w:r>
      <w:r>
        <w:rPr>
          <w:rFonts w:ascii="Times New Roman" w:hAnsi="Times New Roman" w:cs="Times New Roman"/>
          <w:sz w:val="22"/>
          <w:szCs w:val="22"/>
        </w:rPr>
        <w:t xml:space="preserve"> осуществляется Сторонами с соблюдением требований </w:t>
      </w:r>
      <w:r>
        <w:rPr>
          <w:rFonts w:ascii="Times New Roman" w:hAnsi="Times New Roman"/>
          <w:bCs/>
          <w:sz w:val="22"/>
          <w:szCs w:val="22"/>
        </w:rPr>
        <w:t xml:space="preserve">Федерального закона от 27 июля 2006 г. № 149-ФЗ «</w:t>
      </w:r>
      <w:r>
        <w:rPr>
          <w:rFonts w:ascii="Times New Roman" w:hAnsi="Times New Roman" w:cs="Times New Roman"/>
          <w:sz w:val="22"/>
          <w:szCs w:val="22"/>
        </w:rPr>
        <w:t xml:space="preserve">Об информации, информационных технологиях и о защите информации».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7.3. Принятые Сторонами обязательства по соблюдению конфиденц</w:t>
      </w:r>
      <w:r>
        <w:rPr>
          <w:rFonts w:ascii="Times New Roman" w:hAnsi="Times New Roman"/>
          <w:bCs/>
          <w:sz w:val="22"/>
          <w:szCs w:val="22"/>
        </w:rPr>
        <w:t xml:space="preserve">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7.4.</w:t>
      </w:r>
      <w:r>
        <w:rPr>
          <w:rFonts w:ascii="Times New Roman" w:hAnsi="Times New Roman"/>
          <w:bCs/>
          <w:sz w:val="22"/>
          <w:szCs w:val="22"/>
        </w:rPr>
        <w:t xml:space="preserve">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7.5. Обязательства по обеспеч</w:t>
      </w:r>
      <w:r>
        <w:rPr>
          <w:rFonts w:ascii="Times New Roman" w:hAnsi="Times New Roman"/>
          <w:bCs/>
          <w:sz w:val="22"/>
          <w:szCs w:val="22"/>
        </w:rPr>
        <w:t xml:space="preserve">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7.6. Исполнитель имеет право снимать копии с документации</w:t>
      </w:r>
      <w:r>
        <w:rPr>
          <w:rFonts w:ascii="Times New Roman" w:hAnsi="Times New Roman"/>
          <w:bCs/>
          <w:sz w:val="22"/>
          <w:szCs w:val="22"/>
        </w:rP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8. АНТИКОРРУПЦИОННАЯ ОГОВОРКА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ценностей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прямо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8.2. При исполнении обязательств по Контракту Стороны, их аффилированные лица не осуществляют действия, квалифицируемые примени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 Контракта, соответствующая Сторона обязуется уведомить об этом другую Сторону в письменной </w:t>
      </w:r>
      <w:r>
        <w:rPr>
          <w:rFonts w:ascii="Times New Roman" w:hAnsi="Times New Roman"/>
          <w:sz w:val="22"/>
          <w:szCs w:val="22"/>
        </w:rPr>
        <w:t xml:space="preserve">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9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письменном уведомлении другая Сторона обязана сослаться на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обосно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Контракта  Стороной, ее аффилированными лицами, выражающееся в действиях, квалифицир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6"/>
        <w:ind w:firstLine="709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8.4. В случае нарушения одной Стороной обязательств воздерживаться от запрещенных в разделе 8 Контракта действий и/или неполучения другой Стороной в устано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9. СРОК ДЕЙСТВИЯ КОНТРАКТА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9.1. Контракт вступает в силу и становится обязательным для Сторон с даты подп</w:t>
      </w:r>
      <w:r>
        <w:rPr>
          <w:rFonts w:ascii="Times New Roman" w:hAnsi="Times New Roman"/>
          <w:sz w:val="22"/>
          <w:szCs w:val="22"/>
        </w:rPr>
        <w:t xml:space="preserve">исания и действует по </w:t>
      </w:r>
      <w:r>
        <w:rPr>
          <w:rFonts w:ascii="Times New Roman" w:hAnsi="Times New Roman"/>
          <w:sz w:val="22"/>
          <w:szCs w:val="22"/>
        </w:rPr>
        <w:t xml:space="preserve">29.12.2026  года. Окончание срока действия Контракт влечет прекращение взаимных обязательств Сторон по Контракту.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9.2. Контракт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Российской Федерации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10. ТРЕТЬИ ЛИЦА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10.1. Контракт не создает и не ведет к возникновению, равно как и не имеет цели создать или привести к возникновению, каких-либо прав у третьих лиц, за исключением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случаев, предусмотренных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10.2. Услуги, оказываемые Исполнителем, предназначены исключительно для Заказчика и не предназначены для использования в интересах тр</w:t>
      </w:r>
      <w:r>
        <w:rPr>
          <w:rFonts w:ascii="Times New Roman" w:hAnsi="Times New Roman"/>
          <w:bCs/>
          <w:sz w:val="22"/>
          <w:szCs w:val="22"/>
        </w:rPr>
        <w:t xml:space="preserve">етьей стороны, за исключением случаев, предусмотренных законодательством Российской Федерации. Ни одна из Сторон не вправе передавать или каким-либо иным образом уступать свои права по Контракту третьим лицам без письменного согласия на это второй Стороны.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10.3. Исполнитель вправе привлекать сои</w:t>
      </w:r>
      <w:r>
        <w:rPr>
          <w:rFonts w:ascii="Times New Roman" w:hAnsi="Times New Roman"/>
          <w:bCs/>
          <w:sz w:val="22"/>
          <w:szCs w:val="22"/>
        </w:rPr>
        <w:t xml:space="preserve">сполнителей для оказания содействия Исполнителю при оказании Услуг. В случае привлечения соисполнителей в соответствии с условиями настоящего пункта их работа будет считаться частью Услуг, за которую Исполнитель несет ответственность по условиям Контракта.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rPr>
          <w:rFonts w:ascii="Times New Roman" w:hAnsi="Times New Roman" w:eastAsiaTheme="minorEastAsia"/>
          <w:b/>
          <w:sz w:val="22"/>
          <w:szCs w:val="22"/>
        </w:rPr>
      </w:pPr>
      <w:r>
        <w:rPr>
          <w:sz w:val="22"/>
          <w:szCs w:val="22"/>
        </w:rPr>
      </w:r>
      <w:bookmarkStart w:id="0" w:name="_GoBack"/>
      <w:r>
        <w:rPr>
          <w:sz w:val="22"/>
          <w:szCs w:val="22"/>
        </w:rPr>
      </w:r>
      <w:bookmarkEnd w:id="0"/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jc w:val="center"/>
        <w:tabs>
          <w:tab w:val="left" w:pos="3179" w:leader="none"/>
          <w:tab w:val="center" w:pos="4815" w:leader="none"/>
        </w:tabs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11. ОБСТОЯТЕЛЬСТВА НЕПРЕОДОЛИМОЙ СИЛЫ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11.1. Стороны освобож</w:t>
      </w:r>
      <w:r>
        <w:rPr>
          <w:rFonts w:ascii="Times New Roman" w:hAnsi="Times New Roman"/>
          <w:sz w:val="22"/>
          <w:szCs w:val="22"/>
        </w:rPr>
        <w:t xml:space="preserve">даются от ответственности за неисполнение либо ненадлежащее исполнение обязательств по Контракту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rFonts w:ascii="Times New Roman" w:hAnsi="Times New Roman"/>
          <w:sz w:val="22"/>
          <w:szCs w:val="22"/>
        </w:rPr>
        <w:t xml:space="preserve">рона, у которой возникли обстоятельства непреодолимой силы, обязана в течение 3 (трех)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</w:t>
      </w:r>
      <w:r>
        <w:rPr>
          <w:rFonts w:ascii="Times New Roman" w:hAnsi="Times New Roman"/>
          <w:sz w:val="22"/>
          <w:szCs w:val="22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11.2. В случае прекращения действия обстоятельств непреодолимой силы одна </w:t>
      </w:r>
      <w:r>
        <w:rPr>
          <w:rFonts w:ascii="Times New Roman" w:hAnsi="Times New Roman"/>
          <w:sz w:val="22"/>
          <w:szCs w:val="22"/>
        </w:rPr>
        <w:t xml:space="preserve">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Контракту.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11.3. Не извещени</w:t>
      </w:r>
      <w:r>
        <w:rPr>
          <w:rFonts w:ascii="Times New Roman" w:hAnsi="Times New Roman"/>
          <w:sz w:val="22"/>
          <w:szCs w:val="22"/>
        </w:rPr>
        <w:t xml:space="preserve">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12. УВЕДОМЛЕНИЯ</w: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12.1. Все уведомления в отношении Контракта, в том числе связанные с его изменением или расторжением, должны направляться в письменной форме. Любое</w:t>
      </w:r>
      <w:r>
        <w:rPr>
          <w:rFonts w:ascii="Times New Roman" w:hAnsi="Times New Roman"/>
          <w:bCs/>
          <w:sz w:val="22"/>
          <w:szCs w:val="22"/>
        </w:rPr>
        <w:t xml:space="preserve">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может быть вручено лично или направлено заказным письмом и будет считаться полученным: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 вручении лично - на дату вручения;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12.2. Стороны вправе осуществлять обмен информацией и документами, вести рабочую переписку по вопросам, связанным с исполнением Контракта, направлять результаты оказанных Услуг,</w:t>
      </w:r>
      <w:r>
        <w:rPr>
          <w:rFonts w:ascii="Times New Roman" w:hAnsi="Times New Roman"/>
          <w:bCs/>
          <w:sz w:val="22"/>
          <w:szCs w:val="22"/>
        </w:rPr>
        <w:t xml:space="preserve"> акты об оказании услуг и иные документы, касающиеся исполнения Контракта,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ab/>
        <w:t xml:space="preserve">13. ПРОЧИЕ УСЛОВИЯ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13.1. Контракт определяет полно</w:t>
      </w:r>
      <w:r>
        <w:rPr>
          <w:rFonts w:ascii="Times New Roman" w:hAnsi="Times New Roman"/>
          <w:bCs/>
          <w:sz w:val="22"/>
          <w:szCs w:val="22"/>
        </w:rPr>
        <w:t xml:space="preserve">е соглашение и понимание между Сторонами относительно предоставляемых Услуг. Все изменения и дополнения к Контракту оформляются письменно в виде дополнительных соглашений к Контракту, подписываются каждой из сторон и являются неотъемлемой частью Контракта.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ab/>
        <w:t xml:space="preserve">13.2. В случае изменения реквизитов какой-либо из Сторон, она обязана уведомить вторую Сторону о таких изменениях в течение 3 рабочих дней со дня изменения реквизитов.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13.3. Все вопросы, не предусмотренные Контрактом, регулируются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13.4. Контракт составлен в 2 экземплярах, имеющих равную юридическую силу, по одному для каждой из Сторон</w:t>
      </w:r>
      <w:r>
        <w:rPr>
          <w:rStyle w:val="994"/>
          <w:rFonts w:ascii="Times New Roman" w:hAnsi="Times New Roman"/>
          <w:bCs/>
          <w:sz w:val="22"/>
          <w:szCs w:val="22"/>
        </w:rPr>
        <w:footnoteReference w:id="4"/>
      </w:r>
      <w:r>
        <w:rPr>
          <w:rFonts w:ascii="Times New Roman" w:hAnsi="Times New Roman"/>
          <w:bCs/>
          <w:sz w:val="22"/>
          <w:szCs w:val="22"/>
        </w:rPr>
        <w:t xml:space="preserve">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13.5. Все сп</w:t>
      </w:r>
      <w:r>
        <w:rPr>
          <w:rFonts w:ascii="Times New Roman" w:hAnsi="Times New Roman"/>
          <w:bCs/>
          <w:sz w:val="22"/>
          <w:szCs w:val="22"/>
        </w:rPr>
        <w:t xml:space="preserve">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tabs>
          <w:tab w:val="left" w:pos="3165" w:leader="none"/>
          <w:tab w:val="center" w:pos="4815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13.6. Приложения к Контракту являются неотъемлемой частью Контракта: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приложение № 1 – техническое задание на оказание Услуг;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6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приложение № 2 – </w:t>
      </w:r>
      <w:bookmarkStart w:id="1" w:name="_Hlk490153919"/>
      <w:r>
        <w:rPr>
          <w:rFonts w:ascii="Times New Roman" w:hAnsi="Times New Roman"/>
          <w:bCs/>
          <w:sz w:val="22"/>
          <w:szCs w:val="22"/>
        </w:rPr>
        <w:t xml:space="preserve">Календарный план.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986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86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left="360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14. МЕСТО НАХОЖДЕНИЯ И БАНКОВСКИЕ РЕКВИЗИТЫ СТОРОН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</w:p>
    <w:tbl>
      <w:tblPr>
        <w:tblW w:w="10347" w:type="dxa"/>
        <w:tblInd w:w="-1" w:type="dxa"/>
        <w:tblLayout w:type="fixed"/>
        <w:tblLook w:val="01E0" w:firstRow="1" w:lastRow="1" w:firstColumn="1" w:lastColumn="1" w:noHBand="0" w:noVBand="0"/>
      </w:tblPr>
      <w:tblGrid>
        <w:gridCol w:w="5388"/>
        <w:gridCol w:w="4959"/>
      </w:tblGrid>
      <w:tr>
        <w:tblPrEx/>
        <w:trPr>
          <w:trHeight w:val="1004"/>
        </w:trPr>
        <w:tc>
          <w:tcPr>
            <w:tcW w:w="5388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left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 w:eastAsiaTheme="minorHAnsi"/>
                <w:sz w:val="22"/>
                <w:szCs w:val="22"/>
                <w:lang w:eastAsia="en-US"/>
                <w14:ligatures w14:val="none"/>
              </w:rPr>
              <w:outlineLvl w:val="5"/>
            </w:pP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495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  <w:outlineLvl w:val="5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  <w:outlineLvl w:val="5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ind w:firstLine="40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</w:rPr>
            </w:r>
          </w:p>
        </w:tc>
      </w:tr>
      <w:tr>
        <w:tblPrEx/>
        <w:trPr>
          <w:trHeight w:val="5045"/>
        </w:trPr>
        <w:tc>
          <w:tcPr>
            <w:tcW w:w="5388" w:type="dxa"/>
            <w:textDirection w:val="lrTb"/>
            <w:noWrap w:val="false"/>
          </w:tcPr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/>
              </w:rPr>
              <w:t xml:space="preserve">Управление Федеральной службы государственной регистрации, кадастра и картографии по Республике Алтай (Управление Росреестра по Республике Алтай)</w:t>
            </w:r>
            <w:r/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ИНН/КПП 0411119757/041101001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649002, Республика Алтай,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 г. Горно-Алтайск, ул. Строителей,  д. 8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ОГРН 1040400770486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Реквизиты счета: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л/сч 03771А37800 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Казначейский счет 03211643000000015101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Банковский счет 40102810445370000043 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БИК 015004950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Наименование банка: ОКЦ № 1 СибГУ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Банка России//УФК по Новосибирской области, г. Новосибирск 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Тел. (38822) 63055, 63050,Факс (38822) 61522         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: </w:t>
            </w:r>
            <w:hyperlink r:id="rId12" w:tooltip="mailto:04_upr@rosreestr.ru" w:history="1">
              <w:r>
                <w:rPr>
                  <w:rFonts w:ascii="Times New Roman" w:hAnsi="Times New Roman" w:eastAsia="Arial"/>
                  <w:color w:val="000000"/>
                  <w:sz w:val="24"/>
                  <w:szCs w:val="24"/>
                </w:rPr>
                <w:t xml:space="preserve">04_</w:t>
              </w:r>
              <w:r>
                <w:rPr>
                  <w:rFonts w:ascii="Times New Roman" w:hAnsi="Times New Roman" w:eastAsia="Arial"/>
                  <w:color w:val="000000"/>
                  <w:sz w:val="24"/>
                  <w:szCs w:val="24"/>
                  <w:lang w:val="en-US"/>
                </w:rPr>
                <w:t xml:space="preserve">upr</w:t>
              </w:r>
              <w:r>
                <w:rPr>
                  <w:rFonts w:ascii="Times New Roman" w:hAnsi="Times New Roman" w:eastAsia="Arial"/>
                  <w:color w:val="000000"/>
                  <w:sz w:val="24"/>
                  <w:szCs w:val="24"/>
                </w:rPr>
                <w:t xml:space="preserve">@</w:t>
              </w:r>
              <w:r>
                <w:rPr>
                  <w:rFonts w:ascii="Times New Roman" w:hAnsi="Times New Roman" w:eastAsia="Arial"/>
                  <w:color w:val="000000"/>
                  <w:sz w:val="24"/>
                  <w:szCs w:val="24"/>
                  <w:lang w:val="en-US"/>
                </w:rPr>
                <w:t xml:space="preserve">rosreestr</w:t>
              </w:r>
              <w:r>
                <w:rPr>
                  <w:rFonts w:ascii="Times New Roman" w:hAnsi="Times New Roman" w:eastAsia="Arial"/>
                  <w:color w:val="000000"/>
                  <w:sz w:val="24"/>
                  <w:szCs w:val="24"/>
                </w:rPr>
                <w:t xml:space="preserve">.</w:t>
              </w:r>
              <w:r>
                <w:rPr>
                  <w:rFonts w:ascii="Times New Roman" w:hAnsi="Times New Roman" w:eastAsia="Arial"/>
                  <w:color w:val="000000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________________ Л.А. Вопиловская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Arial"/>
                <w:color w:val="000000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Arial"/>
                <w:color w:val="000000"/>
                <w:sz w:val="24"/>
                <w:szCs w:val="24"/>
                <w14:ligatures w14:val="none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49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</w:tbl>
    <w:tbl>
      <w:tblPr>
        <w:tblStyle w:val="99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99"/>
        <w:gridCol w:w="4832"/>
      </w:tblGrid>
      <w:tr>
        <w:tblPrEx/>
        <w:trPr/>
        <w:tc>
          <w:tcPr>
            <w:tcW w:w="4799" w:type="dxa"/>
            <w:textDirection w:val="lrTb"/>
            <w:noWrap w:val="false"/>
          </w:tcPr>
          <w:p>
            <w:pPr>
              <w:pStyle w:val="1016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832" w:type="dxa"/>
            <w:textDirection w:val="lrTb"/>
            <w:noWrap w:val="false"/>
          </w:tcPr>
          <w:p>
            <w:pPr>
              <w:pStyle w:val="1016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Приложение № 1 к Контракту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6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«____» ______ 20__ г. № 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1016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6"/>
        <w:jc w:val="center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6"/>
        <w:jc w:val="center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ТЕХНИЧЕСКОЕ ЗАДАНИЕ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65"/>
        <w:jc w:val="center"/>
        <w:spacing w:line="240" w:lineRule="exact"/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u w:val="none"/>
          <w:shd w:val="clear" w:color="auto" w:fill="auto"/>
        </w:rPr>
      </w:pPr>
      <w:r>
        <w:rPr>
          <w:rFonts w:ascii="Times New Roman" w:hAnsi="Times New Roman" w:eastAsia="Calibri" w:cs="Times New Roman"/>
          <w:b/>
          <w:color w:val="000000"/>
          <w:sz w:val="22"/>
          <w:szCs w:val="22"/>
          <w:shd w:val="clear" w:color="auto" w:fill="auto"/>
        </w:rPr>
        <w:t xml:space="preserve">Функциональные, технические и качественные характеристики, эксплуатационные характеристики объекта закупки.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u w:val="none"/>
          <w:shd w:val="clear" w:color="auto" w:fill="auto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u w:val="none"/>
          <w:shd w:val="clear" w:color="auto" w:fill="auto"/>
        </w:rPr>
      </w:r>
    </w:p>
    <w:p>
      <w:pPr>
        <w:pStyle w:val="965"/>
        <w:ind w:left="567" w:right="0" w:firstLine="709"/>
        <w:jc w:val="center"/>
        <w:spacing w:before="0" w:after="200" w:line="240" w:lineRule="exact"/>
        <w:widowControl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u w:val="none"/>
          <w:shd w:val="clear" w:color="auto" w:fill="auto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</w:rPr>
      </w:r>
    </w:p>
    <w:p>
      <w:pPr>
        <w:pStyle w:val="965"/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auto"/>
        </w:rPr>
        <w:t xml:space="preserve">1. Общие положения.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</w:r>
    </w:p>
    <w:p>
      <w:pPr>
        <w:pStyle w:val="986"/>
        <w:ind w:left="567" w:right="0" w:firstLine="709"/>
        <w:jc w:val="both"/>
        <w:spacing w:before="0" w:after="0"/>
        <w:widowControl/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highlight w:val="none"/>
          <w:shd w:val="clear" w:color="auto" w:fill="auto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auto"/>
        </w:rPr>
        <w:t xml:space="preserve">1.1. Наименование Услуги: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проведение специальной оценки условий труда (далее - Услуги, СОУТ) на рабочих местах Управления Федеральной службы государственной регистрации, ка</w:t>
      </w: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auto"/>
        </w:rPr>
        <w:t xml:space="preserve">дастра и картографии по Республике Алтай (далее - Управление).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highlight w:val="none"/>
          <w:shd w:val="clear" w:color="auto" w:fill="auto"/>
          <w:lang w:eastAsia="en-US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highlight w:val="none"/>
          <w:shd w:val="clear" w:color="auto" w:fill="auto"/>
          <w:lang w:eastAsia="en-US"/>
        </w:rPr>
      </w:r>
    </w:p>
    <w:p>
      <w:pPr>
        <w:pStyle w:val="1000"/>
        <w:ind w:left="567" w:right="0" w:firstLine="709"/>
        <w:jc w:val="both"/>
        <w:spacing w:before="0" w:after="0" w:line="240" w:lineRule="auto"/>
        <w:widowControl/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shd w:val="clear" w:color="auto" w:fill="auto"/>
          <w:lang w:eastAsia="en-US"/>
        </w:rPr>
        <w:t xml:space="preserve">1.2. </w:t>
      </w:r>
      <w:r>
        <w:rPr>
          <w:rFonts w:ascii="Times New Roman" w:hAnsi="Times New Roman" w:eastAsia="Calibri" w:cs="Times New Roman"/>
          <w:b/>
          <w:bCs/>
          <w:color w:val="000000"/>
          <w:sz w:val="22"/>
          <w:szCs w:val="22"/>
          <w:shd w:val="clear" w:color="auto" w:fill="auto"/>
          <w:lang w:eastAsia="en-US"/>
        </w:rPr>
        <w:t xml:space="preserve">Количество рабочих мест, подлежащих СОУТ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shd w:val="clear" w:color="auto" w:fill="auto"/>
          <w:lang w:eastAsia="en-US"/>
        </w:rPr>
        <w:t xml:space="preserve"> – 5, аналогичных рабочих мест — 0.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1000"/>
        <w:ind w:left="567" w:right="0" w:firstLine="709"/>
        <w:jc w:val="center"/>
        <w:spacing w:before="0" w:after="0" w:line="240" w:lineRule="auto"/>
        <w:widowControl/>
        <w:rPr>
          <w:rFonts w:ascii="Times New Roman" w:hAnsi="Times New Roman" w:eastAsia="Calibri" w:cs="Times New Roman"/>
          <w:b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shd w:val="clear" w:color="auto" w:fill="auto"/>
          <w:lang w:eastAsia="en-US"/>
        </w:rPr>
        <w:t xml:space="preserve">Перечень рабочих мест, подлежащих СОУТ </w:t>
      </w: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eastAsia="en-US"/>
        </w:rPr>
      </w:r>
      <w:r>
        <w:rPr>
          <w:rFonts w:ascii="Times New Roman" w:hAnsi="Times New Roman" w:eastAsia="Calibri" w:cs="Times New Roman"/>
          <w:b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eastAsia="en-US"/>
        </w:rPr>
      </w:r>
    </w:p>
    <w:tbl>
      <w:tblPr>
        <w:tblStyle w:val="998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727"/>
        <w:gridCol w:w="2976"/>
        <w:gridCol w:w="959"/>
        <w:gridCol w:w="1417"/>
        <w:gridCol w:w="1417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72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Наименование должности (профессии)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Адрес структурного подразделения территориального (межмуниципального отдела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Количество рабочих мест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Количество аналогичных рабочих мест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72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Водитель автомобиля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TOYOTA CAMRY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2012 г.в.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Аппарат Управления Росреестра по Республике Алтай,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г.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Горно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Алтайск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, ул. Строителей, 8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72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Водитель автомобиля</w:t>
            </w:r>
            <w:r>
              <w:t xml:space="preserve"> FORD FOCUS, 2012 г. в.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Аппарат Управления Росреестра по Республике Алтай,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г.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Горно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Алтайск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, ул. Строителей, 8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</w:tr>
      <w:tr>
        <w:tblPrEx/>
        <w:trPr>
          <w:trHeight w:val="1362"/>
        </w:trPr>
        <w:tc>
          <w:tcPr>
            <w:tcW w:w="533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72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Оператор электронно-вычислительных и вычислительных машин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Межмуниципальный отдел по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Чемальск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ому, Шебалинскому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Чойскому и Турочакскому районам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Управления Росреестра по Республике Алтай,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с. Чемал, ул. Пчелкина,25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72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Оператор электронно-вычислительных и вычислительных машин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Межмуниципальный отдел по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Онгудайск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ому, Кош-Агачскому и Улаганскому районам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Управления Росреестра по Республике Алтай,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с. Онгудай, ул.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Победы, д 28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72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Оператор электронно-вычислительных и вычислительных машин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Межмуниципальный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отдел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по Майминскому, Усть-Канскому и Усть-Коксинскому районам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Управления Росреестра по Республике Алтай,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с.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Усть-Кокса, ул. Советская, д. 65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  <w14:ligatures w14:val="none"/>
              </w:rPr>
            </w:r>
          </w:p>
        </w:tc>
      </w:tr>
    </w:tbl>
    <w:p>
      <w:pPr>
        <w:pStyle w:val="965"/>
        <w:numPr>
          <w:ilvl w:val="0"/>
          <w:numId w:val="0"/>
        </w:numPr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pP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                       1.3.</w:t>
      </w: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Место оказания услуг: по месту нахождения Заказчика: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r>
    </w:p>
    <w:p>
      <w:pPr>
        <w:pStyle w:val="965"/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Республика Алтай, г. Горно-Алтайск, ул. Строителей, д. 8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</w:p>
    <w:p>
      <w:pPr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Республика Алтай, Чемальский район, с. Чемал, ул. Пчелкина д. 25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</w:p>
    <w:p>
      <w:pPr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Республика Алтай, Онгудайский район, с. Онгудай, ул. Победы, д. 28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</w:p>
    <w:p>
      <w:pPr>
        <w:contextualSpacing/>
        <w:ind w:left="0" w:right="0" w:firstLine="1276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Республика Алтай, Усть-Коксинский район, с. Усть-Кокса, ул. Советская, д. 65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.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lang w:val="en-US" w:eastAsia="en-US"/>
        </w:rPr>
      </w:r>
    </w:p>
    <w:p>
      <w:pPr>
        <w:pStyle w:val="965"/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auto"/>
        </w:rPr>
        <w:t xml:space="preserve">1.4. Сроки оказания услуг: </w:t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  <w:shd w:val="clear" w:color="auto" w:fill="auto"/>
        </w:rPr>
      </w:r>
    </w:p>
    <w:p>
      <w:pPr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с момента заключения контракта, по заявке Заказчика, но не позднее 30.11.2026. Дата начала и окончания услуг согласовывается с Заказчиком.</w:t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Услуга оказывается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рабочие дни: с понедельника по четверг с 08 часов 00 минут до 17 часов 00 минут, в пятницу с 08 часов 00 минут до 15 часов 45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минут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.</w:t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1040"/>
        <w:numPr>
          <w:ilvl w:val="0"/>
          <w:numId w:val="0"/>
        </w:numPr>
        <w:ind w:left="567" w:right="0" w:firstLine="709"/>
        <w:jc w:val="both"/>
        <w:spacing w:before="0" w:after="0" w:line="336" w:lineRule="atLeast"/>
        <w:rPr>
          <w:rFonts w:ascii="Times New Roman" w:hAnsi="Times New Roman" w:eastAsia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1.5. Основания для проведения работ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37"/>
        <w:ind w:left="567" w:right="0" w:firstLine="709"/>
        <w:jc w:val="both"/>
        <w:spacing w:before="0" w:after="0" w:line="336" w:lineRule="atLeast"/>
        <w:rPr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auto"/>
        </w:rPr>
        <w:t xml:space="preserve">Федеральный закон от 30.12.2001 № 197-ФЗ «Трудовой кодекс РФ»;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37"/>
        <w:ind w:left="567" w:right="0" w:firstLine="709"/>
        <w:jc w:val="both"/>
        <w:spacing w:before="0" w:after="0" w:line="336" w:lineRule="atLeas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"https://e.otruda.ru/npd-doc.aspx?npmid=99&amp;npid=499067392" \n _blank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Федеральный закон от 28 декабря 2013 г. № 426-ФЗ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 «О специальной оценке условий труда» (далее -Закон № 426-ФЗ);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37"/>
        <w:ind w:left="567" w:right="0" w:firstLine="709"/>
        <w:jc w:val="both"/>
        <w:spacing w:before="0" w:after="0" w:line="336" w:lineRule="atLeas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"https://e.otruda.ru/npd-doc.aspx?npmid=99&amp;npid=499067400" \n _blank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Федеральный закон от 28 декабря 2013 г. № 421-ФЗ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 «О внесении изменения в отдельные законодательные акты Российской Федерации в связи с принятием Федерального закона «О специальной оценке условий труда»;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37"/>
        <w:ind w:left="567" w:right="0" w:firstLine="709"/>
        <w:jc w:val="both"/>
        <w:spacing w:before="0" w:after="0" w:line="336" w:lineRule="atLeast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"https://e.otruda.ru/npd-doc.aspx?npmid=99&amp;npid=499072756" \n _blank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Приказ М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инистерства труда и социальной защиты Российской Федерации от 21 ноября 2023 г. № 817н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(далее — Методика).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40"/>
        <w:numPr>
          <w:ilvl w:val="1"/>
          <w:numId w:val="45"/>
        </w:numPr>
        <w:ind w:left="567" w:right="0" w:firstLine="709"/>
        <w:jc w:val="both"/>
        <w:spacing w:before="0" w:after="0" w:line="336" w:lineRule="atLeast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1.6. Цель проведения работ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37"/>
        <w:ind w:left="567" w:right="0" w:firstLine="709"/>
        <w:jc w:val="both"/>
        <w:spacing w:before="0" w:after="0" w:line="336" w:lineRule="atLeast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Специальная оценка условий труда (СОУТ) проводится</w:t>
      </w: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auto"/>
        </w:rPr>
        <w:t xml:space="preserve"> с целью выявления вредных и (или) опасных производственных факторов и оц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auto"/>
        </w:rPr>
        <w:t xml:space="preserve">енки уровня их воздействия на работника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. По результатам СОУТ устанавливаются классы (оптимальные, допустимые, вредные и опасные) условий труда на рабочих местах (статья 10 Закона № 426-ФЗ).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after="198" w:afterAutospacing="0" w:line="240" w:lineRule="auto"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auto"/>
        </w:rPr>
        <w:t xml:space="preserve">1.7. Место сдачи результатов оказанных Услуг: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649002 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Республика Алтай, г. Горно-Алтайск, ул. Строителей, д. 8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.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</w:p>
    <w:p>
      <w:pPr>
        <w:pStyle w:val="1000"/>
        <w:ind w:left="567" w:right="0" w:firstLine="709"/>
        <w:jc w:val="both"/>
        <w:spacing w:after="198" w:afterAutospacing="0" w:line="240" w:lineRule="auto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auto"/>
        </w:rPr>
        <w:t xml:space="preserve">2. Характеристика оказываемых услуг: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</w:p>
    <w:p>
      <w:pPr>
        <w:pStyle w:val="965"/>
        <w:contextualSpacing/>
        <w:ind w:left="567" w:right="0" w:firstLine="709"/>
        <w:jc w:val="both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auto"/>
        </w:rPr>
        <w:t xml:space="preserve">2.1.1.СОУТ проводится совместно Управлением (далее - Заказчик)  и организацией (далее - Исполнитель) на основании гражданско-правового договора, совместно именуемые «Стороны».  </w:t>
      </w: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</w:p>
    <w:p>
      <w:pPr>
        <w:pStyle w:val="965"/>
        <w:contextualSpacing/>
        <w:ind w:left="567" w:right="0" w:firstLine="709"/>
        <w:jc w:val="both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Для организации и прове</w:t>
      </w: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дения специальной оценки условий труда в Управлении образуется комиссия по проведению специальной оценки условий труда (далее - комиссия), а также утверждается график проведения специальной оценки условий труда Управления Росреестра по Республике Алтай.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</w:p>
    <w:p>
      <w:pPr>
        <w:pStyle w:val="965"/>
        <w:contextualSpacing/>
        <w:ind w:left="567" w:right="0" w:firstLine="709"/>
        <w:jc w:val="both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auto"/>
        </w:rPr>
        <w:t xml:space="preserve">СОУТ проводится в соответствии с ФЗ № 426-ФЗ от 28 декабря 2013 г. и Методикой, которыми определены содержание и порядок проведения комплекса работ по этапам, а также порядок, сроки оформления их результатов.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contextualSpacing/>
        <w:ind w:left="567" w:right="0" w:firstLine="709"/>
        <w:jc w:val="both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Комиссия Заказчика до начала выполнения работ по проведению специальной оценки условий труда утверждает перечень рабочих мест, на которых будет проводиться специальная оценка условий труда.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</w:p>
    <w:p>
      <w:pPr>
        <w:pStyle w:val="1042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Исполнитель, проводящий специальную оценку условий труда, до начала работ по проведению специальной оценк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и условий труда, но не позднее чем через пять рабочих дней со дня заключения с Заказчиком гражданско-правового договора о проведении специальной оценки условий труда, обязан получить в Федеральной государственной информационной системе учета результатов пр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оведения специальной оценки условий труда идентификационный номер предстоящей специальной оценки условий труда и сообщить его Заказчику до начала выполнения работ по проведению специальной оценки условий труда, в порядке, установленном Федеральным законом 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"https://normativ.kontur.ru/document?moduleId=1&amp;documentId=455233" \l "l0" \n _blank</w:instrText>
      </w:r>
      <w:r>
        <w:rPr>
          <w:sz w:val="22"/>
          <w:szCs w:val="22"/>
        </w:rPr>
        <w:fldChar w:fldCharType="separate"/>
      </w:r>
      <w:r>
        <w:rPr>
          <w:rStyle w:val="1041"/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/>
          <w:spacing w:val="0"/>
          <w:sz w:val="22"/>
          <w:szCs w:val="22"/>
          <w:u w:val="none"/>
          <w:shd w:val="clear" w:color="auto" w:fill="auto"/>
        </w:rPr>
        <w:t xml:space="preserve">от 28 декабря 2013 г. N 426-ФЗ</w:t>
      </w:r>
      <w:r>
        <w:rPr>
          <w:sz w:val="22"/>
          <w:szCs w:val="22"/>
        </w:rPr>
        <w:fldChar w:fldCharType="end"/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 "О специальной оценке условий труда".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</w:p>
    <w:p>
      <w:pPr>
        <w:pStyle w:val="1042"/>
        <w:ind w:left="567" w:right="0" w:firstLine="709"/>
        <w:jc w:val="both"/>
        <w:spacing w:before="0" w:after="0" w:line="240" w:lineRule="atLeast"/>
        <w:widowControl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Уведомление о получении идентификационного номера направляется в адрес Заказчика Исполнителем, проводящим специальную оценку условий тр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уда, на бумажном носителе либо заказным почтовым отправлением с уведомлением о вручении, либо вручается лично Заказчику (его представителю), либо направляется в форме электронного документа, подписанного усиленной квалифицированной электронной подписью.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2.1.2. Исполнитель проводит процедуры идентификации потенциально вредных и (или) опасных производственных факторов на рабочих местах в соответствии с требованиями Федерального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"consultantplus://offline/ref=72AD45FEA0A9048E01E2B8C7905D3D052B48448E1639E4963AD7CBB4B76C0BAF2A0E0147E58A6FA7D941539D10M2O5O"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закона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от 28.12.2013 № 426-ФЗ,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"consultantplus://offline/ref=72AD45FEA0A9048E01E2B8C7905D3D052A484282133DE4963AD7CBB4B76C0BAF2A0E0147E58A6FA7D941539D10M2O5O"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Приказа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Минтруда России от 21.11.2023 № 817н.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2.1.3. Оформление экспертом Исполнителя заключения об отсутствии на рабочем месте вредных и (или) опас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о результатам идентификации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за исключением рабочих мест, указанных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"consultantplus://offline/ref=BB92DB5D3516C398D4D639DE6B5F59A35EFAAC42B5A5A71210FCE12B937673D84E7465EF063DD11F6DE93D2C810FD5470CB0BC54CF491292v6KBL"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части 6 статьи 10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настоящего Федерального закона 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"О специальной оценке условий труда" от 28.12.2013 N 426-ФЗ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2.1.4.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 </w:t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п.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"consultantplus://offline/ref=72AD45FEA0A9048E01E2B8C7905D3D052B48448E1639E4963AD7CBB4B76C0BAF380E594BE48D70A5D85405CC5579CFDFCD77EFBFE6DB4BA2M0ODO"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 статьи 13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Федерального закона от 28.12.2013 № 426-ФЗ в отношении каждого рабочего места.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2.1.5. Составление перечня рабочих мест, на которых проводилась СОУТ, с учетом результатов идентификации вредных и (или) опасных производственных факторов.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2.1.6.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2.1.7.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2.1.8. Проведение оценки обеспеченности работников, занятых на работах во вредных условия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2.1.9.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проект сводной таблицы классов (подклассов) условий труда, установленных на рабочих местах;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2.1.10. Составление и представление на бумажном и электронном носителях отчета о проведении СОУТ, оформленного по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"consultantplus://offline/ref=72AD45FEA0A9048E01E2B8C7905D3D052A484282133DE4963AD7CBB4B76C0BAF380E594BE48E72AEDC5405CC5579CFDFCD77EFBFE6DB4BA2M0ODO"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форме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утвержденной Приказом Минтруда России от 21.11.2023 № 817н., в том числе в отношении рабочих мест, на которых не идентифицированы вредные и (или) опасные производственные факторы, включающего в себя: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идентификационный номер, присвоенный информационной системой учета в автоматическом режиме в соответствии с требованиями части 6 статьи 8 Федерального закона от 28.12.2013 № 426-ФЗ;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сведения об организации, проводящей СОУТ, с приложением копий документов, подтверждающих ее соответствие установленным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"consultantplus://offline/ref=72AD45FEA0A9048E01E2B8C7905D3D052B48448E1639E4963AD7CBB4B76C0BAF380E594BE48D73A3DC5405CC5579CFDFCD77EFBFE6DB4BA2M0ODO"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статьей 19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Федерального закона от 28.12.2013 № 426-ФЗ требованиям;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перечень рабочих мест, на которых проводилась СОУТ, с указанием вредных и (или) опасных производственных факторов;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карты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протоколы проведения исследований (испытаний) и измерений вредных и (или) опасных производственных факторов;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протокол оценки эффективности применяемых работниками, занятыми на рабочих местах с вредными условиями труда СИЗ, прошедших обязательную сертификацию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"consultantplus://offline/ref=CF476209D0D2824DF7FAF9A3D428F1E21FE4EE6B5F8A76CB992D1299A827F296CAF5CFB2DA28619C618C0BF64A7435FE7F71AADA554F9825OC6FM"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порядке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установленном техническим регламентом, проводимой в целях снижения класса (подкласса) условий труда (в случае проведения такой оценки);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сводную ведомость результатов проведения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перечень мероприятий по улучшению условий труда работников, на рабочих местах которых проводилась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заключения эксперта организации, проводящей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замечания и возражения работника относительно результатов СОУТ, проведенной на его рабочем месте, представленные в письменном виде в соответствии </w:t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"consultantplus://offline/ref=4E7053537AF40B640605CEB0CC1405B51BEDC226169E1601399319BD5A1CA9E4AE73D73C163EC1B11CA5152430AA7C8E0A020678A1EE95FDFCcCN"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пунктом 4 части 1 статьи 5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Федерального закона от 28.12.2013 № 426-ФЗ (при наличии).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2.1.11. Подготовка сведений о результатах проведения СОУТ, предусмотренных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"consultantplus://offline/ref=72AD45FEA0A9048E01E2B8C7905D3D052B48448E1639E4963AD7CBB4B76C0BAF380E594BE48D73A7DB5405CC5579CFDFCD77EFBFE6DB4BA2M0ODO"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статьей 18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Федерального закона от 28.12.2013 № 426-ФЗ и передача их во ФГИС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2.1.12. Подтверждение внесения сведений о результатах проведения специальной оценки условий труда в Федеральную государственную информационную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"consultantplus://offline/ref=26D7F198EA1B419EF8D4C86B61685BD78246176E1D33EEA2E84E5C734F582C442AD81152A754A4E6F0C877BAE293910467764966184D7256i7h3M"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систему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учета результатов проведения специальной оценки условий труда – уведомление в течение трех рабочих дней комиссии по пров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едению СОУТ Управления об этом на бумажном носителе,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подписью, с приложением копий подтверждающих документов.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2.2. Требования к методам исследований (испытаний) и методикам измерений при проведении СОУТ: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5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"consultantplus://offline/ref=DC4B8BAB9E70FC860436DE29E57D1F978BAABCA02CF1D91756BE11279940AA435502D5BC254A9DEC32F28C9BEB28A83652A0210891B32268EAYBL"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порядке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е поверку и внесенные в Федеральный информационный фонд по обеспечению единства измерений, и (или) методики (методы) измерений, предназначенные для выполнения прямых измерений и соответствующие им средства измерений утвержденного типа, прошедшие поверку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"consultantplus://offline/ref=DC4B8BAB9E70FC860436C032F07D1F978BABBAA228F0D91756BE11279940AA435502D5BC254A9DEA35F28C9BEB28A83652A0210891B32268EAYBL"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порядке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установленном законодательством Российской Федерации об обеспечении единства измерений (далее - поверка). Методики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(методы) измерений и соответствующие им средства измерений должны позволять проводить исследования (испытания) и измерения уровней вредных и (или) опасных производственных факторов условий труда во всех диапазонах, установленных методикой проведения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2.2.2. Испытательная лаборатория (центр) должна быть укомпл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"consultantplus://offline/ref=72AD45FEA0A9048E01E2B8C7905D3D052B48448E1639E4963AD7CBB4B76C0BAF380E594BE48D70A5D45405CC5579CFDFCD77EFBFE6DB4BA2M0ODO"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пунктами 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"consultantplus://offline/ref=72AD45FEA0A9048E01E2B8C7905D3D052B48448E1639E4963AD7CBB4B76C0BAF380E594BE48D70A4D45405CC5579CFDFCD77EFBFE6DB4BA2M0ODO"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и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"consultantplus://offline/ref=72AD45FEA0A9048E01E2B8C7905D3D052B48448E1639E4963AD7CBB4B76C0BAF380E594BE48D70A3DE5405CC5579CFDFCD77EFBFE6DB4BA2M0ODO"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15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"consultantplus://offline/ref=72AD45FEA0A9048E01E2B8C7905D3D052B48448E1639E4963AD7CBB4B76C0BAF380E594BE48D70A2DC5405CC5579CFDFCD77EFBFE6DB4BA2M0ODO"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23 части 3 статьи 13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 Требования к организации, оказывающей услуги по проведению СОУТ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2.3.2. Наличие в организации не менее пяти экспертов, работающих по трудовому договору и имеющих се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</w:t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ых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"consultantplus://offline/ref=72AD45FEA0A9048E01E2B8C7905D3D052B48448E1639E4963AD7CBB4B76C0BAF380E594BE48D70A5D45405CC5579CFDFCD77EFBFE6DB4BA2M0ODO"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пунктами 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"consultantplus://offline/ref=72AD45FEA0A9048E01E2B8C7905D3D052B48448E1639E4963AD7CBB4B76C0BAF380E594BE48D70A4D45405CC5579CFDFCD77EFBFE6DB4BA2M0ODO"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и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"consultantplus://offline/ref=72AD45FEA0A9048E01E2B8C7905D3D052B48448E1639E4963AD7CBB4B76C0BAF380E594BE48D70A3DE5405CC5579CFDFCD77EFBFE6DB4BA2M0ODO"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15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"consultantplus://offline/ref=72AD45FEA0A9048E01E2B8C7905D3D052B48448E1639E4963AD7CBB4B76C0BAF380E594BE48D70A2DC5405CC5579CFDFCD77EFBFE6DB4BA2M0ODO"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23 части 3 статьи 13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</w:p>
    <w:p>
      <w:pPr>
        <w:pStyle w:val="1000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2.3.4. Наличие регистрации в реестре организаций, проводящих СОУТ, согласно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"consultantplus://offline/ref=72AD45FEA0A9048E01E2B8C7905D3D052B48448E1639E4963AD7CBB4B76C0BAF380E594BE48D73A3DA5405CC5579CFDFCD77EFBFE6DB4BA2M0ODO"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части 3 статьи 19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</w:p>
    <w:p>
      <w:pPr>
        <w:ind w:left="567" w:right="0" w:firstLine="709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2.4. Привлечение соисполнителей допускается в соответствии с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"consultantplus://offline/ref=72AD45FEA0A9048E01E2B8C7905D3D052B48448E1639E4963AD7CBB4B76C0BAF380E594BE48D72A5DF5405CC5579CFDFCD77EFBFE6DB4BA2M0ODO"</w:instrText>
      </w:r>
      <w:r>
        <w:rPr>
          <w:sz w:val="18"/>
          <w:szCs w:val="18"/>
        </w:rPr>
        <w:fldChar w:fldCharType="separate"/>
      </w:r>
      <w:r>
        <w:rPr>
          <w:rStyle w:val="1041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частью 2 статьи 19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r/>
      <w:r/>
      <w:r/>
    </w:p>
    <w:p>
      <w:pPr>
        <w:ind w:left="567" w:right="0" w:firstLine="709"/>
        <w:rPr>
          <w:rFonts w:ascii="Times New Roman" w:hAnsi="Times New Roman" w:cs="Times New Roman"/>
          <w:color w:val="000000"/>
          <w:sz w:val="22"/>
          <w:szCs w:val="22"/>
          <w:highlight w:val="none"/>
          <w:u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  <w:u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22"/>
          <w:szCs w:val="22"/>
          <w:highlight w:val="none"/>
          <w:u w:val="none"/>
          <w:shd w:val="clear" w:color="auto" w:fill="auto"/>
        </w:rPr>
      </w:r>
    </w:p>
    <w:p>
      <w:pPr>
        <w:ind w:left="567" w:right="0" w:firstLine="709"/>
        <w:rPr>
          <w:rFonts w:ascii="Times New Roman" w:hAnsi="Times New Roman" w:cs="Times New Roman"/>
          <w:color w:val="000000"/>
          <w:sz w:val="22"/>
          <w:szCs w:val="22"/>
          <w:highlight w:val="none"/>
          <w:u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  <w:u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22"/>
          <w:szCs w:val="22"/>
          <w:highlight w:val="none"/>
          <w:u w:val="none"/>
          <w:shd w:val="clear" w:color="auto" w:fill="auto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48"/>
        <w:gridCol w:w="4958"/>
      </w:tblGrid>
      <w:tr>
        <w:tblPrEx/>
        <w:trPr>
          <w:trHeight w:val="363"/>
        </w:trPr>
        <w:tc>
          <w:tcPr>
            <w:tcW w:w="524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495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>
          <w:trHeight w:val="100"/>
        </w:trPr>
        <w:tc>
          <w:tcPr>
            <w:tcW w:w="5248" w:type="dxa"/>
            <w:textDirection w:val="lrTb"/>
            <w:noWrap w:val="false"/>
          </w:tcPr>
          <w:p>
            <w:pPr>
              <w:pStyle w:val="98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95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2"/>
        </w:trPr>
        <w:tc>
          <w:tcPr>
            <w:tcW w:w="5248" w:type="dxa"/>
            <w:textDirection w:val="lrTb"/>
            <w:noWrap w:val="false"/>
          </w:tcPr>
          <w:p>
            <w:pPr>
              <w:pStyle w:val="98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958" w:type="dxa"/>
            <w:textDirection w:val="lrTb"/>
            <w:noWrap w:val="false"/>
          </w:tcPr>
          <w:p>
            <w:pPr>
              <w:pStyle w:val="986"/>
              <w:ind w:hanging="8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__________________/ ____________/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986"/>
        <w:jc w:val="both"/>
        <w:rPr>
          <w:rFonts w:ascii="Times New Roman" w:hAnsi="Times New Roman"/>
          <w:sz w:val="22"/>
          <w:szCs w:val="22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Style w:val="99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>
        <w:tblPrEx/>
        <w:trPr/>
        <w:tc>
          <w:tcPr>
            <w:tcW w:w="4923" w:type="dxa"/>
            <w:textDirection w:val="lrTb"/>
            <w:noWrap w:val="false"/>
          </w:tcPr>
          <w:p>
            <w:pPr>
              <w:pStyle w:val="1016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924" w:type="dxa"/>
            <w:textDirection w:val="lrTb"/>
            <w:noWrap w:val="false"/>
          </w:tcPr>
          <w:p>
            <w:pPr>
              <w:pStyle w:val="1016"/>
              <w:ind w:firstLine="106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Приложение № 2 к Контракту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6"/>
              <w:ind w:firstLine="1065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«____» ________ 20__ г. № 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98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keepNext w:val="0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keepNext w:val="0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Календарный план и расчет стоимости Услуг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65"/>
        <w:jc w:val="both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962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2792"/>
        <w:gridCol w:w="2160"/>
        <w:gridCol w:w="1800"/>
        <w:gridCol w:w="1260"/>
        <w:gridCol w:w="144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vMerge w:val="restart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2" w:type="dxa"/>
            <w:vAlign w:val="top"/>
            <w:vMerge w:val="restart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 xml:space="preserve">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vMerge w:val="restart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проведения СОУТ на 1 рабочем месте (руб.)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00" w:type="dxa"/>
            <w:vAlign w:val="top"/>
            <w:vMerge w:val="restart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оказания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top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vMerge w:val="continue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2" w:type="dxa"/>
            <w:vAlign w:val="top"/>
            <w:vMerge w:val="continue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vMerge w:val="continue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0" w:type="dxa"/>
            <w:vAlign w:val="top"/>
            <w:vMerge w:val="continue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рабочих мест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0" w:type="dxa"/>
            <w:vAlign w:val="top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Услуг (руб.)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2" w:type="dxa"/>
            <w:vAlign w:val="top"/>
            <w:textDirection w:val="lrTb"/>
            <w:noWrap w:val="false"/>
          </w:tcPr>
          <w:p>
            <w:pPr>
              <w:pStyle w:val="9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Услуги по специальной оценке условий труда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9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0" w:type="dxa"/>
            <w:vAlign w:val="top"/>
            <w:textDirection w:val="lrTb"/>
            <w:noWrap w:val="false"/>
          </w:tcPr>
          <w:p>
            <w:pPr>
              <w:pStyle w:val="9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30.11.2026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9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0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Style w:val="998"/>
        <w:tblW w:w="0" w:type="auto"/>
        <w:tblLayout w:type="fixed"/>
        <w:tblLook w:val="04A0" w:firstRow="1" w:lastRow="0" w:firstColumn="1" w:lastColumn="0" w:noHBand="0" w:noVBand="1"/>
      </w:tblPr>
      <w:tblGrid>
        <w:gridCol w:w="5102"/>
        <w:gridCol w:w="481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contextualSpacing w:val="0"/>
              <w:jc w:val="left"/>
              <w:rPr>
                <w:sz w:val="23"/>
                <w:szCs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contextualSpacing w:val="0"/>
              <w:jc w:val="left"/>
              <w:rPr>
                <w:sz w:val="23"/>
                <w:szCs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________________/ ____________/</w:t>
            </w:r>
            <w:r/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contextualSpacing w:val="0"/>
              <w:jc w:val="left"/>
              <w:rPr>
                <w:sz w:val="23"/>
                <w:szCs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contextualSpacing w:val="0"/>
              <w:jc w:val="left"/>
              <w:rPr>
                <w:sz w:val="23"/>
                <w:szCs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contextualSpacing w:val="0"/>
              <w:jc w:val="left"/>
              <w:rPr>
                <w:sz w:val="23"/>
                <w:szCs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contextualSpacing w:val="0"/>
              <w:jc w:val="left"/>
              <w:rPr>
                <w:sz w:val="23"/>
                <w:szCs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________________/ ____________/</w:t>
            </w:r>
            <w:r/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>
      <w:pPr>
        <w:jc w:val="both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87"/>
      </w:pPr>
      <w:r>
        <w:rPr>
          <w:rStyle w:val="994"/>
        </w:rPr>
        <w:footnoteRef/>
      </w:r>
      <w:r>
        <w:t xml:space="preserve"> В случае заключения контракта с победителем закупочной сессии, указывается «на основании итогового протокола закупочной сессии № ____________________________».</w:t>
      </w:r>
      <w:r/>
    </w:p>
    <w:p>
      <w:pPr>
        <w:pStyle w:val="987"/>
      </w:pPr>
      <w:r/>
      <w:r/>
    </w:p>
  </w:footnote>
  <w:footnote w:id="3">
    <w:p>
      <w:pPr>
        <w:pStyle w:val="987"/>
        <w:rPr>
          <w:sz w:val="16"/>
          <w:szCs w:val="16"/>
        </w:rPr>
      </w:pPr>
      <w:r>
        <w:rPr>
          <w:rStyle w:val="994"/>
          <w:sz w:val="16"/>
          <w:szCs w:val="16"/>
        </w:rPr>
        <w:footnoteRef/>
      </w:r>
      <w:r>
        <w:rPr>
          <w:sz w:val="16"/>
          <w:szCs w:val="16"/>
        </w:rPr>
        <w:t xml:space="preserve">Счет-фактура не предоставляется, если Исполнитель не является плательщиком налога на добавленную стоимость (в том числе находится на упрощенной системе налогообложения).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4">
    <w:p>
      <w:pPr>
        <w:pStyle w:val="987"/>
      </w:pPr>
      <w:r>
        <w:rPr>
          <w:rStyle w:val="994"/>
        </w:rPr>
        <w:footnoteRef/>
      </w:r>
      <w:r>
        <w:t xml:space="preserve"> В случае заключения Контракта в форме электронного документа, данный пункт излагается в следующей редакции: «13.4. Контракт составлен на русском языке в форме электронного документа, подписанного усиленными электронными подписями </w:t>
      </w:r>
      <w:r>
        <w:t xml:space="preserve">Cторон</w:t>
      </w:r>
      <w:r>
        <w:t xml:space="preserve">».</w:t>
      </w:r>
      <w:r/>
    </w:p>
    <w:p>
      <w:pPr>
        <w:pStyle w:val="987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13549573"/>
      <w:docPartObj>
        <w:docPartGallery w:val="Page Numbers (Top of Page)"/>
        <w:docPartUnique w:val="true"/>
      </w:docPartObj>
      <w:rPr/>
    </w:sdtPr>
    <w:sdtContent>
      <w:p>
        <w:pPr>
          <w:pStyle w:val="100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17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space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354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7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4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isLgl w:val="false"/>
      <w:suff w:val="tab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11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space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50" w:hanging="390"/>
        <w:tabs>
          <w:tab w:val="num" w:pos="75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pStyle w:val="990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89"/>
      <w:isLgl w:val="false"/>
      <w:suff w:val="tab"/>
      <w:lvlText w:val="%1.%2"/>
      <w:lvlJc w:val="left"/>
      <w:pPr>
        <w:ind w:left="0" w:firstLine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92"/>
      <w:isLgl w:val="false"/>
      <w:suff w:val="tab"/>
      <w:lvlText w:val="%1.%2.%3"/>
      <w:lvlJc w:val="left"/>
      <w:pPr>
        <w:ind w:left="0" w:firstLine="567"/>
        <w:tabs>
          <w:tab w:val="num" w:pos="1418" w:leader="none"/>
        </w:tabs>
      </w:pPr>
      <w:rPr>
        <w:b w:val="0"/>
        <w:bCs w:val="0"/>
        <w:i w:val="0"/>
        <w:iCs w:val="0"/>
      </w:rPr>
    </w:lvl>
    <w:lvl w:ilvl="3">
      <w:start w:val="1"/>
      <w:numFmt w:val="russianLower"/>
      <w:pStyle w:val="993"/>
      <w:isLgl w:val="false"/>
      <w:suff w:val="tab"/>
      <w:lvlText w:val="%4)"/>
      <w:lvlJc w:val="left"/>
      <w:pPr>
        <w:ind w:left="0" w:firstLine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hint="default"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1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6" w:hanging="360"/>
      </w:pPr>
      <w:rPr>
        <w:rFonts w:hint="default" w:ascii="Symbol" w:hAnsi="Symbol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08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1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20"/>
      <w:numFmt w:val="decimal"/>
      <w:isLgl w:val="false"/>
      <w:suff w:val="tab"/>
      <w:lvlText w:val="%1"/>
      <w:lvlJc w:val="left"/>
      <w:pPr>
        <w:ind w:left="510" w:hanging="510"/>
        <w:tabs>
          <w:tab w:val="num" w:pos="51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10" w:hanging="510"/>
        <w:tabs>
          <w:tab w:val="num" w:pos="51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644" w:hanging="360"/>
        <w:tabs>
          <w:tab w:val="num" w:pos="644" w:leader="none"/>
        </w:tabs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hint="default" w:ascii="Times New Roman" w:hAnsi="Times New Roman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  <w:tabs>
          <w:tab w:val="num" w:pos="2160" w:leader="none"/>
        </w:tabs>
      </w:pPr>
      <w:rPr>
        <w:rFonts w:hint="default" w:ascii="Times New Roman" w:hAnsi="Times New Roman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tabs>
          <w:tab w:val="num" w:pos="2880" w:leader="none"/>
        </w:tabs>
      </w:pPr>
      <w:rPr>
        <w:rFonts w:hint="default" w:ascii="Times New Roman" w:hAnsi="Times New Roman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  <w:tabs>
          <w:tab w:val="num" w:pos="3600" w:leader="none"/>
        </w:tabs>
      </w:pPr>
      <w:rPr>
        <w:rFonts w:hint="default" w:ascii="Times New Roman" w:hAnsi="Times New Roman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  <w:tabs>
          <w:tab w:val="num" w:pos="4320" w:leader="none"/>
        </w:tabs>
      </w:pPr>
      <w:rPr>
        <w:rFonts w:hint="default" w:ascii="Times New Roman" w:hAnsi="Times New Roman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tabs>
          <w:tab w:val="num" w:pos="5040" w:leader="none"/>
        </w:tabs>
      </w:pPr>
      <w:rPr>
        <w:rFonts w:hint="default" w:ascii="Times New Roman" w:hAnsi="Times New Roman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  <w:tabs>
          <w:tab w:val="num" w:pos="5760" w:leader="none"/>
        </w:tabs>
      </w:pPr>
      <w:rPr>
        <w:rFonts w:hint="default" w:ascii="Times New Roman" w:hAnsi="Times New Roman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  <w:tabs>
          <w:tab w:val="num" w:pos="6480" w:leader="none"/>
        </w:tabs>
      </w:pPr>
      <w:rPr>
        <w:rFonts w:hint="default" w:ascii="Times New Roman" w:hAnsi="Times New Roman"/>
      </w:rPr>
    </w:lvl>
  </w:abstractNum>
  <w:abstractNum w:abstractNumId="2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0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2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4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6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8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0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2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4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68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7"/>
      <w:numFmt w:val="decimal"/>
      <w:isLgl w:val="false"/>
      <w:suff w:val="tab"/>
      <w:lvlText w:val="6.%1."/>
      <w:legacy w:legacy="1" w:legacyIndent="52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2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56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28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10" w:hanging="810"/>
      </w:pPr>
      <w:rPr>
        <w:rFonts w:hint="default" w:eastAsia="Times New Roman"/>
        <w:i w:val="0"/>
        <w:color w:val="000000" w:themeColor="text1"/>
      </w:rPr>
    </w:lvl>
    <w:lvl w:ilvl="1">
      <w:start w:val="1"/>
      <w:numFmt w:val="decimal"/>
      <w:isLgl w:val="false"/>
      <w:suff w:val="tab"/>
      <w:lvlText w:val="%1.%2."/>
      <w:lvlJc w:val="left"/>
      <w:pPr>
        <w:ind w:left="1589" w:hanging="810"/>
      </w:pPr>
      <w:rPr>
        <w:rFonts w:hint="default" w:eastAsia="Times New Roman"/>
        <w:i w:val="0"/>
        <w:color w:val="000000" w:themeColor="text1"/>
      </w:rPr>
    </w:lvl>
    <w:lvl w:ilvl="2">
      <w:start w:val="13"/>
      <w:numFmt w:val="decimal"/>
      <w:isLgl w:val="false"/>
      <w:suff w:val="space"/>
      <w:lvlText w:val="%1.%2.%3."/>
      <w:lvlJc w:val="left"/>
      <w:pPr>
        <w:ind w:left="2368" w:hanging="810"/>
      </w:pPr>
      <w:rPr>
        <w:rFonts w:hint="default" w:eastAsia="Times New Roman"/>
        <w:i w:val="0"/>
        <w:color w:val="000000" w:themeColor="text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17" w:hanging="1080"/>
      </w:pPr>
      <w:rPr>
        <w:rFonts w:hint="default" w:eastAsia="Times New Roman"/>
        <w:i w:val="0"/>
        <w:color w:val="000000" w:themeColor="text1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96" w:hanging="1080"/>
      </w:pPr>
      <w:rPr>
        <w:rFonts w:hint="default" w:eastAsia="Times New Roman"/>
        <w:i w:val="0"/>
        <w:color w:val="000000" w:themeColor="text1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440"/>
      </w:pPr>
      <w:rPr>
        <w:rFonts w:hint="default" w:eastAsia="Times New Roman"/>
        <w:i w:val="0"/>
        <w:color w:val="000000" w:themeColor="text1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474" w:hanging="1800"/>
      </w:pPr>
      <w:rPr>
        <w:rFonts w:hint="default" w:eastAsia="Times New Roman"/>
        <w:i w:val="0"/>
        <w:color w:val="000000" w:themeColor="text1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53" w:hanging="1800"/>
      </w:pPr>
      <w:rPr>
        <w:rFonts w:hint="default" w:eastAsia="Times New Roman"/>
        <w:i w:val="0"/>
        <w:color w:val="000000" w:themeColor="text1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392" w:hanging="2160"/>
      </w:pPr>
      <w:rPr>
        <w:rFonts w:hint="default" w:eastAsia="Times New Roman"/>
        <w:i w:val="0"/>
        <w:color w:val="000000" w:themeColor="text1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18"/>
        <w:szCs w:val="18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9"/>
  </w:num>
  <w:num w:numId="7">
    <w:abstractNumId w:val="5"/>
  </w:num>
  <w:num w:numId="8">
    <w:abstractNumId w:val="14"/>
  </w:num>
  <w:num w:numId="9">
    <w:abstractNumId w:val="36"/>
  </w:num>
  <w:num w:numId="10">
    <w:abstractNumId w:val="11"/>
  </w:num>
  <w:num w:numId="11">
    <w:abstractNumId w:val="31"/>
  </w:num>
  <w:num w:numId="12">
    <w:abstractNumId w:val="24"/>
  </w:num>
  <w:num w:numId="13">
    <w:abstractNumId w:val="26"/>
  </w:num>
  <w:num w:numId="14">
    <w:abstractNumId w:val="15"/>
  </w:num>
  <w:num w:numId="15">
    <w:abstractNumId w:val="8"/>
  </w:num>
  <w:num w:numId="16">
    <w:abstractNumId w:val="3"/>
  </w:num>
  <w:num w:numId="17">
    <w:abstractNumId w:val="32"/>
  </w:num>
  <w:num w:numId="18">
    <w:abstractNumId w:val="20"/>
  </w:num>
  <w:num w:numId="19">
    <w:abstractNumId w:val="38"/>
  </w:num>
  <w:num w:numId="20">
    <w:abstractNumId w:val="22"/>
  </w:num>
  <w:num w:numId="21">
    <w:abstractNumId w:val="34"/>
  </w:num>
  <w:num w:numId="22">
    <w:abstractNumId w:val="28"/>
  </w:num>
  <w:num w:numId="23">
    <w:abstractNumId w:val="35"/>
  </w:num>
  <w:num w:numId="24">
    <w:abstractNumId w:val="27"/>
  </w:num>
  <w:num w:numId="25">
    <w:abstractNumId w:val="7"/>
  </w:num>
  <w:num w:numId="26">
    <w:abstractNumId w:val="1"/>
  </w:num>
  <w:num w:numId="27">
    <w:abstractNumId w:val="21"/>
  </w:num>
  <w:num w:numId="28">
    <w:abstractNumId w:val="29"/>
  </w:num>
  <w:num w:numId="29">
    <w:abstractNumId w:val="10"/>
  </w:num>
  <w:num w:numId="30">
    <w:abstractNumId w:val="33"/>
  </w:num>
  <w:num w:numId="31">
    <w:abstractNumId w:val="19"/>
  </w:num>
  <w:num w:numId="32">
    <w:abstractNumId w:val="30"/>
  </w:num>
  <w:num w:numId="33">
    <w:abstractNumId w:val="17"/>
  </w:num>
  <w:num w:numId="34">
    <w:abstractNumId w:val="18"/>
  </w:num>
  <w:num w:numId="35">
    <w:abstractNumId w:val="6"/>
  </w:num>
  <w:num w:numId="36">
    <w:abstractNumId w:val="16"/>
  </w:num>
  <w:num w:numId="37">
    <w:abstractNumId w:val="2"/>
  </w:num>
  <w:num w:numId="38">
    <w:abstractNumId w:val="4"/>
  </w:num>
  <w:num w:numId="39">
    <w:abstractNumId w:val="2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0"/>
  </w:num>
  <w:num w:numId="43">
    <w:abstractNumId w:val="39"/>
  </w:num>
  <w:num w:numId="44">
    <w:abstractNumId w:val="4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3">
    <w:name w:val="Heading 1 Char"/>
    <w:basedOn w:val="972"/>
    <w:link w:val="966"/>
    <w:uiPriority w:val="9"/>
    <w:rPr>
      <w:rFonts w:ascii="Arial" w:hAnsi="Arial" w:eastAsia="Arial" w:cs="Arial"/>
      <w:sz w:val="40"/>
      <w:szCs w:val="40"/>
    </w:rPr>
  </w:style>
  <w:style w:type="character" w:styleId="804">
    <w:name w:val="Heading 2 Char"/>
    <w:basedOn w:val="972"/>
    <w:link w:val="967"/>
    <w:uiPriority w:val="9"/>
    <w:rPr>
      <w:rFonts w:ascii="Arial" w:hAnsi="Arial" w:eastAsia="Arial" w:cs="Arial"/>
      <w:sz w:val="34"/>
    </w:rPr>
  </w:style>
  <w:style w:type="character" w:styleId="805">
    <w:name w:val="Heading 3 Char"/>
    <w:basedOn w:val="972"/>
    <w:link w:val="968"/>
    <w:uiPriority w:val="9"/>
    <w:rPr>
      <w:rFonts w:ascii="Arial" w:hAnsi="Arial" w:eastAsia="Arial" w:cs="Arial"/>
      <w:sz w:val="30"/>
      <w:szCs w:val="30"/>
    </w:rPr>
  </w:style>
  <w:style w:type="character" w:styleId="806">
    <w:name w:val="Heading 4 Char"/>
    <w:basedOn w:val="972"/>
    <w:link w:val="969"/>
    <w:uiPriority w:val="9"/>
    <w:rPr>
      <w:rFonts w:ascii="Arial" w:hAnsi="Arial" w:eastAsia="Arial" w:cs="Arial"/>
      <w:b/>
      <w:bCs/>
      <w:sz w:val="26"/>
      <w:szCs w:val="26"/>
    </w:rPr>
  </w:style>
  <w:style w:type="character" w:styleId="807">
    <w:name w:val="Heading 5 Char"/>
    <w:basedOn w:val="972"/>
    <w:link w:val="970"/>
    <w:uiPriority w:val="9"/>
    <w:rPr>
      <w:rFonts w:ascii="Arial" w:hAnsi="Arial" w:eastAsia="Arial" w:cs="Arial"/>
      <w:b/>
      <w:bCs/>
      <w:sz w:val="24"/>
      <w:szCs w:val="24"/>
    </w:rPr>
  </w:style>
  <w:style w:type="character" w:styleId="808">
    <w:name w:val="Heading 6 Char"/>
    <w:basedOn w:val="972"/>
    <w:link w:val="971"/>
    <w:uiPriority w:val="9"/>
    <w:rPr>
      <w:rFonts w:ascii="Arial" w:hAnsi="Arial" w:eastAsia="Arial" w:cs="Arial"/>
      <w:b/>
      <w:bCs/>
      <w:sz w:val="22"/>
      <w:szCs w:val="22"/>
    </w:rPr>
  </w:style>
  <w:style w:type="paragraph" w:styleId="809">
    <w:name w:val="Heading 7"/>
    <w:basedOn w:val="965"/>
    <w:next w:val="965"/>
    <w:link w:val="8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0">
    <w:name w:val="Heading 7 Char"/>
    <w:basedOn w:val="972"/>
    <w:link w:val="8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1">
    <w:name w:val="Heading 8"/>
    <w:basedOn w:val="965"/>
    <w:next w:val="965"/>
    <w:link w:val="8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2">
    <w:name w:val="Heading 8 Char"/>
    <w:basedOn w:val="972"/>
    <w:link w:val="811"/>
    <w:uiPriority w:val="9"/>
    <w:rPr>
      <w:rFonts w:ascii="Arial" w:hAnsi="Arial" w:eastAsia="Arial" w:cs="Arial"/>
      <w:i/>
      <w:iCs/>
      <w:sz w:val="22"/>
      <w:szCs w:val="22"/>
    </w:rPr>
  </w:style>
  <w:style w:type="paragraph" w:styleId="813">
    <w:name w:val="Heading 9"/>
    <w:basedOn w:val="965"/>
    <w:next w:val="965"/>
    <w:link w:val="8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4">
    <w:name w:val="Heading 9 Char"/>
    <w:basedOn w:val="972"/>
    <w:link w:val="813"/>
    <w:uiPriority w:val="9"/>
    <w:rPr>
      <w:rFonts w:ascii="Arial" w:hAnsi="Arial" w:eastAsia="Arial" w:cs="Arial"/>
      <w:i/>
      <w:iCs/>
      <w:sz w:val="21"/>
      <w:szCs w:val="21"/>
    </w:rPr>
  </w:style>
  <w:style w:type="paragraph" w:styleId="815">
    <w:name w:val="Title"/>
    <w:basedOn w:val="965"/>
    <w:next w:val="965"/>
    <w:link w:val="8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6">
    <w:name w:val="Title Char"/>
    <w:basedOn w:val="972"/>
    <w:link w:val="815"/>
    <w:uiPriority w:val="10"/>
    <w:rPr>
      <w:sz w:val="48"/>
      <w:szCs w:val="48"/>
    </w:rPr>
  </w:style>
  <w:style w:type="paragraph" w:styleId="817">
    <w:name w:val="Subtitle"/>
    <w:basedOn w:val="965"/>
    <w:next w:val="965"/>
    <w:link w:val="818"/>
    <w:uiPriority w:val="11"/>
    <w:qFormat/>
    <w:pPr>
      <w:spacing w:before="200" w:after="200"/>
    </w:pPr>
    <w:rPr>
      <w:sz w:val="24"/>
      <w:szCs w:val="24"/>
    </w:rPr>
  </w:style>
  <w:style w:type="character" w:styleId="818">
    <w:name w:val="Subtitle Char"/>
    <w:basedOn w:val="972"/>
    <w:link w:val="817"/>
    <w:uiPriority w:val="11"/>
    <w:rPr>
      <w:sz w:val="24"/>
      <w:szCs w:val="24"/>
    </w:rPr>
  </w:style>
  <w:style w:type="paragraph" w:styleId="819">
    <w:name w:val="Quote"/>
    <w:basedOn w:val="965"/>
    <w:next w:val="965"/>
    <w:link w:val="820"/>
    <w:uiPriority w:val="29"/>
    <w:qFormat/>
    <w:pPr>
      <w:ind w:left="720" w:right="720"/>
    </w:pPr>
    <w:rPr>
      <w:i/>
    </w:rPr>
  </w:style>
  <w:style w:type="character" w:styleId="820">
    <w:name w:val="Quote Char"/>
    <w:link w:val="819"/>
    <w:uiPriority w:val="29"/>
    <w:rPr>
      <w:i/>
    </w:rPr>
  </w:style>
  <w:style w:type="paragraph" w:styleId="821">
    <w:name w:val="Intense Quote"/>
    <w:basedOn w:val="965"/>
    <w:next w:val="965"/>
    <w:link w:val="8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2">
    <w:name w:val="Intense Quote Char"/>
    <w:link w:val="821"/>
    <w:uiPriority w:val="30"/>
    <w:rPr>
      <w:i/>
    </w:rPr>
  </w:style>
  <w:style w:type="character" w:styleId="823">
    <w:name w:val="Header Char"/>
    <w:basedOn w:val="972"/>
    <w:link w:val="1005"/>
    <w:uiPriority w:val="99"/>
  </w:style>
  <w:style w:type="character" w:styleId="824">
    <w:name w:val="Footer Char"/>
    <w:basedOn w:val="972"/>
    <w:link w:val="1007"/>
    <w:uiPriority w:val="99"/>
  </w:style>
  <w:style w:type="paragraph" w:styleId="825">
    <w:name w:val="Caption"/>
    <w:basedOn w:val="965"/>
    <w:next w:val="965"/>
    <w:link w:val="8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6">
    <w:name w:val="Caption Char"/>
    <w:basedOn w:val="825"/>
    <w:link w:val="1007"/>
    <w:uiPriority w:val="35"/>
  </w:style>
  <w:style w:type="table" w:styleId="827">
    <w:name w:val="Table Grid Light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Plain Table 1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>
    <w:name w:val="Plain Table 2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>
    <w:name w:val="Plain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1">
    <w:name w:val="Plain Table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Plain Table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3">
    <w:name w:val="Grid Table 1 Light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1 Light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4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5">
    <w:name w:val="Grid Table 4 - Accent 1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6">
    <w:name w:val="Grid Table 4 - Accent 2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Grid Table 4 - Accent 3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8">
    <w:name w:val="Grid Table 4 - Accent 4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Grid Table 4 - Accent 5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0">
    <w:name w:val="Grid Table 4 - Accent 6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1">
    <w:name w:val="Grid Table 5 Dark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2">
    <w:name w:val="Grid Table 5 Dark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5">
    <w:name w:val="Grid Table 5 Dark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7">
    <w:name w:val="Grid Table 5 Dark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8">
    <w:name w:val="Grid Table 6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9">
    <w:name w:val="Grid Table 6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0">
    <w:name w:val="Grid Table 6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1">
    <w:name w:val="Grid Table 6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2">
    <w:name w:val="Grid Table 6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3">
    <w:name w:val="Grid Table 6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4">
    <w:name w:val="Grid Table 6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5">
    <w:name w:val="Grid Table 7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0">
    <w:name w:val="List Table 2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1">
    <w:name w:val="List Table 2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2">
    <w:name w:val="List Table 2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3">
    <w:name w:val="List Table 2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4">
    <w:name w:val="List Table 2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5">
    <w:name w:val="List Table 2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6">
    <w:name w:val="List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3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5 Dark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5 Dark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6">
    <w:name w:val="List Table 5 Dark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6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8">
    <w:name w:val="List Table 6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9">
    <w:name w:val="List Table 6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0">
    <w:name w:val="List Table 6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1">
    <w:name w:val="List Table 6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2">
    <w:name w:val="List Table 6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3">
    <w:name w:val="List Table 6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4">
    <w:name w:val="List Table 7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5">
    <w:name w:val="List Table 7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6">
    <w:name w:val="List Table 7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7">
    <w:name w:val="List Table 7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8">
    <w:name w:val="List Table 7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9">
    <w:name w:val="List Table 7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0">
    <w:name w:val="List Table 7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1">
    <w:name w:val="Lined - Accent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2">
    <w:name w:val="Lined - Accent 1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3">
    <w:name w:val="Lined - Accent 2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4">
    <w:name w:val="Lined - Accent 3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5">
    <w:name w:val="Lined - Accent 4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6">
    <w:name w:val="Lined - Accent 5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7">
    <w:name w:val="Lined - Accent 6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8">
    <w:name w:val="Bordered &amp; Lined - Accent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9">
    <w:name w:val="Bordered &amp; Lined - Accent 1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0">
    <w:name w:val="Bordered &amp; Lined - Accent 2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1">
    <w:name w:val="Bordered &amp; Lined - Accent 3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2">
    <w:name w:val="Bordered &amp; Lined - Accent 4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3">
    <w:name w:val="Bordered &amp; Lined - Accent 5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4">
    <w:name w:val="Bordered &amp; Lined - Accent 6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5">
    <w:name w:val="Bordered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6">
    <w:name w:val="Bordered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7">
    <w:name w:val="Bordered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8">
    <w:name w:val="Bordered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9">
    <w:name w:val="Bordered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0">
    <w:name w:val="Bordered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1">
    <w:name w:val="Bordered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2">
    <w:name w:val="Footnote Text Char"/>
    <w:link w:val="987"/>
    <w:uiPriority w:val="99"/>
    <w:rPr>
      <w:sz w:val="18"/>
    </w:rPr>
  </w:style>
  <w:style w:type="character" w:styleId="953">
    <w:name w:val="Endnote Text Char"/>
    <w:link w:val="1028"/>
    <w:uiPriority w:val="99"/>
    <w:rPr>
      <w:sz w:val="20"/>
    </w:rPr>
  </w:style>
  <w:style w:type="paragraph" w:styleId="954">
    <w:name w:val="toc 1"/>
    <w:basedOn w:val="965"/>
    <w:next w:val="965"/>
    <w:uiPriority w:val="39"/>
    <w:unhideWhenUsed/>
    <w:pPr>
      <w:ind w:left="0" w:right="0" w:firstLine="0"/>
      <w:spacing w:after="57"/>
    </w:pPr>
  </w:style>
  <w:style w:type="paragraph" w:styleId="955">
    <w:name w:val="toc 2"/>
    <w:basedOn w:val="965"/>
    <w:next w:val="965"/>
    <w:uiPriority w:val="39"/>
    <w:unhideWhenUsed/>
    <w:pPr>
      <w:ind w:left="283" w:right="0" w:firstLine="0"/>
      <w:spacing w:after="57"/>
    </w:pPr>
  </w:style>
  <w:style w:type="paragraph" w:styleId="956">
    <w:name w:val="toc 3"/>
    <w:basedOn w:val="965"/>
    <w:next w:val="965"/>
    <w:uiPriority w:val="39"/>
    <w:unhideWhenUsed/>
    <w:pPr>
      <w:ind w:left="567" w:right="0" w:firstLine="0"/>
      <w:spacing w:after="57"/>
    </w:pPr>
  </w:style>
  <w:style w:type="paragraph" w:styleId="957">
    <w:name w:val="toc 4"/>
    <w:basedOn w:val="965"/>
    <w:next w:val="965"/>
    <w:uiPriority w:val="39"/>
    <w:unhideWhenUsed/>
    <w:pPr>
      <w:ind w:left="850" w:right="0" w:firstLine="0"/>
      <w:spacing w:after="57"/>
    </w:pPr>
  </w:style>
  <w:style w:type="paragraph" w:styleId="958">
    <w:name w:val="toc 5"/>
    <w:basedOn w:val="965"/>
    <w:next w:val="965"/>
    <w:uiPriority w:val="39"/>
    <w:unhideWhenUsed/>
    <w:pPr>
      <w:ind w:left="1134" w:right="0" w:firstLine="0"/>
      <w:spacing w:after="57"/>
    </w:pPr>
  </w:style>
  <w:style w:type="paragraph" w:styleId="959">
    <w:name w:val="toc 6"/>
    <w:basedOn w:val="965"/>
    <w:next w:val="965"/>
    <w:uiPriority w:val="39"/>
    <w:unhideWhenUsed/>
    <w:pPr>
      <w:ind w:left="1417" w:right="0" w:firstLine="0"/>
      <w:spacing w:after="57"/>
    </w:pPr>
  </w:style>
  <w:style w:type="paragraph" w:styleId="960">
    <w:name w:val="toc 7"/>
    <w:basedOn w:val="965"/>
    <w:next w:val="965"/>
    <w:uiPriority w:val="39"/>
    <w:unhideWhenUsed/>
    <w:pPr>
      <w:ind w:left="1701" w:right="0" w:firstLine="0"/>
      <w:spacing w:after="57"/>
    </w:pPr>
  </w:style>
  <w:style w:type="paragraph" w:styleId="961">
    <w:name w:val="toc 8"/>
    <w:basedOn w:val="965"/>
    <w:next w:val="965"/>
    <w:uiPriority w:val="39"/>
    <w:unhideWhenUsed/>
    <w:pPr>
      <w:ind w:left="1984" w:right="0" w:firstLine="0"/>
      <w:spacing w:after="57"/>
    </w:pPr>
  </w:style>
  <w:style w:type="paragraph" w:styleId="962">
    <w:name w:val="toc 9"/>
    <w:basedOn w:val="965"/>
    <w:next w:val="965"/>
    <w:uiPriority w:val="39"/>
    <w:unhideWhenUsed/>
    <w:pPr>
      <w:ind w:left="2268" w:right="0" w:firstLine="0"/>
      <w:spacing w:after="57"/>
    </w:pPr>
  </w:style>
  <w:style w:type="paragraph" w:styleId="963">
    <w:name w:val="TOC Heading"/>
    <w:uiPriority w:val="39"/>
    <w:unhideWhenUsed/>
  </w:style>
  <w:style w:type="paragraph" w:styleId="964">
    <w:name w:val="table of figures"/>
    <w:basedOn w:val="965"/>
    <w:next w:val="965"/>
    <w:uiPriority w:val="99"/>
    <w:unhideWhenUsed/>
    <w:pPr>
      <w:spacing w:after="0" w:afterAutospacing="0"/>
    </w:pPr>
  </w:style>
  <w:style w:type="paragraph" w:styleId="965" w:default="1">
    <w:name w:val="Normal"/>
    <w:qFormat/>
  </w:style>
  <w:style w:type="paragraph" w:styleId="966">
    <w:name w:val="Heading 1"/>
    <w:basedOn w:val="965"/>
    <w:next w:val="965"/>
    <w:link w:val="975"/>
    <w:uiPriority w:val="9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67">
    <w:name w:val="Heading 2"/>
    <w:basedOn w:val="965"/>
    <w:next w:val="965"/>
    <w:link w:val="976"/>
    <w:uiPriority w:val="9"/>
    <w:qFormat/>
    <w:pPr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68">
    <w:name w:val="Heading 3"/>
    <w:basedOn w:val="965"/>
    <w:next w:val="965"/>
    <w:link w:val="977"/>
    <w:uiPriority w:val="9"/>
    <w:qFormat/>
    <w:pPr>
      <w:jc w:val="center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69">
    <w:name w:val="Heading 4"/>
    <w:basedOn w:val="965"/>
    <w:next w:val="965"/>
    <w:link w:val="978"/>
    <w:uiPriority w:val="9"/>
    <w:qFormat/>
    <w:pPr>
      <w:jc w:val="center"/>
      <w:keepNext/>
      <w:spacing w:after="0" w:line="240" w:lineRule="auto"/>
      <w:outlineLvl w:val="3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70">
    <w:name w:val="Heading 5"/>
    <w:basedOn w:val="965"/>
    <w:next w:val="965"/>
    <w:link w:val="979"/>
    <w:uiPriority w:val="9"/>
    <w:qFormat/>
    <w:pPr>
      <w:keepNext/>
      <w:spacing w:after="0" w:line="240" w:lineRule="auto"/>
      <w:outlineLvl w:val="4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71">
    <w:name w:val="Heading 6"/>
    <w:basedOn w:val="965"/>
    <w:next w:val="965"/>
    <w:link w:val="980"/>
    <w:uiPriority w:val="9"/>
    <w:qFormat/>
    <w:pPr>
      <w:keepNext/>
      <w:spacing w:after="0" w:line="360" w:lineRule="auto"/>
      <w:outlineLvl w:val="5"/>
    </w:pPr>
    <w:rPr>
      <w:rFonts w:ascii="Times New Roman" w:hAnsi="Times New Roman" w:eastAsia="Times New Roman" w:cs="Times New Roman"/>
      <w:bCs/>
      <w:sz w:val="28"/>
      <w:szCs w:val="20"/>
      <w:lang w:eastAsia="ru-RU"/>
    </w:rPr>
  </w:style>
  <w:style w:type="character" w:styleId="972" w:default="1">
    <w:name w:val="Default Paragraph Font"/>
    <w:uiPriority w:val="1"/>
    <w:semiHidden/>
    <w:unhideWhenUsed/>
  </w:style>
  <w:style w:type="table" w:styleId="9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74" w:default="1">
    <w:name w:val="No List"/>
    <w:uiPriority w:val="99"/>
    <w:semiHidden/>
    <w:unhideWhenUsed/>
  </w:style>
  <w:style w:type="character" w:styleId="975" w:customStyle="1">
    <w:name w:val="Заголовок 1 Знак"/>
    <w:basedOn w:val="972"/>
    <w:link w:val="966"/>
    <w:uiPriority w:val="99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976" w:customStyle="1">
    <w:name w:val="Заголовок 2 Знак"/>
    <w:basedOn w:val="972"/>
    <w:link w:val="967"/>
    <w:uiPriority w:val="99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977" w:customStyle="1">
    <w:name w:val="Заголовок 3 Знак"/>
    <w:basedOn w:val="972"/>
    <w:link w:val="96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78" w:customStyle="1">
    <w:name w:val="Заголовок 4 Знак"/>
    <w:basedOn w:val="972"/>
    <w:link w:val="96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79" w:customStyle="1">
    <w:name w:val="Заголовок 5 Знак"/>
    <w:basedOn w:val="972"/>
    <w:link w:val="97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80" w:customStyle="1">
    <w:name w:val="Заголовок 6 Знак"/>
    <w:basedOn w:val="972"/>
    <w:link w:val="971"/>
    <w:rPr>
      <w:rFonts w:ascii="Times New Roman" w:hAnsi="Times New Roman" w:eastAsia="Times New Roman" w:cs="Times New Roman"/>
      <w:bCs/>
      <w:sz w:val="28"/>
      <w:szCs w:val="20"/>
      <w:lang w:eastAsia="ru-RU"/>
    </w:rPr>
  </w:style>
  <w:style w:type="character" w:styleId="981">
    <w:name w:val="Hyperlink"/>
    <w:basedOn w:val="972"/>
    <w:uiPriority w:val="99"/>
    <w:unhideWhenUsed/>
    <w:rPr>
      <w:strike w:val="0"/>
      <w:color w:val="3272c0"/>
      <w:u w:val="none"/>
      <w:shd w:val="clear" w:color="auto" w:fill="auto"/>
    </w:rPr>
  </w:style>
  <w:style w:type="paragraph" w:styleId="982" w:customStyle="1">
    <w:name w:val="s_1"/>
    <w:basedOn w:val="9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3" w:customStyle="1">
    <w:name w:val="s_3"/>
    <w:basedOn w:val="9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4" w:customStyle="1">
    <w:name w:val="s_16"/>
    <w:basedOn w:val="9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5">
    <w:name w:val="List Paragraph"/>
    <w:basedOn w:val="965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6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987">
    <w:name w:val="footnote text"/>
    <w:basedOn w:val="965"/>
    <w:link w:val="988"/>
    <w:uiPriority w:val="99"/>
    <w:unhideWhenUsed/>
    <w:pPr>
      <w:jc w:val="both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988" w:customStyle="1">
    <w:name w:val="Текст сноски Знак"/>
    <w:basedOn w:val="972"/>
    <w:link w:val="987"/>
    <w:uiPriority w:val="99"/>
    <w:rPr>
      <w:rFonts w:ascii="Times New Roman" w:hAnsi="Times New Roman" w:cs="Times New Roman"/>
      <w:sz w:val="20"/>
      <w:szCs w:val="20"/>
    </w:rPr>
  </w:style>
  <w:style w:type="paragraph" w:styleId="989" w:customStyle="1">
    <w:name w:val="Контракт-пункт"/>
    <w:basedOn w:val="965"/>
    <w:pPr>
      <w:numPr>
        <w:ilvl w:val="1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 w:customStyle="1">
    <w:name w:val="Контракт-раздел"/>
    <w:basedOn w:val="965"/>
    <w:next w:val="989"/>
    <w:pPr>
      <w:numPr>
        <w:ilvl w:val="0"/>
        <w:numId w:val="1"/>
      </w:numPr>
      <w:jc w:val="center"/>
      <w:keepNext/>
      <w:spacing w:before="360" w:after="120" w:line="240" w:lineRule="auto"/>
      <w:tabs>
        <w:tab w:val="left" w:pos="540" w:leader="none"/>
      </w:tabs>
      <w:outlineLvl w:val="1"/>
    </w:pPr>
    <w:rPr>
      <w:rFonts w:ascii="Times New Roman" w:hAnsi="Times New Roman" w:eastAsia="Times New Roman" w:cs="Times New Roman"/>
      <w:b/>
      <w:bCs/>
      <w:caps/>
      <w:smallCaps/>
      <w:sz w:val="24"/>
      <w:szCs w:val="24"/>
      <w:lang w:eastAsia="ru-RU"/>
    </w:rPr>
  </w:style>
  <w:style w:type="character" w:styleId="991" w:customStyle="1">
    <w:name w:val="Контракт-подпункт Знак"/>
    <w:link w:val="99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2" w:customStyle="1">
    <w:name w:val="Контракт-подпункт"/>
    <w:basedOn w:val="965"/>
    <w:link w:val="991"/>
    <w:pPr>
      <w:numPr>
        <w:ilvl w:val="2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3" w:customStyle="1">
    <w:name w:val="Контракт-подподпункт"/>
    <w:basedOn w:val="965"/>
    <w:pPr>
      <w:numPr>
        <w:ilvl w:val="3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4">
    <w:name w:val="footnote reference"/>
    <w:basedOn w:val="972"/>
    <w:uiPriority w:val="99"/>
    <w:unhideWhenUsed/>
    <w:rPr>
      <w:vertAlign w:val="superscript"/>
    </w:rPr>
  </w:style>
  <w:style w:type="paragraph" w:styleId="995">
    <w:name w:val="Body Text"/>
    <w:basedOn w:val="965"/>
    <w:link w:val="996"/>
    <w:uiPriority w:val="99"/>
    <w:unhideWhenUsed/>
    <w:pPr>
      <w:jc w:val="both"/>
      <w:spacing w:after="120" w:line="240" w:lineRule="auto"/>
    </w:pPr>
    <w:rPr>
      <w:rFonts w:ascii="Times New Roman" w:hAnsi="Times New Roman" w:cs="Times New Roman"/>
      <w:sz w:val="28"/>
      <w:szCs w:val="28"/>
    </w:rPr>
  </w:style>
  <w:style w:type="character" w:styleId="996" w:customStyle="1">
    <w:name w:val="Основной текст Знак"/>
    <w:basedOn w:val="972"/>
    <w:link w:val="995"/>
    <w:uiPriority w:val="99"/>
    <w:rPr>
      <w:rFonts w:ascii="Times New Roman" w:hAnsi="Times New Roman" w:cs="Times New Roman"/>
      <w:sz w:val="28"/>
      <w:szCs w:val="28"/>
    </w:rPr>
  </w:style>
  <w:style w:type="paragraph" w:styleId="997" w:customStyle="1">
    <w:name w:val="Подподпункт"/>
    <w:basedOn w:val="965"/>
    <w:pPr>
      <w:jc w:val="both"/>
      <w:spacing w:after="0" w:line="240" w:lineRule="auto"/>
      <w:tabs>
        <w:tab w:val="num" w:pos="5585" w:leader="none"/>
      </w:tabs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table" w:styleId="998">
    <w:name w:val="Table Grid"/>
    <w:basedOn w:val="97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9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0" w:customStyle="1">
    <w:name w:val="ConsPlusNormal"/>
    <w:link w:val="1036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01" w:customStyle="1">
    <w:name w:val="Style4"/>
    <w:basedOn w:val="965"/>
    <w:pPr>
      <w:ind w:firstLine="730"/>
      <w:jc w:val="both"/>
      <w:spacing w:after="0" w:line="317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 w:customStyle="1">
    <w:name w:val="Таблицы (моноширинный)"/>
    <w:basedOn w:val="965"/>
    <w:next w:val="965"/>
    <w:pPr>
      <w:jc w:val="both"/>
      <w:spacing w:after="0" w:line="240" w:lineRule="auto"/>
      <w:widowControl w:val="off"/>
    </w:pPr>
    <w:rPr>
      <w:rFonts w:ascii="Courier New" w:hAnsi="Courier New" w:eastAsia="Times New Roman" w:cs="Courier New"/>
      <w:lang w:eastAsia="ru-RU"/>
    </w:rPr>
  </w:style>
  <w:style w:type="paragraph" w:styleId="1003">
    <w:name w:val="Balloon Text"/>
    <w:basedOn w:val="965"/>
    <w:link w:val="1004"/>
    <w:uiPriority w:val="99"/>
    <w:unhideWhenUsed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1004" w:customStyle="1">
    <w:name w:val="Текст выноски Знак"/>
    <w:basedOn w:val="972"/>
    <w:link w:val="1003"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1005">
    <w:name w:val="Header"/>
    <w:basedOn w:val="965"/>
    <w:link w:val="100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6" w:customStyle="1">
    <w:name w:val="Верхний колонтитул Знак"/>
    <w:basedOn w:val="972"/>
    <w:link w:val="100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7">
    <w:name w:val="Footer"/>
    <w:basedOn w:val="965"/>
    <w:link w:val="100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8" w:customStyle="1">
    <w:name w:val="Нижний колонтитул Знак"/>
    <w:basedOn w:val="972"/>
    <w:link w:val="100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9">
    <w:name w:val="Body Text Indent"/>
    <w:basedOn w:val="965"/>
    <w:link w:val="1010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010" w:customStyle="1">
    <w:name w:val="Основной текст с отступом Знак"/>
    <w:basedOn w:val="972"/>
    <w:link w:val="100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11">
    <w:name w:val="Body Text Indent 3"/>
    <w:basedOn w:val="965"/>
    <w:link w:val="1012"/>
    <w:pPr>
      <w:ind w:right="-2" w:firstLine="72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12" w:customStyle="1">
    <w:name w:val="Основной текст с отступом 3 Знак"/>
    <w:basedOn w:val="972"/>
    <w:link w:val="1011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3">
    <w:name w:val="Body Text 2"/>
    <w:basedOn w:val="965"/>
    <w:link w:val="1014"/>
    <w:pPr>
      <w:jc w:val="center"/>
      <w:spacing w:after="0" w:line="360" w:lineRule="auto"/>
    </w:pPr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character" w:styleId="1014" w:customStyle="1">
    <w:name w:val="Основной текст 2 Знак"/>
    <w:basedOn w:val="972"/>
    <w:link w:val="1013"/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paragraph" w:styleId="1015" w:customStyle="1">
    <w:name w:val="Абзац списка1"/>
    <w:basedOn w:val="965"/>
    <w:uiPriority w:val="99"/>
    <w:pPr>
      <w:contextualSpacing/>
      <w:ind w:left="720"/>
    </w:pPr>
    <w:rPr>
      <w:rFonts w:ascii="Calibri" w:hAnsi="Calibri" w:eastAsia="Times New Roman" w:cs="Times New Roman"/>
    </w:rPr>
  </w:style>
  <w:style w:type="paragraph" w:styleId="1016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1017" w:customStyle="1">
    <w:name w:val="Цветовое выделение"/>
    <w:uiPriority w:val="99"/>
    <w:rPr>
      <w:b/>
      <w:bCs/>
      <w:color w:val="26282f"/>
    </w:rPr>
  </w:style>
  <w:style w:type="character" w:styleId="1018" w:customStyle="1">
    <w:name w:val="Гипертекстовая ссылка"/>
    <w:uiPriority w:val="99"/>
    <w:rPr>
      <w:b/>
      <w:bCs/>
      <w:color w:val="106bbe"/>
    </w:rPr>
  </w:style>
  <w:style w:type="paragraph" w:styleId="1019" w:customStyle="1">
    <w:name w:val="Нормальный (таблица)"/>
    <w:basedOn w:val="965"/>
    <w:next w:val="965"/>
    <w:uiPriority w:val="99"/>
    <w:pPr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4"/>
      <w:lang w:eastAsia="ru-RU"/>
    </w:rPr>
  </w:style>
  <w:style w:type="paragraph" w:styleId="1020" w:customStyle="1">
    <w:name w:val="Прижатый влево"/>
    <w:basedOn w:val="965"/>
    <w:next w:val="965"/>
    <w:uiPriority w:val="99"/>
    <w:pPr>
      <w:spacing w:after="0" w:line="240" w:lineRule="auto"/>
      <w:widowControl w:val="off"/>
    </w:pPr>
    <w:rPr>
      <w:rFonts w:ascii="Arial" w:hAnsi="Arial" w:eastAsia="Times New Roman" w:cs="Arial"/>
      <w:sz w:val="24"/>
      <w:szCs w:val="24"/>
      <w:lang w:eastAsia="ru-RU"/>
    </w:rPr>
  </w:style>
  <w:style w:type="character" w:styleId="1021" w:customStyle="1">
    <w:name w:val="Текст примечания Знак"/>
    <w:basedOn w:val="972"/>
    <w:link w:val="1022"/>
    <w:uiPriority w:val="99"/>
    <w:semiHidden/>
    <w:rPr>
      <w:rFonts w:ascii="Calibri" w:hAnsi="Calibri" w:eastAsia="Calibri"/>
    </w:rPr>
  </w:style>
  <w:style w:type="paragraph" w:styleId="1022">
    <w:name w:val="annotation text"/>
    <w:basedOn w:val="965"/>
    <w:link w:val="1021"/>
    <w:uiPriority w:val="99"/>
    <w:semiHidden/>
    <w:rPr>
      <w:rFonts w:ascii="Calibri" w:hAnsi="Calibri" w:eastAsia="Calibri"/>
    </w:rPr>
  </w:style>
  <w:style w:type="character" w:styleId="1023" w:customStyle="1">
    <w:name w:val="Текст примечания Знак1"/>
    <w:basedOn w:val="972"/>
    <w:uiPriority w:val="99"/>
    <w:semiHidden/>
    <w:rPr>
      <w:sz w:val="20"/>
      <w:szCs w:val="20"/>
    </w:rPr>
  </w:style>
  <w:style w:type="character" w:styleId="1024" w:customStyle="1">
    <w:name w:val="Тема примечания Знак"/>
    <w:basedOn w:val="1021"/>
    <w:link w:val="1025"/>
    <w:uiPriority w:val="99"/>
    <w:semiHidden/>
    <w:rPr>
      <w:rFonts w:ascii="Calibri" w:hAnsi="Calibri" w:eastAsia="Calibri"/>
      <w:b/>
      <w:bCs/>
    </w:rPr>
  </w:style>
  <w:style w:type="paragraph" w:styleId="1025">
    <w:name w:val="annotation subject"/>
    <w:basedOn w:val="1022"/>
    <w:next w:val="1022"/>
    <w:link w:val="1024"/>
    <w:uiPriority w:val="99"/>
    <w:semiHidden/>
    <w:rPr>
      <w:b/>
      <w:bCs/>
    </w:rPr>
  </w:style>
  <w:style w:type="character" w:styleId="1026" w:customStyle="1">
    <w:name w:val="Тема примечания Знак1"/>
    <w:basedOn w:val="1023"/>
    <w:uiPriority w:val="99"/>
    <w:semiHidden/>
    <w:rPr>
      <w:b/>
      <w:bCs/>
      <w:sz w:val="20"/>
      <w:szCs w:val="20"/>
    </w:rPr>
  </w:style>
  <w:style w:type="character" w:styleId="1027" w:customStyle="1">
    <w:name w:val="Текст концевой сноски Знак"/>
    <w:basedOn w:val="972"/>
    <w:link w:val="1028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8">
    <w:name w:val="endnote text"/>
    <w:basedOn w:val="965"/>
    <w:link w:val="1027"/>
    <w:uiPriority w:val="99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9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1030" w:customStyle="1">
    <w:name w:val="Основной текст 3 Знак"/>
    <w:basedOn w:val="972"/>
    <w:link w:val="1031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31">
    <w:name w:val="Body Text 3"/>
    <w:basedOn w:val="965"/>
    <w:link w:val="1030"/>
    <w:semiHidden/>
    <w:unhideWhenUsed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1032" w:customStyle="1">
    <w:name w:val="Сетка таблицы1"/>
    <w:basedOn w:val="973"/>
    <w:next w:val="99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33">
    <w:name w:val="endnote reference"/>
    <w:basedOn w:val="972"/>
    <w:uiPriority w:val="99"/>
    <w:semiHidden/>
    <w:unhideWhenUsed/>
    <w:rPr>
      <w:vertAlign w:val="superscript"/>
    </w:rPr>
  </w:style>
  <w:style w:type="character" w:styleId="1034" w:customStyle="1">
    <w:name w:val="Знак Знак"/>
    <w:rPr>
      <w:rFonts w:cs="Times New Roman"/>
      <w:sz w:val="36"/>
      <w:szCs w:val="36"/>
      <w:lang w:val="ru-RU" w:eastAsia="ru-RU" w:bidi="ar-SA"/>
    </w:rPr>
  </w:style>
  <w:style w:type="paragraph" w:styleId="1035">
    <w:name w:val="Normal (Web)"/>
    <w:basedOn w:val="965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1036" w:customStyle="1">
    <w:name w:val="ConsPlusNormal Знак"/>
    <w:link w:val="1000"/>
    <w:rPr>
      <w:rFonts w:ascii="Arial" w:hAnsi="Arial" w:eastAsia="Times New Roman" w:cs="Arial"/>
      <w:sz w:val="20"/>
      <w:szCs w:val="20"/>
      <w:lang w:eastAsia="ru-RU"/>
    </w:rPr>
  </w:style>
  <w:style w:type="paragraph" w:styleId="1037" w:customStyle="1">
    <w:name w:val="js_comments_listenhover"/>
    <w:basedOn w:val="965"/>
    <w:pPr>
      <w:spacing w:before="280" w:after="280"/>
    </w:pPr>
    <w:rPr>
      <w:rFonts w:ascii="Calibri" w:hAnsi="Calibri" w:eastAsia="Calibri" w:cs="Times New Roman"/>
      <w:lang w:eastAsia="zh-CN"/>
    </w:rPr>
  </w:style>
  <w:style w:type="paragraph" w:styleId="1038" w:customStyle="1">
    <w:name w:val="Содержимое таблицы"/>
    <w:basedOn w:val="965"/>
    <w:pPr>
      <w:widowControl w:val="off"/>
      <w:suppressLineNumbers/>
    </w:pPr>
    <w:rPr>
      <w:rFonts w:ascii="Calibri" w:hAnsi="Calibri" w:eastAsia="Calibri" w:cs="Times New Roman"/>
      <w:lang w:eastAsia="zh-CN"/>
    </w:rPr>
  </w:style>
  <w:style w:type="paragraph" w:styleId="1039" w:customStyle="1">
    <w:name w:val="Стиль2"/>
    <w:basedOn w:val="845"/>
    <w:next w:val="923"/>
    <w:link w:val="845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040" w:customStyle="1">
    <w:name w:val="Заголовок 2"/>
    <w:basedOn w:val="845"/>
    <w:next w:val="910"/>
    <w:pPr>
      <w:numPr>
        <w:ilvl w:val="1"/>
        <w:numId w:val="0"/>
      </w:num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76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Calibri" w:hAnsi="Calibri" w:eastAsia="Calibri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6"/>
      <w:szCs w:val="3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41" w:customStyle="1">
    <w:name w:val="Интернет-ссылка"/>
    <w:basedOn w:val="858"/>
    <w:next w:val="869"/>
    <w:link w:val="845"/>
    <w:rPr>
      <w:color w:val="0000ff"/>
      <w:u w:val="single"/>
    </w:rPr>
  </w:style>
  <w:style w:type="paragraph" w:styleId="1042" w:customStyle="1">
    <w:name w:val="Основной текст"/>
    <w:basedOn w:val="845"/>
    <w:next w:val="910"/>
    <w:link w:val="84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tLeas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043" w:customStyle="1">
    <w:name w:val="Без интервала1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62570D635B28CC27173B12FB15CFE29923CCCE01ECDB88BC2EB6BCDB71BF199051CFA3D1956CBCEE9A64962A2Fy2r0O" TargetMode="External"/><Relationship Id="rId12" Type="http://schemas.openxmlformats.org/officeDocument/2006/relationships/hyperlink" Target="mailto:04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F4FD0-60D3-4794-BF0D-AE129282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VorobyevaII</dc:creator>
  <cp:keywords/>
  <dc:description/>
  <cp:lastModifiedBy>sobchak</cp:lastModifiedBy>
  <cp:revision>559</cp:revision>
  <dcterms:created xsi:type="dcterms:W3CDTF">2025-04-03T10:59:00Z</dcterms:created>
  <dcterms:modified xsi:type="dcterms:W3CDTF">2026-08-17T05:26:50Z</dcterms:modified>
</cp:coreProperties>
</file>