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ЦК))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подготовки обоснования НМЦ</w:t>
      </w:r>
      <w:r>
        <w:rPr>
          <w:rFonts w:ascii="Times New Roman" w:hAnsi="Times New Roman" w:cs="Times New Roman"/>
          <w:sz w:val="24"/>
          <w:szCs w:val="24"/>
        </w:rPr>
        <w:t xml:space="preserve">К(</w:t>
      </w:r>
      <w:r>
        <w:rPr>
          <w:rFonts w:ascii="Times New Roman" w:hAnsi="Times New Roman" w:cs="Times New Roman"/>
          <w:sz w:val="24"/>
          <w:szCs w:val="24"/>
        </w:rPr>
        <w:t xml:space="preserve">ЦК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t xml:space="preserve">05.05</w:t>
      </w:r>
      <w:r>
        <w:rPr>
          <w:rFonts w:ascii="Times New Roman" w:hAnsi="Times New Roman" w:cs="Times New Roman"/>
          <w:i/>
          <w:sz w:val="24"/>
          <w:szCs w:val="24"/>
        </w:rPr>
        <w:t xml:space="preserve">.2026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</w:t>
      </w:r>
      <w:r>
        <w:rPr>
          <w:rFonts w:ascii="Times New Roman" w:hAnsi="Times New Roman" w:cs="Times New Roman"/>
          <w:sz w:val="24"/>
          <w:szCs w:val="24"/>
        </w:rPr>
        <w:t xml:space="preserve"> контракта </w:t>
      </w:r>
      <w:r>
        <w:rPr>
          <w:rFonts w:ascii="Times New Roman" w:hAnsi="Times New Roman" w:cs="Times New Roman"/>
          <w:sz w:val="24"/>
          <w:szCs w:val="24"/>
        </w:rPr>
        <w:t xml:space="preserve">Поставка </w:t>
      </w:r>
      <w:r>
        <w:rPr>
          <w:rFonts w:ascii="Times New Roman" w:hAnsi="Times New Roman" w:cs="Times New Roman"/>
          <w:sz w:val="24"/>
          <w:szCs w:val="24"/>
        </w:rPr>
        <w:t xml:space="preserve">водонагревателя электрического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установкой (монтажом) для нужд Управления Федерального каз</w:t>
      </w:r>
      <w:r>
        <w:rPr>
          <w:rFonts w:ascii="Times New Roman" w:hAnsi="Times New Roman" w:cs="Times New Roman"/>
          <w:sz w:val="24"/>
          <w:szCs w:val="24"/>
        </w:rPr>
        <w:t xml:space="preserve">начейства по Ростовской области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Используемый метод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НМЦ</w:t>
      </w:r>
      <w:r>
        <w:rPr>
          <w:rFonts w:ascii="Times New Roman" w:hAnsi="Times New Roman" w:cs="Times New Roman"/>
          <w:sz w:val="24"/>
          <w:szCs w:val="24"/>
        </w:rPr>
        <w:t xml:space="preserve">К(</w:t>
      </w:r>
      <w:r>
        <w:rPr>
          <w:rFonts w:ascii="Times New Roman" w:hAnsi="Times New Roman" w:cs="Times New Roman"/>
          <w:sz w:val="24"/>
          <w:szCs w:val="24"/>
        </w:rPr>
        <w:t xml:space="preserve">ЦК)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Метод сопоставимых рыночных цен</w:t>
      </w:r>
      <w:r>
        <w:rPr>
          <w:rFonts w:ascii="Times New Roman" w:hAnsi="Times New Roman" w:cs="Times New Roman"/>
          <w:i/>
          <w:sz w:val="24"/>
          <w:szCs w:val="24"/>
        </w:rPr>
        <w:t xml:space="preserve"> (анализ рынка)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запросов ценовой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(в </w:t>
      </w:r>
      <w:r>
        <w:rPr>
          <w:rFonts w:ascii="Times New Roman" w:hAnsi="Times New Roman" w:cs="Times New Roman"/>
          <w:sz w:val="24"/>
          <w:szCs w:val="24"/>
        </w:rPr>
        <w:t xml:space="preserve">т.ч</w:t>
      </w:r>
      <w:r>
        <w:rPr>
          <w:rFonts w:ascii="Times New Roman" w:hAnsi="Times New Roman" w:cs="Times New Roman"/>
          <w:sz w:val="24"/>
          <w:szCs w:val="24"/>
        </w:rPr>
        <w:t xml:space="preserve">. в ЕИС)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Запрос направ</w:t>
      </w:r>
      <w:r>
        <w:rPr>
          <w:rFonts w:ascii="Times New Roman" w:hAnsi="Times New Roman" w:cs="Times New Roman"/>
          <w:i/>
          <w:sz w:val="24"/>
          <w:szCs w:val="24"/>
        </w:rPr>
        <w:t xml:space="preserve">лен в </w:t>
      </w:r>
      <w:r>
        <w:rPr>
          <w:rFonts w:ascii="Times New Roman" w:hAnsi="Times New Roman" w:cs="Times New Roman"/>
          <w:i/>
          <w:sz w:val="24"/>
          <w:szCs w:val="24"/>
        </w:rPr>
        <w:t xml:space="preserve">6</w:t>
      </w:r>
      <w:r>
        <w:rPr>
          <w:rFonts w:ascii="Times New Roman" w:hAnsi="Times New Roman" w:cs="Times New Roman"/>
          <w:i/>
          <w:sz w:val="24"/>
          <w:szCs w:val="24"/>
        </w:rPr>
        <w:t xml:space="preserve"> организаций: </w:t>
      </w:r>
      <w:r>
        <w:rPr>
          <w:rFonts w:ascii="Times New Roman" w:hAnsi="Times New Roman" w:cs="Times New Roman"/>
          <w:i/>
          <w:sz w:val="24"/>
          <w:szCs w:val="24"/>
        </w:rPr>
        <w:t xml:space="preserve">исх. от  04.05.2026 № 56-07-11/2129</w:t>
      </w:r>
      <w:r>
        <w:rPr>
          <w:rFonts w:ascii="Times New Roman" w:hAnsi="Times New Roman" w:cs="Times New Roman"/>
          <w:i/>
          <w:sz w:val="24"/>
          <w:szCs w:val="24"/>
        </w:rPr>
        <w:t xml:space="preserve">, в ЕИС </w:t>
      </w:r>
      <w:r>
        <w:rPr>
          <w:rFonts w:ascii="Times New Roman" w:hAnsi="Times New Roman" w:cs="Times New Roman"/>
          <w:i/>
          <w:sz w:val="24"/>
          <w:szCs w:val="24"/>
        </w:rPr>
        <w:t xml:space="preserve">от</w:t>
      </w:r>
      <w:r>
        <w:rPr>
          <w:rFonts w:ascii="Times New Roman" w:hAnsi="Times New Roman" w:cs="Times New Roman"/>
          <w:i/>
          <w:sz w:val="24"/>
          <w:szCs w:val="24"/>
        </w:rPr>
        <w:t xml:space="preserve"> 04.05.2026 № 0858400000126000211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Ответ</w:t>
      </w:r>
      <w:r>
        <w:rPr>
          <w:rFonts w:ascii="Times New Roman" w:hAnsi="Times New Roman" w:cs="Times New Roman"/>
          <w:i/>
          <w:sz w:val="24"/>
          <w:szCs w:val="24"/>
        </w:rPr>
        <w:t xml:space="preserve"> получен от 3 (трех) организаций на основании данной информации произведен расчет НМЦК (ЦК): Источник № 1 </w:t>
      </w:r>
      <w:r>
        <w:rPr>
          <w:rFonts w:ascii="Times New Roman" w:hAnsi="Times New Roman" w:cs="Times New Roman"/>
          <w:i/>
          <w:sz w:val="24"/>
          <w:szCs w:val="24"/>
        </w:rPr>
        <w:t xml:space="preserve"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sz w:val="24"/>
          <w:szCs w:val="24"/>
        </w:rPr>
        <w:t xml:space="preserve">х</w:t>
      </w:r>
      <w:r>
        <w:rPr>
          <w:rFonts w:ascii="Times New Roman" w:hAnsi="Times New Roman" w:cs="Times New Roman"/>
          <w:i/>
          <w:sz w:val="24"/>
          <w:szCs w:val="24"/>
        </w:rPr>
        <w:t xml:space="preserve">. от  05.05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</w:rPr>
        <w:t xml:space="preserve">2026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№ </w:t>
      </w:r>
      <w:r>
        <w:rPr>
          <w:rFonts w:ascii="Times New Roman" w:hAnsi="Times New Roman" w:cs="Times New Roman"/>
          <w:i/>
          <w:sz w:val="24"/>
          <w:szCs w:val="24"/>
        </w:rPr>
        <w:t xml:space="preserve">4964</w:t>
      </w:r>
      <w:r>
        <w:rPr>
          <w:rFonts w:ascii="Times New Roman" w:hAnsi="Times New Roman" w:cs="Times New Roman"/>
          <w:i/>
          <w:sz w:val="24"/>
          <w:szCs w:val="24"/>
        </w:rPr>
        <w:t xml:space="preserve">, Источник </w:t>
      </w:r>
      <w:r>
        <w:rPr>
          <w:rFonts w:ascii="Times New Roman" w:hAnsi="Times New Roman" w:cs="Times New Roman"/>
          <w:i/>
          <w:sz w:val="24"/>
          <w:szCs w:val="24"/>
        </w:rPr>
        <w:t xml:space="preserve">№ 2 – </w:t>
      </w:r>
      <w:r>
        <w:rPr>
          <w:rFonts w:ascii="Times New Roman" w:hAnsi="Times New Roman" w:cs="Times New Roman"/>
          <w:i/>
          <w:sz w:val="24"/>
          <w:szCs w:val="24"/>
        </w:rPr>
        <w:t xml:space="preserve">вх</w:t>
      </w:r>
      <w:r>
        <w:rPr>
          <w:rFonts w:ascii="Times New Roman" w:hAnsi="Times New Roman" w:cs="Times New Roman"/>
          <w:i/>
          <w:sz w:val="24"/>
          <w:szCs w:val="24"/>
        </w:rPr>
        <w:t xml:space="preserve">. от 05.05</w:t>
      </w:r>
      <w:r>
        <w:rPr>
          <w:rFonts w:ascii="Times New Roman" w:hAnsi="Times New Roman" w:cs="Times New Roman"/>
          <w:i/>
          <w:sz w:val="24"/>
          <w:szCs w:val="24"/>
        </w:rPr>
        <w:t xml:space="preserve">.2026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№ </w:t>
      </w:r>
      <w:r>
        <w:rPr>
          <w:rFonts w:ascii="Times New Roman" w:hAnsi="Times New Roman" w:cs="Times New Roman"/>
          <w:i/>
          <w:sz w:val="24"/>
          <w:szCs w:val="24"/>
        </w:rPr>
        <w:t xml:space="preserve">4966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Источник № 3 </w:t>
      </w:r>
      <w:r>
        <w:rPr>
          <w:rFonts w:ascii="Times New Roman" w:hAnsi="Times New Roman" w:cs="Times New Roman"/>
          <w:i/>
          <w:sz w:val="24"/>
          <w:szCs w:val="24"/>
        </w:rPr>
        <w:t xml:space="preserve"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sz w:val="24"/>
          <w:szCs w:val="24"/>
        </w:rPr>
        <w:t xml:space="preserve">х</w:t>
      </w:r>
      <w:r>
        <w:rPr>
          <w:rFonts w:ascii="Times New Roman" w:hAnsi="Times New Roman" w:cs="Times New Roman"/>
          <w:i/>
          <w:sz w:val="24"/>
          <w:szCs w:val="24"/>
        </w:rPr>
        <w:t xml:space="preserve">. от 05.05</w:t>
      </w:r>
      <w:r>
        <w:rPr>
          <w:rFonts w:ascii="Times New Roman" w:hAnsi="Times New Roman" w:cs="Times New Roman"/>
          <w:i/>
          <w:sz w:val="24"/>
          <w:szCs w:val="24"/>
        </w:rPr>
        <w:t xml:space="preserve">.2026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4965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НМЦК (ЦК) произведен по наименьшему коммерческому предложению </w:t>
      </w:r>
      <w:r>
        <w:rPr>
          <w:rFonts w:ascii="Times New Roman" w:hAnsi="Times New Roman" w:cs="Times New Roman"/>
          <w:i/>
          <w:sz w:val="24"/>
          <w:szCs w:val="24"/>
        </w:rPr>
        <w:t xml:space="preserve">Источник № </w:t>
      </w:r>
      <w:r>
        <w:rPr>
          <w:rFonts w:ascii="Times New Roman" w:hAnsi="Times New Roman" w:cs="Times New Roman"/>
          <w:i/>
          <w:sz w:val="24"/>
          <w:szCs w:val="24"/>
        </w:rPr>
        <w:t xml:space="preserve">3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 xml:space="preserve">вх</w:t>
      </w:r>
      <w:r>
        <w:rPr>
          <w:rFonts w:ascii="Times New Roman" w:hAnsi="Times New Roman" w:cs="Times New Roman"/>
          <w:i/>
          <w:sz w:val="24"/>
          <w:szCs w:val="24"/>
        </w:rPr>
        <w:t xml:space="preserve">. от </w:t>
      </w:r>
      <w:r>
        <w:rPr>
          <w:rFonts w:ascii="Times New Roman" w:hAnsi="Times New Roman" w:cs="Times New Roman"/>
          <w:i/>
          <w:sz w:val="24"/>
          <w:szCs w:val="24"/>
        </w:rPr>
        <w:t xml:space="preserve">05.05</w:t>
      </w:r>
      <w:r>
        <w:rPr>
          <w:rFonts w:ascii="Times New Roman" w:hAnsi="Times New Roman" w:cs="Times New Roman"/>
          <w:i/>
          <w:sz w:val="24"/>
          <w:szCs w:val="24"/>
        </w:rPr>
        <w:t xml:space="preserve">.2026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№ </w:t>
      </w:r>
      <w:r>
        <w:rPr>
          <w:rFonts w:ascii="Times New Roman" w:hAnsi="Times New Roman" w:cs="Times New Roman"/>
          <w:i/>
          <w:sz w:val="24"/>
          <w:szCs w:val="24"/>
        </w:rPr>
        <w:t xml:space="preserve">4965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4979" w:type="pct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4"/>
        <w:gridCol w:w="1711"/>
        <w:gridCol w:w="1711"/>
        <w:gridCol w:w="851"/>
        <w:gridCol w:w="565"/>
        <w:gridCol w:w="429"/>
        <w:gridCol w:w="1134"/>
        <w:gridCol w:w="1134"/>
        <w:gridCol w:w="1134"/>
        <w:gridCol w:w="708"/>
        <w:gridCol w:w="1137"/>
        <w:gridCol w:w="1271"/>
        <w:gridCol w:w="997"/>
        <w:gridCol w:w="994"/>
        <w:gridCol w:w="1018"/>
      </w:tblGrid>
      <w:tr>
        <w:tblPrEx/>
        <w:trPr/>
        <w:tc>
          <w:tcPr>
            <w:tcW w:w="13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согласно описанию объекта закупки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принад-лежность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9"/>
            <w:tcW w:w="31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ЦК)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3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1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Ценовые значения анализа рынка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вариации (v)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аименьшая цена за единицу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 с учетом нормативных 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Итоговое значение НМЦК (ЦК) (руб.)</w:t>
            </w:r>
            <w:r>
              <w:rPr>
                <w:rStyle w:val="66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цена единицы товара (работы, услуги) в том числе с учетом ЛБО 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НМЦК (ЦК) /цена единицы товара (работы, услуги) с учетом ЛБО 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3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41"/>
        </w:trPr>
        <w:tc>
          <w:tcPr>
            <w:tcW w:w="13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3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67"/>
        </w:trPr>
        <w:tc>
          <w:tcPr>
            <w:tcW w:w="13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pc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Arial Unicode MS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Cs w:val="28"/>
                <w:lang w:eastAsia="ru-RU"/>
              </w:rPr>
              <w:t xml:space="preserve">Водонагреватель электрический</w:t>
            </w:r>
            <w:r>
              <w:rPr>
                <w:rFonts w:ascii="Times New Roman" w:hAnsi="Times New Roman" w:eastAsia="Arial Unicode MS" w:cs="Times New Roman"/>
                <w:color w:val="000000"/>
                <w:szCs w:val="28"/>
              </w:rPr>
            </w:r>
          </w:p>
        </w:tc>
        <w:tc>
          <w:tcPr>
            <w:tcW w:w="2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Cs w:val="28"/>
              </w:rPr>
              <w:t xml:space="preserve">-</w:t>
            </w:r>
            <w:r>
              <w:rPr>
                <w:rFonts w:ascii="Times New Roman" w:hAnsi="Times New Roman" w:eastAsia="Arial Unicode MS" w:cs="Times New Roman"/>
                <w:color w:val="000000"/>
                <w:szCs w:val="28"/>
              </w:rPr>
            </w:r>
          </w:p>
        </w:tc>
        <w:tc>
          <w:tcPr>
            <w:tcW w:w="1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375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4,36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5 050 000,00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W w:w="18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НМЦК (ЦК)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02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000,00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r>
          </w:p>
        </w:tc>
        <w:tc>
          <w:tcPr>
            <w:tcW w:w="3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6839" w:h="11907" w:orient="landscape"/>
      <w:pgMar w:top="1134" w:right="567" w:bottom="993" w:left="1134" w:header="0" w:footer="0" w:gutter="0"/>
      <w:pgNumType w:start="5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7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7"/>
    <w:link w:val="656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64"/>
    <w:uiPriority w:val="99"/>
  </w:style>
  <w:style w:type="character" w:styleId="45">
    <w:name w:val="Footer Char"/>
    <w:basedOn w:val="657"/>
    <w:link w:val="666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60"/>
    <w:uiPriority w:val="99"/>
    <w:rPr>
      <w:sz w:val="18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</w:style>
  <w:style w:type="paragraph" w:styleId="656">
    <w:name w:val="Heading 2"/>
    <w:basedOn w:val="655"/>
    <w:next w:val="655"/>
    <w:link w:val="675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paragraph" w:styleId="660">
    <w:name w:val="footnote text"/>
    <w:basedOn w:val="655"/>
    <w:link w:val="66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61" w:customStyle="1">
    <w:name w:val="Текст сноски Знак"/>
    <w:basedOn w:val="657"/>
    <w:link w:val="660"/>
    <w:uiPriority w:val="99"/>
    <w:semiHidden/>
    <w:rPr>
      <w:sz w:val="20"/>
      <w:szCs w:val="20"/>
    </w:rPr>
  </w:style>
  <w:style w:type="character" w:styleId="662">
    <w:name w:val="footnote reference"/>
    <w:basedOn w:val="657"/>
    <w:uiPriority w:val="99"/>
    <w:semiHidden/>
    <w:unhideWhenUsed/>
    <w:rPr>
      <w:vertAlign w:val="superscript"/>
    </w:rPr>
  </w:style>
  <w:style w:type="table" w:styleId="663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4">
    <w:name w:val="Header"/>
    <w:basedOn w:val="655"/>
    <w:link w:val="6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5" w:customStyle="1">
    <w:name w:val="Верхний колонтитул Знак"/>
    <w:basedOn w:val="657"/>
    <w:link w:val="664"/>
    <w:uiPriority w:val="99"/>
  </w:style>
  <w:style w:type="paragraph" w:styleId="666">
    <w:name w:val="Footer"/>
    <w:basedOn w:val="655"/>
    <w:link w:val="6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7" w:customStyle="1">
    <w:name w:val="Нижний колонтитул Знак"/>
    <w:basedOn w:val="657"/>
    <w:link w:val="666"/>
    <w:uiPriority w:val="99"/>
  </w:style>
  <w:style w:type="character" w:styleId="668">
    <w:name w:val="annotation reference"/>
    <w:basedOn w:val="657"/>
    <w:uiPriority w:val="99"/>
    <w:semiHidden/>
    <w:unhideWhenUsed/>
    <w:rPr>
      <w:sz w:val="16"/>
      <w:szCs w:val="16"/>
    </w:rPr>
  </w:style>
  <w:style w:type="paragraph" w:styleId="669">
    <w:name w:val="annotation text"/>
    <w:basedOn w:val="655"/>
    <w:link w:val="67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70" w:customStyle="1">
    <w:name w:val="Текст примечания Знак"/>
    <w:basedOn w:val="657"/>
    <w:link w:val="669"/>
    <w:uiPriority w:val="99"/>
    <w:semiHidden/>
    <w:rPr>
      <w:sz w:val="20"/>
      <w:szCs w:val="20"/>
    </w:rPr>
  </w:style>
  <w:style w:type="paragraph" w:styleId="671">
    <w:name w:val="annotation subject"/>
    <w:basedOn w:val="669"/>
    <w:next w:val="669"/>
    <w:link w:val="672"/>
    <w:uiPriority w:val="99"/>
    <w:semiHidden/>
    <w:unhideWhenUsed/>
    <w:rPr>
      <w:b/>
      <w:bCs/>
    </w:rPr>
  </w:style>
  <w:style w:type="character" w:styleId="672" w:customStyle="1">
    <w:name w:val="Тема примечания Знак"/>
    <w:basedOn w:val="670"/>
    <w:link w:val="671"/>
    <w:uiPriority w:val="99"/>
    <w:semiHidden/>
    <w:rPr>
      <w:b/>
      <w:bCs/>
      <w:sz w:val="20"/>
      <w:szCs w:val="20"/>
    </w:rPr>
  </w:style>
  <w:style w:type="paragraph" w:styleId="673">
    <w:name w:val="Balloon Text"/>
    <w:basedOn w:val="655"/>
    <w:link w:val="6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4" w:customStyle="1">
    <w:name w:val="Текст выноски Знак"/>
    <w:basedOn w:val="657"/>
    <w:link w:val="673"/>
    <w:uiPriority w:val="99"/>
    <w:semiHidden/>
    <w:rPr>
      <w:rFonts w:ascii="Tahoma" w:hAnsi="Tahoma" w:cs="Tahoma"/>
      <w:sz w:val="16"/>
      <w:szCs w:val="16"/>
    </w:rPr>
  </w:style>
  <w:style w:type="character" w:styleId="675" w:customStyle="1">
    <w:name w:val="Заголовок 2 Знак"/>
    <w:basedOn w:val="657"/>
    <w:link w:val="656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1C93-156A-457C-8D66-7C5923A9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Герасименко Виктория Олеговна</cp:lastModifiedBy>
  <cp:revision>113</cp:revision>
  <dcterms:created xsi:type="dcterms:W3CDTF">2025-05-22T12:00:00Z</dcterms:created>
  <dcterms:modified xsi:type="dcterms:W3CDTF">2026-05-07T09:17:18Z</dcterms:modified>
</cp:coreProperties>
</file>