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Постановление Правительства РФ №509 от 12 августа 2005 г.</w:t>
      </w:r>
    </w:p>
    <w:p>
      <w:pPr>
        <w:pStyle w:val="Heading2"/>
        <w:rPr/>
      </w:pPr>
      <w:r>
        <w:rPr/>
        <w:t>«О порядке оплаты труда независимых экспертов, включаемых в составы аттестационной и конкурсной комиссий, а также комиссий по соблюдению требований к служебному поведению Федеральных Государственных Гражданских Служащих и урегулированию конфликта интересов, образуемых Федеральными Государственными Органами »</w:t>
      </w:r>
    </w:p>
    <w:p>
      <w:pPr>
        <w:pStyle w:val="TextBody"/>
        <w:rPr/>
      </w:pPr>
      <w:r>
        <w:rPr/>
        <w:t>В соответствии со статьями 19, 22 и 48 Федерального закона "О государственной гражданской службе Российской Федерации" и в связи с изданием Указов Президента Российской Федерации от 1 февраля 2005 г. N 110 "О проведении аттестации государственных гражданских служащих Российской Федерации" (Собрание законодательства Российской Федерации, 2005, N 6, ст. 437) и от 1 февраля 2005 г. N 112 "О конкурсе на замещение вакантной должности государственной гражданской службы Российской Федерации" (Собрание законодательства Российской Федерации, 2005, N 6, ст. 439) Правительство Российской Федерации постановляет: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spacing w:before="0" w:after="0"/>
        <w:ind w:left="707" w:hanging="283"/>
        <w:rPr/>
      </w:pPr>
      <w:r>
        <w:rPr/>
        <w:t>Установить ставку почасовой оплаты труда независимых экспертов, включаемых в составы аттестационной и конкурсной комиссий, а также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образуемых федеральными государственными органами, в размере 80 рублей.</w:t>
        <w:br/>
        <w:br/>
        <w:t>Оплата труда указанных независимых экспертов осуществляется на основе договора, заключенного между федеральным государственным органом и независимым экспертом.</w:t>
      </w:r>
    </w:p>
    <w:p>
      <w:pPr>
        <w:pStyle w:val="TextBody"/>
        <w:numPr>
          <w:ilvl w:val="0"/>
          <w:numId w:val="1"/>
        </w:numPr>
        <w:tabs>
          <w:tab w:val="left" w:pos="0" w:leader="none"/>
        </w:tabs>
        <w:ind w:left="707" w:hanging="283"/>
        <w:rPr/>
      </w:pPr>
      <w:r>
        <w:rPr/>
        <w:t xml:space="preserve">Финансирование расходов на оплату труда независимых экспертов, указанных в пункте 1 настоящего Постановления, осуществляется в пределах средств федерального бюджета, предусмотренных на содержание федеральных государственных органов или их аппаратов. </w:t>
      </w:r>
    </w:p>
    <w:p>
      <w:pPr>
        <w:pStyle w:val="Heading5"/>
        <w:spacing w:before="120" w:after="60"/>
        <w:jc w:val="left"/>
        <w:rPr/>
      </w:pPr>
      <w:r>
        <w:rPr/>
        <w:t>Председатель Правительства</w:t>
        <w:br/>
        <w:t>Российской Федерации</w:t>
        <w:br/>
        <w:t>М.Фрадков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paragraph" w:styleId="Heading5">
    <w:name w:val="Heading 5"/>
    <w:basedOn w:val="Heading"/>
    <w:next w:val="TextBody"/>
    <w:qFormat/>
    <w:pPr>
      <w:spacing w:before="120" w:after="60"/>
      <w:outlineLvl w:val="4"/>
    </w:pPr>
    <w:rPr>
      <w:rFonts w:ascii="Liberation Serif" w:hAnsi="Liberation Serif" w:eastAsia="DejaVu Sans" w:cs="DejaVu Sans"/>
      <w:b/>
      <w:bCs/>
      <w:sz w:val="20"/>
      <w:szCs w:val="20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