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spacing w:line="240" w:lineRule="auto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auto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поставку</w:t>
      </w:r>
      <w:r>
        <w:rPr>
          <w:b/>
          <w:sz w:val="28"/>
          <w:szCs w:val="28"/>
        </w:rPr>
        <w:t xml:space="preserve"> </w:t>
      </w:r>
      <w:bookmarkStart w:id="0" w:name="_Hlk210213403"/>
      <w:r>
        <w:rPr>
          <w:b/>
          <w:sz w:val="28"/>
          <w:szCs w:val="28"/>
        </w:rPr>
        <w:t xml:space="preserve">технических средств в защищенном исполнении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auto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numPr>
          <w:ilvl w:val="0"/>
          <w:numId w:val="1"/>
        </w:numPr>
        <w:ind w:firstLine="567"/>
        <w:keepLines/>
        <w:keepNext/>
        <w:spacing w:before="0" w:line="240" w:lineRule="auto"/>
        <w:shd w:val="clear" w:color="auto" w:fill="auto"/>
        <w:tabs>
          <w:tab w:val="left" w:pos="1025" w:leader="none"/>
        </w:tabs>
        <w:rPr>
          <w:sz w:val="24"/>
          <w:szCs w:val="24"/>
        </w:rPr>
      </w:pPr>
      <w:r/>
      <w:bookmarkStart w:id="1" w:name="bookmark0"/>
      <w:r>
        <w:rPr>
          <w:sz w:val="24"/>
          <w:szCs w:val="24"/>
        </w:rPr>
        <w:t xml:space="preserve">ОБЩИЕ СВЕДЕНИЯ</w:t>
      </w:r>
      <w:bookmarkEnd w:id="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ind w:left="567" w:firstLine="0"/>
        <w:keepLines/>
        <w:keepNext/>
        <w:spacing w:before="0" w:line="240" w:lineRule="auto"/>
        <w:shd w:val="clear" w:color="auto" w:fill="auto"/>
        <w:tabs>
          <w:tab w:val="left" w:pos="102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numPr>
          <w:ilvl w:val="1"/>
          <w:numId w:val="1"/>
        </w:numPr>
        <w:ind w:firstLine="567"/>
        <w:jc w:val="both"/>
        <w:spacing w:line="240" w:lineRule="auto"/>
        <w:shd w:val="clear" w:color="auto" w:fill="auto"/>
        <w:tabs>
          <w:tab w:val="left" w:pos="806" w:leader="none"/>
          <w:tab w:val="left" w:pos="993" w:leader="none"/>
        </w:tabs>
        <w:rPr>
          <w:sz w:val="24"/>
          <w:szCs w:val="24"/>
        </w:rPr>
      </w:pPr>
      <w:r>
        <w:rPr>
          <w:rStyle w:val="905"/>
          <w:sz w:val="24"/>
          <w:szCs w:val="24"/>
        </w:rPr>
        <w:t xml:space="preserve">Заказчик: </w:t>
      </w:r>
      <w:r>
        <w:rPr>
          <w:sz w:val="24"/>
          <w:szCs w:val="24"/>
        </w:rPr>
        <w:t xml:space="preserve">Федерально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агентств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по управлению государственным имуществом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left="567"/>
        <w:jc w:val="both"/>
        <w:spacing w:line="240" w:lineRule="auto"/>
        <w:shd w:val="clear" w:color="auto" w:fill="auto"/>
        <w:tabs>
          <w:tab w:val="left" w:pos="806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numPr>
          <w:ilvl w:val="1"/>
          <w:numId w:val="1"/>
        </w:numPr>
        <w:ind w:firstLine="567"/>
        <w:spacing w:line="240" w:lineRule="auto"/>
        <w:shd w:val="clear" w:color="auto" w:fill="auto"/>
        <w:tabs>
          <w:tab w:val="left" w:pos="806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Назначение </w:t>
      </w:r>
      <w:r>
        <w:rPr>
          <w:sz w:val="24"/>
          <w:szCs w:val="24"/>
        </w:rPr>
        <w:t xml:space="preserve">закупки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7"/>
      </w:pPr>
      <w:r/>
      <w:r/>
    </w:p>
    <w:p>
      <w:pPr>
        <w:pStyle w:val="912"/>
        <w:ind w:firstLine="567"/>
        <w:jc w:val="both"/>
        <w:spacing w:line="240" w:lineRule="auto"/>
        <w:shd w:val="clear" w:color="auto" w:fill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Назначение закупки – Реализация организационно-технических и технических мер по защите информации объектов информатизации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Федерально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агентств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по управлению государственным имуществом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требованиями действующих руководящих документов ФСБ России и ФСТЭК России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567"/>
        <w:jc w:val="both"/>
        <w:spacing w:line="240" w:lineRule="auto"/>
        <w:shd w:val="clear" w:color="auto" w:fill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numPr>
          <w:ilvl w:val="1"/>
          <w:numId w:val="1"/>
        </w:numPr>
        <w:ind w:firstLine="567"/>
        <w:jc w:val="both"/>
        <w:spacing w:line="240" w:lineRule="auto"/>
        <w:shd w:val="clear" w:color="auto" w:fill="auto"/>
        <w:tabs>
          <w:tab w:val="left" w:pos="806" w:leader="none"/>
          <w:tab w:val="left" w:pos="993" w:leader="none"/>
        </w:tabs>
        <w:rPr>
          <w:rStyle w:val="905"/>
          <w:b w:val="0"/>
          <w:bCs w:val="0"/>
          <w:sz w:val="24"/>
          <w:szCs w:val="24"/>
        </w:rPr>
      </w:pPr>
      <w:r>
        <w:rPr>
          <w:rStyle w:val="905"/>
          <w:sz w:val="24"/>
          <w:szCs w:val="24"/>
        </w:rPr>
        <w:t xml:space="preserve">Место </w:t>
      </w:r>
      <w:r>
        <w:rPr>
          <w:rStyle w:val="905"/>
          <w:sz w:val="24"/>
          <w:szCs w:val="24"/>
        </w:rPr>
        <w:t xml:space="preserve">поставки оборудования</w:t>
      </w:r>
      <w:r>
        <w:rPr>
          <w:rStyle w:val="905"/>
          <w:sz w:val="24"/>
          <w:szCs w:val="24"/>
        </w:rPr>
        <w:t xml:space="preserve">: </w:t>
      </w:r>
      <w:r>
        <w:rPr>
          <w:rStyle w:val="905"/>
          <w:b w:val="0"/>
          <w:bCs w:val="0"/>
          <w:sz w:val="24"/>
          <w:szCs w:val="24"/>
        </w:rPr>
      </w:r>
      <w:r>
        <w:rPr>
          <w:rStyle w:val="905"/>
          <w:b w:val="0"/>
          <w:bCs w:val="0"/>
          <w:sz w:val="24"/>
          <w:szCs w:val="24"/>
        </w:rPr>
      </w:r>
    </w:p>
    <w:p>
      <w:pPr>
        <w:pStyle w:val="912"/>
        <w:ind w:left="567"/>
        <w:jc w:val="both"/>
        <w:spacing w:line="240" w:lineRule="auto"/>
        <w:shd w:val="clear" w:color="auto" w:fill="auto"/>
        <w:tabs>
          <w:tab w:val="left" w:pos="806" w:leader="none"/>
          <w:tab w:val="left" w:pos="993" w:leader="none"/>
        </w:tabs>
        <w:rPr>
          <w:rStyle w:val="905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rStyle w:val="905"/>
          <w:b w:val="0"/>
          <w:bCs w:val="0"/>
          <w:sz w:val="24"/>
          <w:szCs w:val="24"/>
        </w:rPr>
      </w:r>
      <w:r>
        <w:rPr>
          <w:rStyle w:val="905"/>
          <w:b w:val="0"/>
          <w:bCs w:val="0"/>
          <w:sz w:val="24"/>
          <w:szCs w:val="24"/>
        </w:rPr>
      </w:r>
    </w:p>
    <w:tbl>
      <w:tblPr>
        <w:tblStyle w:val="94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41"/>
        <w:gridCol w:w="3820"/>
        <w:gridCol w:w="1417"/>
        <w:gridCol w:w="4362"/>
      </w:tblGrid>
      <w:tr>
        <w:tblPrEx/>
        <w:trPr/>
        <w:tc>
          <w:tcPr>
            <w:shd w:val="clear" w:color="auto" w:fill="ffffff" w:themeFill="background1"/>
            <w:tcW w:w="541" w:type="dxa"/>
            <w:textDirection w:val="lrTb"/>
            <w:noWrap w:val="false"/>
          </w:tcPr>
          <w:p>
            <w:pPr>
              <w:pStyle w:val="912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  <w:sz w:val="24"/>
                <w:szCs w:val="24"/>
              </w:rPr>
            </w:pPr>
            <w:r>
              <w:rPr>
                <w:rStyle w:val="905"/>
                <w:b w:val="0"/>
                <w:bCs w:val="0"/>
                <w:sz w:val="24"/>
                <w:szCs w:val="24"/>
              </w:rPr>
              <w:t xml:space="preserve">№ п</w:t>
            </w:r>
            <w:r>
              <w:rPr>
                <w:rStyle w:val="905"/>
                <w:b w:val="0"/>
                <w:bCs w:val="0"/>
                <w:sz w:val="24"/>
                <w:szCs w:val="24"/>
                <w:lang w:val="en-US"/>
              </w:rPr>
              <w:t xml:space="preserve">/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820" w:type="dxa"/>
            <w:textDirection w:val="lrTb"/>
            <w:noWrap w:val="false"/>
          </w:tcPr>
          <w:p>
            <w:pPr>
              <w:pStyle w:val="912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  <w:sz w:val="24"/>
                <w:szCs w:val="24"/>
              </w:rPr>
            </w:pPr>
            <w:r>
              <w:rPr>
                <w:rStyle w:val="905"/>
                <w:b w:val="0"/>
                <w:bCs w:val="0"/>
                <w:sz w:val="24"/>
                <w:szCs w:val="24"/>
              </w:rPr>
              <w:t xml:space="preserve">Наименование средства защиты информации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417" w:type="dxa"/>
            <w:textDirection w:val="lrTb"/>
            <w:noWrap w:val="false"/>
          </w:tcPr>
          <w:p>
            <w:pPr>
              <w:pStyle w:val="912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  <w:sz w:val="24"/>
                <w:szCs w:val="24"/>
              </w:rPr>
            </w:pPr>
            <w:r>
              <w:rPr>
                <w:rStyle w:val="905"/>
                <w:b w:val="0"/>
                <w:bCs w:val="0"/>
                <w:sz w:val="24"/>
                <w:szCs w:val="24"/>
              </w:rPr>
              <w:t xml:space="preserve">Количество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4362" w:type="dxa"/>
            <w:textDirection w:val="lrTb"/>
            <w:noWrap w:val="false"/>
          </w:tcPr>
          <w:p>
            <w:pPr>
              <w:pStyle w:val="912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  <w:sz w:val="24"/>
                <w:szCs w:val="24"/>
              </w:rPr>
            </w:pPr>
            <w:r>
              <w:rPr>
                <w:rStyle w:val="905"/>
                <w:b w:val="0"/>
                <w:bCs w:val="0"/>
                <w:sz w:val="24"/>
                <w:szCs w:val="24"/>
              </w:rPr>
              <w:t xml:space="preserve">Место поставки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6"/>
        </w:trPr>
        <w:tc>
          <w:tcPr>
            <w:shd w:val="clear" w:color="auto" w:fill="ffffff" w:themeFill="background1"/>
            <w:tcW w:w="541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  <w:sz w:val="24"/>
                <w:szCs w:val="24"/>
              </w:rPr>
            </w:pPr>
            <w:r>
              <w:rPr>
                <w:rStyle w:val="905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820" w:type="dxa"/>
            <w:vAlign w:val="center"/>
            <w:textDirection w:val="lrTb"/>
            <w:noWrap w:val="false"/>
          </w:tcPr>
          <w:p>
            <w:pPr>
              <w:pStyle w:val="912"/>
              <w:jc w:val="both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  <w:sz w:val="24"/>
                <w:szCs w:val="24"/>
              </w:rPr>
            </w:pPr>
            <w:r>
              <w:rPr>
                <w:rStyle w:val="905"/>
                <w:b w:val="0"/>
                <w:bCs w:val="0"/>
                <w:sz w:val="24"/>
                <w:szCs w:val="24"/>
              </w:rPr>
              <w:t xml:space="preserve">Системный блок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417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  <w:sz w:val="24"/>
                <w:szCs w:val="24"/>
              </w:rPr>
            </w:pPr>
            <w:r>
              <w:rPr>
                <w:rStyle w:val="905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4362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both"/>
              <w:tabs>
                <w:tab w:val="left" w:pos="806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2"/>
              <w:jc w:val="both"/>
              <w:tabs>
                <w:tab w:val="left" w:pos="806" w:leader="none"/>
                <w:tab w:val="left" w:pos="993" w:leader="none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912"/>
              <w:jc w:val="both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</w:rPr>
            </w:pPr>
            <w:r>
              <w:rPr>
                <w:color w:val="auto"/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109012, Москва, Никольский пер., 9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rStyle w:val="905"/>
                <w:b w:val="0"/>
                <w:bCs w:val="0"/>
              </w:rPr>
            </w:r>
            <w:r>
              <w:rPr>
                <w:rStyle w:val="905"/>
                <w:b w:val="0"/>
                <w:bCs w:val="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541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rStyle w:val="905"/>
                <w:b w:val="0"/>
                <w:bCs w:val="0"/>
                <w:sz w:val="24"/>
                <w:szCs w:val="24"/>
              </w:rPr>
            </w:pPr>
            <w:r>
              <w:rPr>
                <w:rStyle w:val="905"/>
                <w:b w:val="0"/>
                <w:bCs w:val="0"/>
              </w:rPr>
              <w:t xml:space="preserve">2</w:t>
            </w:r>
            <w:r>
              <w:rPr>
                <w:rStyle w:val="905"/>
                <w:b w:val="0"/>
                <w:bCs w:val="0"/>
              </w:rPr>
              <w:t xml:space="preserve">.</w:t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  <w:r>
              <w:rPr>
                <w:rStyle w:val="905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3820" w:type="dxa"/>
            <w:vAlign w:val="center"/>
            <w:textDirection w:val="lrTb"/>
            <w:noWrap w:val="false"/>
          </w:tcPr>
          <w:p>
            <w:pPr>
              <w:pStyle w:val="912"/>
              <w:jc w:val="both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Аппаратный модуль доверенной загрузки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417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4362" w:type="dxa"/>
            <w:vMerge w:val="continue"/>
            <w:textDirection w:val="lrTb"/>
            <w:noWrap w:val="false"/>
          </w:tcPr>
          <w:p>
            <w:pPr>
              <w:pStyle w:val="912"/>
              <w:jc w:val="both"/>
              <w:spacing w:line="240" w:lineRule="auto"/>
              <w:shd w:val="clear" w:color="auto" w:fill="auto"/>
              <w:tabs>
                <w:tab w:val="left" w:pos="806" w:leader="none"/>
                <w:tab w:val="left" w:pos="993" w:leader="none"/>
              </w:tabs>
            </w:pPr>
            <w:r/>
            <w:r/>
          </w:p>
        </w:tc>
      </w:tr>
    </w:tbl>
    <w:p>
      <w:pPr>
        <w:pStyle w:val="912"/>
        <w:ind w:left="567"/>
        <w:jc w:val="both"/>
        <w:spacing w:line="240" w:lineRule="auto"/>
        <w:shd w:val="clear" w:color="auto" w:fill="auto"/>
        <w:tabs>
          <w:tab w:val="left" w:pos="426" w:leader="none"/>
          <w:tab w:val="left" w:pos="993" w:leader="none"/>
        </w:tabs>
        <w:rPr>
          <w:rStyle w:val="905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rStyle w:val="905"/>
          <w:b w:val="0"/>
          <w:bCs w:val="0"/>
          <w:sz w:val="24"/>
          <w:szCs w:val="24"/>
        </w:rPr>
      </w:r>
      <w:r>
        <w:rPr>
          <w:rStyle w:val="905"/>
          <w:b w:val="0"/>
          <w:bCs w:val="0"/>
          <w:sz w:val="24"/>
          <w:szCs w:val="24"/>
        </w:rPr>
      </w:r>
    </w:p>
    <w:p>
      <w:pPr>
        <w:pStyle w:val="912"/>
        <w:numPr>
          <w:ilvl w:val="1"/>
          <w:numId w:val="1"/>
        </w:numPr>
        <w:ind w:firstLine="567"/>
        <w:jc w:val="both"/>
        <w:spacing w:line="240" w:lineRule="auto"/>
        <w:shd w:val="clear" w:color="auto" w:fill="auto"/>
        <w:tabs>
          <w:tab w:val="left" w:pos="806" w:leader="none"/>
          <w:tab w:val="left" w:pos="993" w:leader="none"/>
        </w:tabs>
        <w:rPr>
          <w:sz w:val="24"/>
          <w:szCs w:val="24"/>
        </w:rPr>
      </w:pPr>
      <w:r>
        <w:rPr>
          <w:rStyle w:val="905"/>
          <w:sz w:val="24"/>
          <w:szCs w:val="24"/>
        </w:rPr>
        <w:t xml:space="preserve">Срок </w:t>
      </w:r>
      <w:r>
        <w:rPr>
          <w:rStyle w:val="905"/>
          <w:sz w:val="24"/>
          <w:szCs w:val="24"/>
        </w:rPr>
        <w:t xml:space="preserve">поставки оборудования</w:t>
      </w:r>
      <w:r>
        <w:rPr>
          <w:rStyle w:val="905"/>
          <w:sz w:val="24"/>
          <w:szCs w:val="24"/>
        </w:rPr>
        <w:t xml:space="preserve">: </w:t>
      </w:r>
      <w:r>
        <w:rPr>
          <w:rStyle w:val="905"/>
          <w:b w:val="0"/>
          <w:sz w:val="24"/>
          <w:szCs w:val="24"/>
        </w:rPr>
        <w:t xml:space="preserve">поставка </w:t>
      </w:r>
      <w:r>
        <w:rPr>
          <w:rStyle w:val="905"/>
          <w:b w:val="0"/>
          <w:sz w:val="24"/>
          <w:szCs w:val="24"/>
        </w:rPr>
        <w:t xml:space="preserve">технических средств в защищенном исполнении </w:t>
      </w:r>
      <w:r>
        <w:rPr>
          <w:rStyle w:val="905"/>
          <w:b w:val="0"/>
          <w:sz w:val="24"/>
          <w:szCs w:val="24"/>
        </w:rPr>
        <w:t xml:space="preserve">(далее – </w:t>
      </w:r>
      <w:r>
        <w:rPr>
          <w:rStyle w:val="905"/>
          <w:b w:val="0"/>
          <w:sz w:val="24"/>
          <w:szCs w:val="24"/>
        </w:rPr>
        <w:t xml:space="preserve">ТСЗИ</w:t>
      </w:r>
      <w:r>
        <w:rPr>
          <w:rStyle w:val="905"/>
          <w:b w:val="0"/>
          <w:sz w:val="24"/>
          <w:szCs w:val="24"/>
        </w:rPr>
        <w:t xml:space="preserve">)</w:t>
      </w:r>
      <w:r>
        <w:rPr>
          <w:rStyle w:val="905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течение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тридцати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календарных дней</w:t>
      </w:r>
      <w:r>
        <w:rPr>
          <w:sz w:val="24"/>
          <w:szCs w:val="24"/>
        </w:rPr>
        <w:t xml:space="preserve"> с даты заключения контракта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left="567"/>
        <w:jc w:val="both"/>
        <w:spacing w:line="240" w:lineRule="auto"/>
        <w:shd w:val="clear" w:color="auto" w:fill="auto"/>
        <w:tabs>
          <w:tab w:val="left" w:pos="806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numPr>
          <w:ilvl w:val="0"/>
          <w:numId w:val="1"/>
        </w:numPr>
        <w:ind w:firstLine="567"/>
        <w:spacing w:before="0" w:line="240" w:lineRule="auto"/>
        <w:shd w:val="clear" w:color="auto" w:fill="auto"/>
        <w:tabs>
          <w:tab w:val="left" w:pos="993" w:leader="none"/>
          <w:tab w:val="left" w:pos="1025" w:leader="none"/>
        </w:tabs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ТРЕБОВАНИЯ К ТОВАРУ И ГАРАНТИЙНЫЕ ОБЯЗАТЕЛЬСТВА</w:t>
      </w:r>
      <w:r>
        <w:rPr>
          <w:caps/>
          <w:sz w:val="24"/>
          <w:szCs w:val="24"/>
        </w:rPr>
      </w:r>
      <w:r>
        <w:rPr>
          <w:caps/>
          <w:sz w:val="24"/>
          <w:szCs w:val="24"/>
        </w:rPr>
      </w:r>
    </w:p>
    <w:p>
      <w:pPr>
        <w:pStyle w:val="913"/>
        <w:ind w:left="567" w:firstLine="0"/>
        <w:spacing w:before="0" w:line="240" w:lineRule="auto"/>
        <w:shd w:val="clear" w:color="auto" w:fill="auto"/>
        <w:tabs>
          <w:tab w:val="left" w:pos="993" w:leader="none"/>
          <w:tab w:val="left" w:pos="1025" w:leader="none"/>
        </w:tabs>
        <w:rPr>
          <w:caps/>
          <w:sz w:val="24"/>
          <w:szCs w:val="24"/>
        </w:rPr>
      </w:pPr>
      <w:r>
        <w:rPr>
          <w:caps/>
          <w:sz w:val="24"/>
          <w:szCs w:val="24"/>
        </w:rPr>
      </w:r>
      <w:r>
        <w:rPr>
          <w:caps/>
          <w:sz w:val="24"/>
          <w:szCs w:val="24"/>
        </w:rPr>
      </w:r>
      <w:r>
        <w:rPr>
          <w:caps/>
          <w:sz w:val="24"/>
          <w:szCs w:val="24"/>
        </w:rPr>
      </w:r>
    </w:p>
    <w:p>
      <w:pPr>
        <w:pStyle w:val="913"/>
        <w:numPr>
          <w:ilvl w:val="1"/>
          <w:numId w:val="1"/>
        </w:numPr>
        <w:ind w:firstLine="567"/>
        <w:spacing w:before="0" w:line="240" w:lineRule="auto"/>
        <w:shd w:val="clear" w:color="auto" w:fill="auto"/>
        <w:tabs>
          <w:tab w:val="left" w:pos="993" w:leader="none"/>
          <w:tab w:val="left" w:pos="1025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Поставляемый Товар должен соответствовать требованиям ФСТЭК России</w:t>
      </w:r>
      <w:r>
        <w:rPr>
          <w:b w:val="0"/>
          <w:sz w:val="24"/>
          <w:szCs w:val="24"/>
        </w:rPr>
        <w:t xml:space="preserve">. Средства защиты информации должны</w:t>
      </w:r>
      <w:r>
        <w:rPr>
          <w:b w:val="0"/>
          <w:sz w:val="24"/>
          <w:szCs w:val="24"/>
        </w:rPr>
        <w:t xml:space="preserve"> иметь действующие сертификаты ФСТЭК России</w:t>
      </w:r>
      <w:r>
        <w:rPr>
          <w:b w:val="0"/>
          <w:sz w:val="24"/>
          <w:szCs w:val="24"/>
        </w:rPr>
        <w:t xml:space="preserve"> (п</w:t>
      </w:r>
      <w:r>
        <w:rPr>
          <w:b w:val="0"/>
          <w:sz w:val="24"/>
          <w:szCs w:val="24"/>
        </w:rPr>
        <w:t xml:space="preserve">ункты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2</w:t>
      </w:r>
      <w:r>
        <w:rPr>
          <w:b w:val="0"/>
          <w:sz w:val="24"/>
          <w:szCs w:val="24"/>
        </w:rPr>
        <w:t xml:space="preserve"> Технического задания</w:t>
      </w:r>
      <w:r>
        <w:rPr>
          <w:b w:val="0"/>
          <w:sz w:val="24"/>
          <w:szCs w:val="24"/>
        </w:rPr>
        <w:t xml:space="preserve">)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13"/>
        <w:numPr>
          <w:ilvl w:val="1"/>
          <w:numId w:val="1"/>
        </w:numPr>
        <w:ind w:firstLine="567"/>
        <w:spacing w:before="0" w:line="240" w:lineRule="auto"/>
        <w:shd w:val="clear" w:color="auto" w:fill="auto"/>
        <w:tabs>
          <w:tab w:val="left" w:pos="993" w:leader="none"/>
          <w:tab w:val="left" w:pos="1025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Товар должен б</w:t>
      </w:r>
      <w:r>
        <w:rPr>
          <w:b w:val="0"/>
          <w:sz w:val="24"/>
          <w:szCs w:val="24"/>
        </w:rPr>
        <w:t xml:space="preserve">ыть оригинальный (произведенный производителем средств защиты информации), новый, не бывший в употреблении, не восстановленный, не должен содержать повторно используемых деталей, корпус Товара не должен иметь потертостей, царапин, сколов и следов вскрытия.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13"/>
        <w:numPr>
          <w:ilvl w:val="1"/>
          <w:numId w:val="1"/>
        </w:numPr>
        <w:ind w:firstLine="567"/>
        <w:spacing w:before="0" w:line="240" w:lineRule="auto"/>
        <w:shd w:val="clear" w:color="auto" w:fill="auto"/>
        <w:tabs>
          <w:tab w:val="left" w:pos="993" w:leader="none"/>
          <w:tab w:val="left" w:pos="1025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Поставщик предоставляет гарантию качества на поставляемый Товар. Срок гарантии должен быть равным гарантии производителя Товара, указанным в гарантийном талоне или аналогичном документе на Товар от производителя, но не менее 12 месяцев со дня подписания </w:t>
      </w:r>
      <w:r>
        <w:rPr>
          <w:b w:val="0"/>
          <w:sz w:val="24"/>
          <w:szCs w:val="24"/>
        </w:rPr>
        <w:t xml:space="preserve">Заказчиком документа о приемке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13"/>
        <w:numPr>
          <w:ilvl w:val="1"/>
          <w:numId w:val="1"/>
        </w:numPr>
        <w:ind w:firstLine="567"/>
        <w:spacing w:before="0" w:line="240" w:lineRule="auto"/>
        <w:shd w:val="clear" w:color="auto" w:fill="auto"/>
        <w:tabs>
          <w:tab w:val="left" w:pos="993" w:leader="none"/>
          <w:tab w:val="left" w:pos="1025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рамках исполнения гарантийных обязательств в течение 10 (десяти) рабочих дней с даты письменного уведомлени</w:t>
      </w:r>
      <w:r>
        <w:rPr>
          <w:b w:val="0"/>
          <w:sz w:val="24"/>
          <w:szCs w:val="24"/>
        </w:rPr>
        <w:t xml:space="preserve">я Поставщик обязан заменить или произвести ремонт дефектного Товара, выявленного Заказчиком, если дефект не обусловлен условиями хранения или неправильной эксплуатацией. Все транспортные расходы в рамках исполнения гарантийных обязательств несет Поставщик.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13"/>
        <w:numPr>
          <w:ilvl w:val="1"/>
          <w:numId w:val="1"/>
        </w:numPr>
        <w:ind w:firstLine="567"/>
        <w:spacing w:before="0" w:line="240" w:lineRule="auto"/>
        <w:shd w:val="clear" w:color="auto" w:fill="auto"/>
        <w:tabs>
          <w:tab w:val="left" w:pos="993" w:leader="none"/>
          <w:tab w:val="left" w:pos="1025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Поставщик </w:t>
      </w:r>
      <w:r>
        <w:rPr>
          <w:b w:val="0"/>
          <w:sz w:val="24"/>
          <w:szCs w:val="24"/>
        </w:rPr>
        <w:t xml:space="preserve">обязан будет произвести замену </w:t>
      </w:r>
      <w:r>
        <w:rPr>
          <w:b w:val="0"/>
          <w:sz w:val="24"/>
          <w:szCs w:val="24"/>
        </w:rPr>
        <w:t xml:space="preserve">технических средств</w:t>
      </w:r>
      <w:r>
        <w:rPr>
          <w:b w:val="0"/>
          <w:sz w:val="24"/>
          <w:szCs w:val="24"/>
        </w:rPr>
        <w:t xml:space="preserve">, в случае если данн</w:t>
      </w:r>
      <w:r>
        <w:rPr>
          <w:b w:val="0"/>
          <w:sz w:val="24"/>
          <w:szCs w:val="24"/>
        </w:rPr>
        <w:t xml:space="preserve">ые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технические средства</w:t>
      </w:r>
      <w:r>
        <w:rPr>
          <w:b w:val="0"/>
          <w:sz w:val="24"/>
          <w:szCs w:val="24"/>
        </w:rPr>
        <w:t xml:space="preserve"> не будут </w:t>
      </w:r>
      <w:r>
        <w:rPr>
          <w:b w:val="0"/>
          <w:bCs w:val="0"/>
          <w:sz w:val="24"/>
          <w:szCs w:val="24"/>
          <w:lang w:eastAsia="en-US"/>
        </w:rPr>
        <w:t xml:space="preserve">удовлетворять документу «Требования по технической защите информации, содержащей сведения, составляющие государственную тайну» (ТТЗИ), </w:t>
      </w:r>
      <w:r>
        <w:rPr>
          <w:b w:val="0"/>
          <w:bCs w:val="0"/>
          <w:sz w:val="24"/>
          <w:szCs w:val="24"/>
          <w:lang w:eastAsia="en-US"/>
        </w:rPr>
        <w:t xml:space="preserve">утверждены приказом ФСТЭК России № 025 от 20.10.16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13"/>
        <w:numPr>
          <w:ilvl w:val="1"/>
          <w:numId w:val="1"/>
        </w:numPr>
        <w:ind w:firstLine="567"/>
        <w:spacing w:before="0" w:line="240" w:lineRule="auto"/>
        <w:shd w:val="clear" w:color="auto" w:fill="auto"/>
        <w:tabs>
          <w:tab w:val="left" w:pos="993" w:leader="none"/>
          <w:tab w:val="left" w:pos="1025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Поставляемы</w:t>
      </w:r>
      <w:r>
        <w:rPr>
          <w:b w:val="0"/>
          <w:sz w:val="24"/>
          <w:szCs w:val="24"/>
        </w:rPr>
        <w:t xml:space="preserve">й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системный блок</w:t>
      </w:r>
      <w:r>
        <w:rPr>
          <w:b w:val="0"/>
          <w:sz w:val="24"/>
          <w:szCs w:val="24"/>
        </w:rPr>
        <w:t xml:space="preserve"> (пункт </w:t>
      </w:r>
      <w:r>
        <w:rPr>
          <w:b w:val="0"/>
          <w:sz w:val="24"/>
          <w:szCs w:val="24"/>
        </w:rPr>
        <w:t xml:space="preserve">1</w:t>
      </w:r>
      <w:r>
        <w:rPr>
          <w:b w:val="0"/>
          <w:sz w:val="24"/>
          <w:szCs w:val="24"/>
        </w:rPr>
        <w:t xml:space="preserve"> Технического задания) дол</w:t>
      </w:r>
      <w:r>
        <w:rPr>
          <w:b w:val="0"/>
          <w:sz w:val="24"/>
          <w:szCs w:val="24"/>
        </w:rPr>
        <w:t xml:space="preserve">ен</w:t>
      </w:r>
      <w:r>
        <w:rPr>
          <w:b w:val="0"/>
          <w:sz w:val="24"/>
          <w:szCs w:val="24"/>
        </w:rPr>
        <w:t xml:space="preserve"> иметь в составе </w:t>
      </w:r>
      <w:r>
        <w:rPr>
          <w:b w:val="0"/>
          <w:sz w:val="24"/>
          <w:szCs w:val="24"/>
          <w:lang w:val="en-US"/>
        </w:rPr>
        <w:t xml:space="preserve">Display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 xml:space="preserve">Port</w:t>
      </w:r>
      <w:r>
        <w:rPr>
          <w:b w:val="0"/>
          <w:sz w:val="24"/>
          <w:szCs w:val="24"/>
        </w:rPr>
        <w:t xml:space="preserve"> для подключения монитора</w:t>
      </w:r>
      <w:r>
        <w:rPr>
          <w:b w:val="0"/>
          <w:sz w:val="24"/>
          <w:szCs w:val="24"/>
        </w:rPr>
        <w:t xml:space="preserve">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17"/>
        <w:ind w:left="0"/>
        <w:jc w:val="both"/>
        <w:tabs>
          <w:tab w:val="left" w:pos="80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5"/>
        <w:numPr>
          <w:ilvl w:val="0"/>
          <w:numId w:val="1"/>
        </w:numPr>
        <w:ind w:firstLine="567"/>
        <w:keepLines/>
        <w:keepNext/>
        <w:spacing w:before="0" w:after="0" w:line="240" w:lineRule="auto"/>
        <w:shd w:val="clear" w:color="auto" w:fill="auto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ТЕХНИЧЕСКИЕ ХАРАКТЕРИСТИКИ ТОВАРОВ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ind w:left="567"/>
        <w:keepLines/>
        <w:keepNext/>
        <w:spacing w:before="0" w:after="0" w:line="240" w:lineRule="auto"/>
        <w:shd w:val="clear" w:color="auto" w:fill="auto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82" w:type="pct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3605"/>
        <w:gridCol w:w="4781"/>
        <w:gridCol w:w="1129"/>
      </w:tblGrid>
      <w:tr>
        <w:tblPrEx/>
        <w:trPr>
          <w:trHeight w:val="208"/>
        </w:trPr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3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b/>
              </w:rPr>
              <w:t xml:space="preserve">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top w:w="57" w:type="dxa"/>
              <w:right w:w="28" w:type="dxa"/>
              <w:bottom w:w="57" w:type="dxa"/>
            </w:tcMar>
            <w:tcW w:w="176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Предмет закупки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33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Описание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top w:w="57" w:type="dxa"/>
              <w:right w:w="28" w:type="dxa"/>
              <w:bottom w:w="57" w:type="dxa"/>
            </w:tcMar>
            <w:tcW w:w="55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</w:t>
            </w:r>
            <w:r>
              <w:rPr>
                <w:rFonts w:ascii="Times New Roman" w:hAnsi="Times New Roman" w:cs="Times New Roman"/>
                <w:b/>
              </w:rPr>
              <w:t xml:space="preserve">-</w:t>
            </w:r>
            <w:r>
              <w:rPr>
                <w:rFonts w:ascii="Times New Roman" w:hAnsi="Times New Roman" w:cs="Times New Roman"/>
                <w:b/>
              </w:rPr>
              <w:t xml:space="preserve">во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(шт.)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W w:w="3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W w:w="176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05"/>
                <w:rFonts w:eastAsia="Courier New"/>
                <w:b w:val="0"/>
                <w:bCs w:val="0"/>
                <w:sz w:val="24"/>
                <w:szCs w:val="24"/>
              </w:rPr>
              <w:t xml:space="preserve">Системный блок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</w:rPr>
              <w:outlineLvl w:val="7"/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ОКПД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26.20.15.120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  <w:lang w:val="en-US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Тип накопителя: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SSD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Общий объем накопителей SSD форм-фактора 2,5": ≥ 480.0</w:t>
            </w:r>
            <w:r>
              <w:rPr>
                <w:rFonts w:ascii="Times New Roman" w:hAnsi="Times New Roman" w:cs="Times New Roman"/>
              </w:rPr>
              <w:t xml:space="preserve"> Гигабайт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Количество ядер процессора: </w:t>
            </w:r>
            <w:r>
              <w:rPr>
                <w:rFonts w:ascii="Times New Roman" w:hAnsi="Times New Roman" w:cs="Times New Roman"/>
              </w:rPr>
              <w:t xml:space="preserve">≥ 6.0 </w:t>
            </w:r>
            <w:r>
              <w:rPr>
                <w:rFonts w:ascii="Times New Roman" w:hAnsi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Объем кэш памяти третьего уровня процессора (L3):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≥ 15.0</w:t>
            </w:r>
            <w:r>
              <w:rPr>
                <w:rFonts w:ascii="Times New Roman" w:hAnsi="Times New Roman" w:cs="Times New Roman"/>
              </w:rPr>
              <w:t xml:space="preserve"> Мегабайт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Частота процессора базовая</w:t>
            </w:r>
            <w:r>
              <w:rPr>
                <w:rFonts w:ascii="Times New Roman" w:hAnsi="Times New Roman" w:cs="Times New Roman"/>
              </w:rPr>
              <w:t xml:space="preserve">: ≥ 1.4 Гигагерц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Наличие системы охлаждения процессора: </w:t>
            </w: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Общее количество установленных портов DisplayPort: ≥ 1.0 </w:t>
            </w:r>
            <w:r>
              <w:rPr>
                <w:rFonts w:ascii="Times New Roman" w:hAnsi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Объем оперативной установленной памяти: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≥ 16.0</w:t>
            </w:r>
            <w:r>
              <w:rPr>
                <w:rFonts w:ascii="Times New Roman" w:hAnsi="Times New Roman" w:cs="Times New Roman"/>
              </w:rPr>
              <w:t xml:space="preserve"> Гигабайт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DVD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lang w:val="en-US"/>
              </w:rPr>
              <w:t xml:space="preserve">RW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Предустановленная операционная система: </w:t>
            </w: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Сетевой интерфейс 8P8C (RJ-45):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≥ 1.0</w:t>
            </w:r>
            <w:r>
              <w:rPr>
                <w:rFonts w:ascii="Times New Roman" w:hAnsi="Times New Roman" w:cs="Times New Roman"/>
              </w:rPr>
              <w:t xml:space="preserve"> шт.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Тактовая частота оперативной памяти: ≥ 3200.0 Мегагерц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Тип оперативной памяти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DDR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</w:rPr>
              <w:t xml:space="preserve">Тип порта видеовыхода: </w:t>
            </w:r>
            <w:r>
              <w:rPr>
                <w:rFonts w:ascii="Times New Roman" w:hAnsi="Times New Roman" w:cs="Times New Roman"/>
                <w:lang w:val="en-US"/>
              </w:rPr>
              <w:t xml:space="preserve">DisplayPort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"/>
        </w:trPr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W w:w="3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W w:w="1763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Аппаратный модуль доверенной загрузки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  <w:outlineLvl w:val="7"/>
            </w:pPr>
            <w:r>
              <w:rPr>
                <w:rFonts w:ascii="Times New Roman" w:hAnsi="Times New Roman" w:cs="Times New Roman"/>
                <w:b/>
              </w:rPr>
              <w:t xml:space="preserve">Код позиции КТРУ: </w:t>
            </w:r>
            <w:r>
              <w:rPr>
                <w:rFonts w:ascii="Times New Roman" w:hAnsi="Times New Roman" w:cs="Times New Roman"/>
                <w:b/>
              </w:rPr>
              <w:t xml:space="preserve">26.20.40.140-00000006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  <w:outlineLvl w:val="7"/>
            </w:pP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  <w:outlineLvl w:val="7"/>
            </w:pPr>
            <w:r>
              <w:rPr>
                <w:rFonts w:ascii="Times New Roman" w:hAnsi="Times New Roman" w:cs="Times New Roman"/>
                <w:bCs/>
              </w:rPr>
              <w:t xml:space="preserve">Блокировка загрузки ОС с внешних источников: 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  <w:outlineLvl w:val="7"/>
            </w:pPr>
            <w:r>
              <w:rPr>
                <w:rFonts w:ascii="Times New Roman" w:hAnsi="Times New Roman" w:cs="Times New Roman"/>
                <w:bCs/>
              </w:rPr>
              <w:t xml:space="preserve">Поддержка идентификаторов доступа: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iButton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eToken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PRO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Rutoken</w:t>
            </w:r>
            <w:r>
              <w:rPr>
                <w:rFonts w:ascii="Times New Roman" w:hAnsi="Times New Roman" w:cs="Times New Roman"/>
                <w:bCs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Rutoken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RF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Тouch Мemory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JaCarta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  <w:outlineLvl w:val="7"/>
            </w:pPr>
            <w:r>
              <w:rPr>
                <w:rFonts w:ascii="Times New Roman" w:hAnsi="Times New Roman" w:cs="Times New Roman"/>
                <w:bCs/>
              </w:rPr>
              <w:t xml:space="preserve">Поддержка файловых систем: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FAT32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NTFS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EXT2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EXT3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EXT4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 xml:space="preserve">UFS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  <w:outlineLvl w:val="7"/>
            </w:pPr>
            <w:r>
              <w:rPr>
                <w:rFonts w:ascii="Times New Roman" w:hAnsi="Times New Roman" w:cs="Times New Roman"/>
                <w:bCs/>
              </w:rPr>
              <w:t xml:space="preserve">Разъем для подключения: PCI-express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15"/>
        <w:ind w:left="567"/>
        <w:keepLines/>
        <w:keepNext/>
        <w:spacing w:before="0" w:after="0" w:line="240" w:lineRule="auto"/>
        <w:shd w:val="clear" w:color="auto" w:fill="auto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position w:val="0"/>
          <w:sz w:val="24"/>
          <w:szCs w:val="24"/>
          <w:u w:val="none"/>
          <w:lang w:val="ru-RU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 xml:space="preserve">ПОРЯДОК ПРИЕМКИ И ОПЛАТЫ ТОВАРА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ind w:firstLine="709"/>
        <w:jc w:val="both"/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Код бюджетной классификации – 167 0113 39412 90020 244 310.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1"/>
          <w:numId w:val="14"/>
        </w:numPr>
        <w:ind w:left="0"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Поставщик в течение 5 (Пяти) рабочих дней после передачи Товара Заказчику предоставляет Заказчику Акт приема-передачи Товара, счет, счет-фактуру (если Поставщик является плательщиком НДС).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3"/>
        <w:numPr>
          <w:ilvl w:val="1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Заказчик в течение не более 20 (Двадцати) рабочих дней с даты получения Товара от Поставщика осуществляет проверку Товара, проводит экспе</w:t>
      </w:r>
      <w:r>
        <w:rPr>
          <w:rFonts w:ascii="Times New Roman" w:hAnsi="Times New Roman"/>
          <w:sz w:val="24"/>
          <w:szCs w:val="24"/>
        </w:rPr>
        <w:t xml:space="preserve">ртизу Товара и в случае отсутствия недостатков и иных несоответствий условиям настоящего технического задания Акт приема-передачи Товара утверждается Заказчиком, либо Поставщику в те же сроки Заказчиком направляется в письменной форме мотивированный отказ.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3"/>
        <w:numPr>
          <w:ilvl w:val="1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Поставщик обязан устранить выявленные недостатки и в срок не более 3 (трех) рабочих дней повторно направить Заказчику документы, указанные в пункте 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.1. настоящего раздела, либо мотивированный отказ от устранения выявленных недостатков с указанием причин такого отказа.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3"/>
        <w:numPr>
          <w:ilvl w:val="1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Повторное рассмотрение документов о приемке осуществляется в порядке, определенном настоящим разделом.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3"/>
        <w:numPr>
          <w:ilvl w:val="1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3"/>
        <w:numPr>
          <w:ilvl w:val="1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3"/>
        <w:numPr>
          <w:ilvl w:val="1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Оплата производитс</w:t>
      </w:r>
      <w:r>
        <w:rPr>
          <w:rFonts w:ascii="Times New Roman" w:hAnsi="Times New Roman"/>
          <w:sz w:val="24"/>
          <w:szCs w:val="24"/>
        </w:rPr>
        <w:t xml:space="preserve">я по безналичному расчету путем перечисления Заказчиком денежных средств на расчетный счет Поставщика в течение 10 (Десяти) рабочих дней после подписания Сторонами Акта приема-передачи товара на основании выставленных счета и счета – фактуры (при наличии).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3"/>
        <w:numPr>
          <w:ilvl w:val="1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Цена контракта включает в себя все затраты, связанные с поставкой Товара, в том числе налоги, другие обязательные платежи, предусмотренные законодательством Российской Федерации, и иные расходы.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  <w:r>
        <w:rPr>
          <w:rFonts w:ascii="Times New Roman" w:hAnsi="Times New Roman" w:cs="Times New Roman"/>
          <w:lang w:val="en-US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continuous"/>
      <w:pgSz w:w="11909" w:h="16838" w:orient="portrait"/>
      <w:pgMar w:top="1134" w:right="851" w:bottom="1134" w:left="1134" w:header="284" w:footer="6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ahoma">
    <w:panose1 w:val="020B06040305040402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5137443"/>
      <w:docPartObj>
        <w:docPartGallery w:val="Page Numbers (Top of Page)"/>
        <w:docPartUnique w:val="true"/>
      </w:docPartObj>
      <w:rPr/>
    </w:sdtPr>
    <w:sdtContent>
      <w:p>
        <w:pPr>
          <w:pStyle w:val="92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7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93" w:hanging="2160"/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897"/>
    <w:next w:val="897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basedOn w:val="898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897"/>
    <w:next w:val="897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basedOn w:val="898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897"/>
    <w:next w:val="897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basedOn w:val="898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89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898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898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897"/>
    <w:next w:val="897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898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897"/>
    <w:next w:val="897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898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897"/>
    <w:next w:val="897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898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897"/>
    <w:next w:val="897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basedOn w:val="898"/>
    <w:link w:val="745"/>
    <w:uiPriority w:val="10"/>
    <w:rPr>
      <w:sz w:val="48"/>
      <w:szCs w:val="48"/>
    </w:rPr>
  </w:style>
  <w:style w:type="paragraph" w:styleId="747">
    <w:name w:val="Subtitle"/>
    <w:basedOn w:val="897"/>
    <w:next w:val="897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898"/>
    <w:link w:val="747"/>
    <w:uiPriority w:val="11"/>
    <w:rPr>
      <w:sz w:val="24"/>
      <w:szCs w:val="24"/>
    </w:rPr>
  </w:style>
  <w:style w:type="paragraph" w:styleId="749">
    <w:name w:val="Quote"/>
    <w:basedOn w:val="897"/>
    <w:next w:val="897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7"/>
    <w:next w:val="897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898"/>
    <w:link w:val="921"/>
    <w:uiPriority w:val="99"/>
  </w:style>
  <w:style w:type="character" w:styleId="754">
    <w:name w:val="Footer Char"/>
    <w:basedOn w:val="898"/>
    <w:link w:val="930"/>
    <w:uiPriority w:val="99"/>
  </w:style>
  <w:style w:type="paragraph" w:styleId="755">
    <w:name w:val="Caption"/>
    <w:basedOn w:val="897"/>
    <w:next w:val="897"/>
    <w:link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898"/>
    <w:link w:val="755"/>
    <w:uiPriority w:val="35"/>
    <w:rPr>
      <w:b/>
      <w:bCs/>
      <w:color w:val="4f81bd" w:themeColor="accent1"/>
      <w:sz w:val="18"/>
      <w:szCs w:val="18"/>
    </w:rPr>
  </w:style>
  <w:style w:type="table" w:styleId="757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Footnote Text Char"/>
    <w:link w:val="924"/>
    <w:uiPriority w:val="99"/>
    <w:rPr>
      <w:sz w:val="18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rPr>
      <w:color w:val="000000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character" w:styleId="901">
    <w:name w:val="Hyperlink"/>
    <w:basedOn w:val="898"/>
    <w:rPr>
      <w:color w:val="0066cc"/>
      <w:u w:val="single"/>
    </w:rPr>
  </w:style>
  <w:style w:type="character" w:styleId="902" w:customStyle="1">
    <w:name w:val="Основной текст (2)_"/>
    <w:basedOn w:val="898"/>
    <w:link w:val="9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903" w:customStyle="1">
    <w:name w:val="Основной текст_"/>
    <w:basedOn w:val="898"/>
    <w:link w:val="9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904" w:customStyle="1">
    <w:name w:val="Заголовок №2_"/>
    <w:basedOn w:val="898"/>
    <w:link w:val="91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905" w:customStyle="1">
    <w:name w:val="Основной текст + Полужирный"/>
    <w:basedOn w:val="90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/>
    </w:rPr>
  </w:style>
  <w:style w:type="character" w:styleId="906" w:customStyle="1">
    <w:name w:val="Основной текст (3)_"/>
    <w:basedOn w:val="898"/>
    <w:link w:val="91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907" w:customStyle="1">
    <w:name w:val="Заголовок №1_"/>
    <w:basedOn w:val="898"/>
    <w:link w:val="91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908" w:customStyle="1">
    <w:name w:val="Основной текст Exact"/>
    <w:basedOn w:val="89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styleId="909" w:customStyle="1">
    <w:name w:val="Подпись к таблице_"/>
    <w:basedOn w:val="898"/>
    <w:link w:val="91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910" w:customStyle="1">
    <w:name w:val="Основной текст1"/>
    <w:basedOn w:val="90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/>
    </w:rPr>
  </w:style>
  <w:style w:type="paragraph" w:styleId="911" w:customStyle="1">
    <w:name w:val="Основной текст (2)"/>
    <w:basedOn w:val="897"/>
    <w:link w:val="902"/>
    <w:pPr>
      <w:ind w:firstLine="2460"/>
      <w:spacing w:line="493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paragraph" w:styleId="912" w:customStyle="1">
    <w:name w:val="Основной текст2"/>
    <w:basedOn w:val="897"/>
    <w:link w:val="903"/>
    <w:pPr>
      <w:jc w:val="center"/>
      <w:spacing w:line="277" w:lineRule="exact"/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913" w:customStyle="1">
    <w:name w:val="Заголовок №2"/>
    <w:basedOn w:val="897"/>
    <w:link w:val="904"/>
    <w:pPr>
      <w:ind w:firstLine="720"/>
      <w:jc w:val="both"/>
      <w:spacing w:before="60" w:line="400" w:lineRule="exact"/>
      <w:shd w:val="clear" w:color="auto" w:fill="ffffff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914" w:customStyle="1">
    <w:name w:val="Основной текст (3)"/>
    <w:basedOn w:val="897"/>
    <w:link w:val="906"/>
    <w:pPr>
      <w:jc w:val="both"/>
      <w:spacing w:line="400" w:lineRule="exact"/>
      <w:shd w:val="clear" w:color="auto" w:fill="ffffff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915" w:customStyle="1">
    <w:name w:val="Заголовок №1"/>
    <w:basedOn w:val="897"/>
    <w:link w:val="907"/>
    <w:pPr>
      <w:jc w:val="both"/>
      <w:spacing w:before="180" w:after="18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916" w:customStyle="1">
    <w:name w:val="Подпись к таблице"/>
    <w:basedOn w:val="897"/>
    <w:link w:val="909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917">
    <w:name w:val="List Paragraph"/>
    <w:basedOn w:val="897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link w:val="917"/>
    <w:uiPriority w:val="34"/>
    <w:rPr>
      <w:color w:val="000000"/>
    </w:rPr>
  </w:style>
  <w:style w:type="paragraph" w:styleId="919">
    <w:name w:val="Body Text Indent"/>
    <w:basedOn w:val="897"/>
    <w:link w:val="920"/>
    <w:pPr>
      <w:ind w:left="283"/>
      <w:jc w:val="both"/>
      <w:spacing w:after="120"/>
      <w:widowControl/>
    </w:pPr>
    <w:rPr>
      <w:rFonts w:ascii="Times New Roman" w:hAnsi="Times New Roman" w:eastAsia="Times New Roman" w:cs="Times New Roman"/>
      <w:color w:val="auto"/>
    </w:rPr>
  </w:style>
  <w:style w:type="character" w:styleId="920" w:customStyle="1">
    <w:name w:val="Основной текст с отступом Знак"/>
    <w:basedOn w:val="898"/>
    <w:link w:val="919"/>
    <w:rPr>
      <w:rFonts w:ascii="Times New Roman" w:hAnsi="Times New Roman" w:eastAsia="Times New Roman" w:cs="Times New Roman"/>
    </w:rPr>
  </w:style>
  <w:style w:type="paragraph" w:styleId="921">
    <w:name w:val="Header"/>
    <w:basedOn w:val="897"/>
    <w:link w:val="922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color w:val="auto"/>
    </w:rPr>
  </w:style>
  <w:style w:type="character" w:styleId="922" w:customStyle="1">
    <w:name w:val="Верхний колонтитул Знак"/>
    <w:basedOn w:val="898"/>
    <w:link w:val="921"/>
    <w:uiPriority w:val="99"/>
    <w:rPr>
      <w:rFonts w:ascii="Times New Roman" w:hAnsi="Times New Roman" w:eastAsia="Times New Roman" w:cs="Times New Roman"/>
    </w:rPr>
  </w:style>
  <w:style w:type="character" w:styleId="923">
    <w:name w:val="footnote reference"/>
    <w:uiPriority w:val="99"/>
    <w:unhideWhenUsed/>
    <w:rPr>
      <w:vertAlign w:val="superscript"/>
    </w:rPr>
  </w:style>
  <w:style w:type="paragraph" w:styleId="924">
    <w:name w:val="footnote text"/>
    <w:basedOn w:val="897"/>
    <w:link w:val="925"/>
    <w:uiPriority w:val="99"/>
    <w:unhideWhenUsed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925" w:customStyle="1">
    <w:name w:val="Текст сноски Знак"/>
    <w:basedOn w:val="898"/>
    <w:link w:val="924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26">
    <w:name w:val="Normal (Web)"/>
    <w:basedOn w:val="897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cs="Times New Roman" w:eastAsiaTheme="minorHAnsi"/>
      <w:color w:val="auto"/>
    </w:rPr>
  </w:style>
  <w:style w:type="paragraph" w:styleId="927" w:customStyle="1">
    <w:name w:val="Pa4"/>
    <w:basedOn w:val="897"/>
    <w:next w:val="897"/>
    <w:uiPriority w:val="99"/>
    <w:pPr>
      <w:spacing w:line="201" w:lineRule="atLeast"/>
      <w:widowControl/>
    </w:pPr>
    <w:rPr>
      <w:rFonts w:ascii="Wingdings" w:hAnsi="Wingdings"/>
      <w:color w:val="auto"/>
    </w:rPr>
  </w:style>
  <w:style w:type="character" w:styleId="928" w:customStyle="1">
    <w:name w:val="A5"/>
    <w:uiPriority w:val="99"/>
    <w:rPr>
      <w:rFonts w:cs="Wingdings"/>
      <w:color w:val="000000"/>
      <w:sz w:val="12"/>
      <w:szCs w:val="12"/>
    </w:rPr>
  </w:style>
  <w:style w:type="paragraph" w:styleId="929" w:customStyle="1">
    <w:name w:val="Pa3"/>
    <w:basedOn w:val="897"/>
    <w:next w:val="897"/>
    <w:uiPriority w:val="99"/>
    <w:pPr>
      <w:spacing w:line="201" w:lineRule="atLeast"/>
      <w:widowControl/>
    </w:pPr>
    <w:rPr>
      <w:rFonts w:ascii="Wingdings" w:hAnsi="Wingdings"/>
      <w:color w:val="auto"/>
    </w:rPr>
  </w:style>
  <w:style w:type="paragraph" w:styleId="930">
    <w:name w:val="Footer"/>
    <w:basedOn w:val="897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898"/>
    <w:link w:val="930"/>
    <w:uiPriority w:val="99"/>
    <w:rPr>
      <w:color w:val="000000"/>
    </w:rPr>
  </w:style>
  <w:style w:type="paragraph" w:styleId="932">
    <w:name w:val="Balloon Text"/>
    <w:basedOn w:val="897"/>
    <w:link w:val="933"/>
    <w:uiPriority w:val="99"/>
    <w:semiHidden/>
    <w:unhideWhenUsed/>
    <w:rPr>
      <w:rFonts w:ascii="Tahoma" w:hAnsi="Tahoma" w:cs="Tahoma"/>
      <w:sz w:val="16"/>
      <w:szCs w:val="16"/>
    </w:rPr>
  </w:style>
  <w:style w:type="character" w:styleId="933" w:customStyle="1">
    <w:name w:val="Текст выноски Знак"/>
    <w:basedOn w:val="898"/>
    <w:link w:val="932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934" w:customStyle="1">
    <w:name w:val="заголовок 3"/>
    <w:basedOn w:val="897"/>
    <w:next w:val="897"/>
    <w:uiPriority w:val="99"/>
    <w:pPr>
      <w:jc w:val="center"/>
      <w:keepNext/>
      <w:spacing w:before="60" w:after="60" w:line="276" w:lineRule="auto"/>
      <w:widowControl/>
    </w:pPr>
    <w:rPr>
      <w:rFonts w:ascii="Times New Roman" w:hAnsi="Times New Roman" w:eastAsia="Times New Roman" w:cs="Times New Roman"/>
      <w:b/>
      <w:color w:val="auto"/>
      <w:sz w:val="18"/>
      <w:szCs w:val="20"/>
    </w:rPr>
  </w:style>
  <w:style w:type="paragraph" w:styleId="935" w:customStyle="1">
    <w:name w:val="Table Paragraph"/>
    <w:basedOn w:val="897"/>
    <w:uiPriority w:val="1"/>
    <w:qFormat/>
    <w:pPr>
      <w:ind w:left="109"/>
      <w:spacing w:line="268" w:lineRule="exact"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  <w:style w:type="character" w:styleId="936">
    <w:name w:val="annotation reference"/>
    <w:basedOn w:val="898"/>
    <w:uiPriority w:val="99"/>
    <w:semiHidden/>
    <w:unhideWhenUsed/>
    <w:rPr>
      <w:sz w:val="16"/>
      <w:szCs w:val="16"/>
    </w:rPr>
  </w:style>
  <w:style w:type="paragraph" w:styleId="937">
    <w:name w:val="annotation text"/>
    <w:basedOn w:val="897"/>
    <w:link w:val="938"/>
    <w:uiPriority w:val="99"/>
    <w:semiHidden/>
    <w:unhideWhenUsed/>
    <w:rPr>
      <w:sz w:val="20"/>
      <w:szCs w:val="20"/>
    </w:rPr>
  </w:style>
  <w:style w:type="character" w:styleId="938" w:customStyle="1">
    <w:name w:val="Текст примечания Знак"/>
    <w:basedOn w:val="898"/>
    <w:link w:val="937"/>
    <w:uiPriority w:val="99"/>
    <w:semiHidden/>
    <w:rPr>
      <w:color w:val="000000"/>
      <w:sz w:val="20"/>
      <w:szCs w:val="20"/>
    </w:rPr>
  </w:style>
  <w:style w:type="paragraph" w:styleId="939">
    <w:name w:val="annotation subject"/>
    <w:basedOn w:val="937"/>
    <w:next w:val="937"/>
    <w:link w:val="940"/>
    <w:uiPriority w:val="99"/>
    <w:semiHidden/>
    <w:unhideWhenUsed/>
    <w:rPr>
      <w:b/>
      <w:bCs/>
    </w:rPr>
  </w:style>
  <w:style w:type="character" w:styleId="940" w:customStyle="1">
    <w:name w:val="Тема примечания Знак"/>
    <w:basedOn w:val="938"/>
    <w:link w:val="939"/>
    <w:uiPriority w:val="99"/>
    <w:semiHidden/>
    <w:rPr>
      <w:b/>
      <w:bCs/>
      <w:color w:val="000000"/>
      <w:sz w:val="20"/>
      <w:szCs w:val="20"/>
    </w:rPr>
  </w:style>
  <w:style w:type="table" w:styleId="941">
    <w:name w:val="Table Grid"/>
    <w:basedOn w:val="89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2" w:customStyle="1">
    <w:name w:val="Style8"/>
    <w:basedOn w:val="897"/>
    <w:uiPriority w:val="99"/>
    <w:pPr>
      <w:ind w:firstLine="480"/>
      <w:spacing w:line="228" w:lineRule="exact"/>
    </w:pPr>
    <w:rPr>
      <w:rFonts w:ascii="Times New Roman" w:hAnsi="Times New Roman" w:eastAsia="Times New Roman" w:cs="Times New Roman"/>
      <w:color w:val="auto"/>
    </w:rPr>
  </w:style>
  <w:style w:type="paragraph" w:styleId="943" w:customStyle="1">
    <w:name w:val="Абзац списка,Bullet 1,Use Case List Paragraph,Абзац нумерованного списка,ТЗОТ Текст 2 уровня. Без оглавления,Table-Normal,RSHB_Table-Normal,Num Bullet 1,lp1,Подпись рисунка,Маркированный список_уровень1,Bullet List,FooterText,numbered,Нумерованый список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1B6C8-01E6-4DFE-8595-45837806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CTU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29492</dc:title>
  <dc:creator>Маленко Игорь Викторович</dc:creator>
  <cp:lastModifiedBy>kondrashina.o</cp:lastModifiedBy>
  <cp:revision>108</cp:revision>
  <dcterms:created xsi:type="dcterms:W3CDTF">2023-03-30T06:53:00Z</dcterms:created>
  <dcterms:modified xsi:type="dcterms:W3CDTF">2026-07-03T09:22:56Z</dcterms:modified>
</cp:coreProperties>
</file>