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AC" w:rsidRPr="00093852" w:rsidRDefault="000868AC" w:rsidP="000868AC">
      <w:pPr>
        <w:pStyle w:val="a8"/>
        <w:jc w:val="center"/>
        <w:rPr>
          <w:rFonts w:ascii="Times New Roman" w:hAnsi="Times New Roman"/>
          <w:b/>
          <w:sz w:val="23"/>
          <w:szCs w:val="23"/>
        </w:rPr>
      </w:pPr>
      <w:r w:rsidRPr="00D37FA5">
        <w:rPr>
          <w:rFonts w:ascii="Times New Roman" w:hAnsi="Times New Roman"/>
          <w:b/>
          <w:sz w:val="23"/>
          <w:szCs w:val="23"/>
        </w:rPr>
        <w:t xml:space="preserve">Договор  № </w:t>
      </w:r>
      <w:r w:rsidR="007A7CAB" w:rsidRPr="007A7CAB">
        <w:rPr>
          <w:rFonts w:ascii="Times New Roman" w:hAnsi="Times New Roman"/>
          <w:b/>
          <w:sz w:val="23"/>
          <w:szCs w:val="23"/>
        </w:rPr>
        <w:t>5</w:t>
      </w:r>
      <w:r w:rsidR="007A7CAB" w:rsidRPr="00093852">
        <w:rPr>
          <w:rFonts w:ascii="Times New Roman" w:hAnsi="Times New Roman"/>
          <w:b/>
          <w:sz w:val="23"/>
          <w:szCs w:val="23"/>
        </w:rPr>
        <w:t>04</w:t>
      </w:r>
      <w:r w:rsidR="007C0042">
        <w:rPr>
          <w:rFonts w:ascii="Times New Roman" w:hAnsi="Times New Roman"/>
          <w:b/>
          <w:sz w:val="23"/>
          <w:szCs w:val="23"/>
        </w:rPr>
        <w:t>8</w:t>
      </w:r>
    </w:p>
    <w:p w:rsidR="000868AC" w:rsidRPr="00D37FA5" w:rsidRDefault="000868AC" w:rsidP="000868AC">
      <w:pPr>
        <w:pStyle w:val="a8"/>
        <w:rPr>
          <w:rFonts w:ascii="Times New Roman" w:hAnsi="Times New Roman"/>
          <w:b/>
          <w:sz w:val="23"/>
          <w:szCs w:val="23"/>
        </w:rPr>
      </w:pPr>
    </w:p>
    <w:p w:rsidR="000868AC" w:rsidRPr="00D37FA5" w:rsidRDefault="000868AC" w:rsidP="000868AC">
      <w:pPr>
        <w:pStyle w:val="a3"/>
        <w:jc w:val="left"/>
        <w:rPr>
          <w:b w:val="0"/>
          <w:sz w:val="23"/>
          <w:szCs w:val="23"/>
        </w:rPr>
      </w:pPr>
      <w:r w:rsidRPr="00D37FA5">
        <w:rPr>
          <w:b w:val="0"/>
          <w:sz w:val="23"/>
          <w:szCs w:val="23"/>
        </w:rPr>
        <w:t xml:space="preserve">     г. Владивосток                                                                                                   _______.2026г.</w:t>
      </w:r>
    </w:p>
    <w:p w:rsidR="000868AC" w:rsidRPr="00D37FA5" w:rsidRDefault="000868AC" w:rsidP="000868AC">
      <w:pPr>
        <w:pStyle w:val="a3"/>
        <w:jc w:val="left"/>
        <w:rPr>
          <w:b w:val="0"/>
          <w:sz w:val="23"/>
          <w:szCs w:val="23"/>
        </w:rPr>
      </w:pPr>
    </w:p>
    <w:p w:rsidR="000868AC" w:rsidRDefault="000868AC" w:rsidP="000868AC">
      <w:pPr>
        <w:pStyle w:val="a3"/>
        <w:rPr>
          <w:rFonts w:eastAsiaTheme="minorHAnsi"/>
          <w:sz w:val="23"/>
          <w:szCs w:val="23"/>
          <w:lang w:eastAsia="en-US"/>
        </w:rPr>
      </w:pPr>
      <w:r w:rsidRPr="00D37FA5">
        <w:rPr>
          <w:sz w:val="23"/>
          <w:szCs w:val="23"/>
        </w:rPr>
        <w:t>ИКЗ:</w:t>
      </w:r>
      <w:r w:rsidR="007A7CAB" w:rsidRPr="007A7CAB">
        <w:t xml:space="preserve"> </w:t>
      </w:r>
      <w:r w:rsidR="007A7CAB" w:rsidRPr="007A7CAB">
        <w:rPr>
          <w:sz w:val="23"/>
          <w:szCs w:val="23"/>
        </w:rPr>
        <w:t>26 1 2538008434 253801001 0019 07</w:t>
      </w:r>
      <w:r w:rsidR="007C0042">
        <w:rPr>
          <w:sz w:val="23"/>
          <w:szCs w:val="23"/>
        </w:rPr>
        <w:t xml:space="preserve">6 </w:t>
      </w:r>
      <w:r w:rsidR="007A7CAB" w:rsidRPr="007A7CAB">
        <w:rPr>
          <w:sz w:val="23"/>
          <w:szCs w:val="23"/>
        </w:rPr>
        <w:t>0000 244</w:t>
      </w:r>
      <w:r w:rsidRPr="00D37FA5">
        <w:rPr>
          <w:rFonts w:eastAsiaTheme="minorHAnsi"/>
          <w:sz w:val="23"/>
          <w:szCs w:val="23"/>
          <w:lang w:eastAsia="en-US"/>
        </w:rPr>
        <w:tab/>
      </w:r>
    </w:p>
    <w:p w:rsidR="005E7C6C" w:rsidRPr="00D37FA5" w:rsidRDefault="005E7C6C" w:rsidP="000868AC">
      <w:pPr>
        <w:pStyle w:val="a3"/>
        <w:rPr>
          <w:sz w:val="23"/>
          <w:szCs w:val="23"/>
        </w:rPr>
      </w:pPr>
    </w:p>
    <w:p w:rsidR="000868AC" w:rsidRPr="00D37FA5" w:rsidRDefault="000868AC" w:rsidP="000868AC">
      <w:pPr>
        <w:pStyle w:val="ConsNonformat"/>
        <w:widowControl/>
        <w:jc w:val="both"/>
        <w:rPr>
          <w:rFonts w:ascii="Times New Roman" w:hAnsi="Times New Roman" w:cs="Times New Roman"/>
          <w:b/>
          <w:sz w:val="23"/>
          <w:szCs w:val="23"/>
        </w:rPr>
      </w:pPr>
      <w:r w:rsidRPr="00D37FA5">
        <w:rPr>
          <w:rFonts w:ascii="Times New Roman" w:hAnsi="Times New Roman" w:cs="Times New Roman"/>
          <w:sz w:val="23"/>
          <w:szCs w:val="23"/>
        </w:rPr>
        <w:t xml:space="preserve">      </w:t>
      </w:r>
      <w:proofErr w:type="gramStart"/>
      <w:r w:rsidRPr="00D37FA5">
        <w:rPr>
          <w:rFonts w:ascii="Times New Roman" w:hAnsi="Times New Roman" w:cs="Times New Roman"/>
          <w:b/>
          <w:sz w:val="23"/>
          <w:szCs w:val="23"/>
        </w:rPr>
        <w:t>Федеральное государственное бюджетное учреждение науки "НИИ эпидемиологии и микробиологии  им. Г.П. Сомова" Роспотребнадзора</w:t>
      </w:r>
      <w:r w:rsidRPr="00D37FA5">
        <w:rPr>
          <w:rFonts w:ascii="Times New Roman" w:hAnsi="Times New Roman" w:cs="Times New Roman"/>
          <w:sz w:val="23"/>
          <w:szCs w:val="23"/>
        </w:rPr>
        <w:t>,</w:t>
      </w:r>
      <w:r w:rsidRPr="00D37FA5">
        <w:rPr>
          <w:sz w:val="23"/>
          <w:szCs w:val="23"/>
        </w:rPr>
        <w:t xml:space="preserve"> </w:t>
      </w:r>
      <w:r w:rsidRPr="00D37FA5">
        <w:rPr>
          <w:rFonts w:ascii="Times New Roman" w:hAnsi="Times New Roman" w:cs="Times New Roman"/>
          <w:sz w:val="23"/>
          <w:szCs w:val="23"/>
        </w:rPr>
        <w:t xml:space="preserve">именуемое в дальнейшем «Заказчик», в лице директора Щелканова </w:t>
      </w:r>
      <w:r w:rsidRPr="00D37FA5">
        <w:rPr>
          <w:rFonts w:ascii="Times New Roman" w:hAnsi="Times New Roman"/>
          <w:sz w:val="23"/>
          <w:szCs w:val="23"/>
        </w:rPr>
        <w:t>Михаила Юрьевича,</w:t>
      </w:r>
      <w:r w:rsidRPr="00D37FA5">
        <w:rPr>
          <w:sz w:val="23"/>
          <w:szCs w:val="23"/>
        </w:rPr>
        <w:t xml:space="preserve"> </w:t>
      </w:r>
      <w:r w:rsidRPr="00D37FA5">
        <w:rPr>
          <w:rFonts w:ascii="Times New Roman" w:hAnsi="Times New Roman" w:cs="Times New Roman"/>
          <w:sz w:val="23"/>
          <w:szCs w:val="23"/>
        </w:rPr>
        <w:t>действующего на основании Устава, с одной стороны, и</w:t>
      </w:r>
      <w:r w:rsidR="00093852" w:rsidRPr="00093852">
        <w:rPr>
          <w:rFonts w:ascii="Times New Roman" w:hAnsi="Times New Roman" w:cs="Times New Roman"/>
          <w:sz w:val="23"/>
          <w:szCs w:val="23"/>
        </w:rPr>
        <w:t xml:space="preserve"> </w:t>
      </w:r>
      <w:r w:rsidR="00093852" w:rsidRPr="00093852">
        <w:rPr>
          <w:rFonts w:ascii="Times New Roman" w:eastAsia="Calibri" w:hAnsi="Times New Roman" w:cs="Times New Roman"/>
          <w:b/>
          <w:sz w:val="23"/>
          <w:szCs w:val="23"/>
          <w:lang w:eastAsia="en-US"/>
        </w:rPr>
        <w:t>_____</w:t>
      </w:r>
      <w:r w:rsidRPr="00D37FA5">
        <w:rPr>
          <w:rFonts w:ascii="Times New Roman" w:eastAsia="Calibri" w:hAnsi="Times New Roman" w:cs="Times New Roman"/>
          <w:sz w:val="23"/>
          <w:szCs w:val="23"/>
          <w:lang w:eastAsia="en-US"/>
        </w:rPr>
        <w:t>,</w:t>
      </w:r>
      <w:r w:rsidRPr="00D37FA5">
        <w:rPr>
          <w:sz w:val="23"/>
          <w:szCs w:val="23"/>
        </w:rPr>
        <w:t xml:space="preserve"> </w:t>
      </w:r>
      <w:r w:rsidRPr="00D37FA5">
        <w:rPr>
          <w:rFonts w:ascii="Times New Roman" w:eastAsia="Calibri" w:hAnsi="Times New Roman" w:cs="Times New Roman"/>
          <w:sz w:val="23"/>
          <w:szCs w:val="23"/>
          <w:lang w:eastAsia="en-US"/>
        </w:rPr>
        <w:t xml:space="preserve">именуемое в дальнейшем «Поставщик», в </w:t>
      </w:r>
      <w:r w:rsidR="003609AB" w:rsidRPr="00D37FA5">
        <w:rPr>
          <w:rFonts w:ascii="Times New Roman" w:eastAsia="Calibri" w:hAnsi="Times New Roman" w:cs="Times New Roman"/>
          <w:sz w:val="23"/>
          <w:szCs w:val="23"/>
          <w:lang w:eastAsia="en-US"/>
        </w:rPr>
        <w:t>лице</w:t>
      </w:r>
      <w:r w:rsidR="00093852" w:rsidRPr="00093852">
        <w:rPr>
          <w:rFonts w:ascii="Times New Roman" w:eastAsia="Calibri" w:hAnsi="Times New Roman" w:cs="Times New Roman"/>
          <w:sz w:val="23"/>
          <w:szCs w:val="23"/>
          <w:lang w:eastAsia="en-US"/>
        </w:rPr>
        <w:t xml:space="preserve"> _______</w:t>
      </w:r>
      <w:r w:rsidRPr="00D37FA5">
        <w:rPr>
          <w:rFonts w:ascii="Times New Roman" w:eastAsia="Calibri" w:hAnsi="Times New Roman" w:cs="Times New Roman"/>
          <w:sz w:val="23"/>
          <w:szCs w:val="23"/>
          <w:lang w:eastAsia="en-US"/>
        </w:rPr>
        <w:t>, де</w:t>
      </w:r>
      <w:r w:rsidR="003609AB" w:rsidRPr="00D37FA5">
        <w:rPr>
          <w:rFonts w:ascii="Times New Roman" w:eastAsia="Calibri" w:hAnsi="Times New Roman" w:cs="Times New Roman"/>
          <w:sz w:val="23"/>
          <w:szCs w:val="23"/>
          <w:lang w:eastAsia="en-US"/>
        </w:rPr>
        <w:t xml:space="preserve">йствующего на основании </w:t>
      </w:r>
      <w:r w:rsidR="00093852" w:rsidRPr="00093852">
        <w:rPr>
          <w:rFonts w:ascii="Times New Roman" w:eastAsia="Calibri" w:hAnsi="Times New Roman" w:cs="Times New Roman"/>
          <w:sz w:val="23"/>
          <w:szCs w:val="23"/>
          <w:lang w:eastAsia="en-US"/>
        </w:rPr>
        <w:t xml:space="preserve">_____ </w:t>
      </w:r>
      <w:r w:rsidRPr="00D37FA5">
        <w:rPr>
          <w:rFonts w:ascii="Times New Roman" w:hAnsi="Times New Roman" w:cs="Times New Roman"/>
          <w:sz w:val="23"/>
          <w:szCs w:val="23"/>
        </w:rPr>
        <w:t>с другой стороны, вместе именуемые в дальнейшем «Стороны», с соблюдением требований п.5 ч.1 ст.93 Федерального закона</w:t>
      </w:r>
      <w:proofErr w:type="gramEnd"/>
      <w:r w:rsidRPr="00D37FA5">
        <w:rPr>
          <w:rFonts w:ascii="Times New Roman" w:hAnsi="Times New Roman" w:cs="Times New Roman"/>
          <w:sz w:val="23"/>
          <w:szCs w:val="23"/>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0868AC" w:rsidRPr="00D37FA5" w:rsidRDefault="000868AC" w:rsidP="000868AC">
      <w:pPr>
        <w:pStyle w:val="ConsNonformat"/>
        <w:widowControl/>
        <w:jc w:val="both"/>
        <w:rPr>
          <w:rFonts w:ascii="Times New Roman" w:hAnsi="Times New Roman" w:cs="Times New Roman"/>
          <w:sz w:val="23"/>
          <w:szCs w:val="23"/>
        </w:rPr>
      </w:pPr>
      <w:bookmarkStart w:id="0" w:name="_GoBack"/>
      <w:bookmarkEnd w:id="0"/>
    </w:p>
    <w:p w:rsidR="000868AC" w:rsidRPr="00D37FA5" w:rsidRDefault="000868AC" w:rsidP="000868AC">
      <w:pPr>
        <w:pStyle w:val="a5"/>
        <w:numPr>
          <w:ilvl w:val="0"/>
          <w:numId w:val="1"/>
        </w:numPr>
        <w:ind w:left="0" w:firstLine="0"/>
        <w:jc w:val="center"/>
        <w:rPr>
          <w:b/>
          <w:sz w:val="23"/>
          <w:szCs w:val="23"/>
        </w:rPr>
      </w:pPr>
      <w:r w:rsidRPr="00D37FA5">
        <w:rPr>
          <w:b/>
          <w:sz w:val="23"/>
          <w:szCs w:val="23"/>
        </w:rPr>
        <w:t>Предмет договора</w:t>
      </w:r>
    </w:p>
    <w:p w:rsidR="00AC1457" w:rsidRPr="00D37FA5" w:rsidRDefault="000868AC" w:rsidP="00D4026B">
      <w:pPr>
        <w:autoSpaceDE w:val="0"/>
        <w:autoSpaceDN w:val="0"/>
        <w:adjustRightInd w:val="0"/>
        <w:jc w:val="both"/>
        <w:rPr>
          <w:rFonts w:ascii="Arial" w:eastAsiaTheme="minorHAnsi" w:hAnsi="Arial" w:cs="Arial"/>
          <w:sz w:val="23"/>
          <w:szCs w:val="23"/>
          <w:lang w:eastAsia="en-US"/>
        </w:rPr>
      </w:pPr>
      <w:r w:rsidRPr="00D37FA5">
        <w:rPr>
          <w:sz w:val="23"/>
          <w:szCs w:val="23"/>
        </w:rPr>
        <w:t xml:space="preserve">1.1. Поставщик обязуется передать в собственность Заказчику </w:t>
      </w:r>
      <w:proofErr w:type="spellStart"/>
      <w:r w:rsidR="00C62405" w:rsidRPr="00D37FA5">
        <w:rPr>
          <w:rFonts w:eastAsiaTheme="minorHAnsi"/>
          <w:sz w:val="23"/>
          <w:szCs w:val="23"/>
          <w:lang w:eastAsia="en-US"/>
        </w:rPr>
        <w:t>Ридер</w:t>
      </w:r>
      <w:proofErr w:type="spellEnd"/>
      <w:r w:rsidR="00C62405" w:rsidRPr="00D37FA5">
        <w:rPr>
          <w:rFonts w:eastAsiaTheme="minorHAnsi"/>
          <w:sz w:val="23"/>
          <w:szCs w:val="23"/>
          <w:lang w:eastAsia="en-US"/>
        </w:rPr>
        <w:t xml:space="preserve"> </w:t>
      </w:r>
      <w:proofErr w:type="spellStart"/>
      <w:r w:rsidR="00C62405" w:rsidRPr="00D37FA5">
        <w:rPr>
          <w:rFonts w:eastAsiaTheme="minorHAnsi"/>
          <w:sz w:val="23"/>
          <w:szCs w:val="23"/>
          <w:lang w:eastAsia="en-US"/>
        </w:rPr>
        <w:t>микропланшетный</w:t>
      </w:r>
      <w:proofErr w:type="spellEnd"/>
      <w:r w:rsidRPr="00D37FA5">
        <w:rPr>
          <w:sz w:val="23"/>
          <w:szCs w:val="23"/>
        </w:rPr>
        <w:t xml:space="preserve"> (далее – Товар), на условиях поставки, согласованных Сторонами в настоящем договоре и </w:t>
      </w:r>
      <w:r w:rsidR="00776730" w:rsidRPr="00D37FA5">
        <w:rPr>
          <w:sz w:val="23"/>
          <w:szCs w:val="23"/>
        </w:rPr>
        <w:t>Техническом задании</w:t>
      </w:r>
      <w:r w:rsidRPr="00D37FA5">
        <w:rPr>
          <w:sz w:val="23"/>
          <w:szCs w:val="23"/>
        </w:rPr>
        <w:t xml:space="preserve"> (Приложении № 1), </w:t>
      </w:r>
      <w:r w:rsidR="00AC1457" w:rsidRPr="00D37FA5">
        <w:rPr>
          <w:sz w:val="23"/>
          <w:szCs w:val="23"/>
        </w:rPr>
        <w:t>и надлежащим образом доставить</w:t>
      </w:r>
      <w:r w:rsidR="00314194" w:rsidRPr="00D37FA5">
        <w:rPr>
          <w:sz w:val="23"/>
          <w:szCs w:val="23"/>
        </w:rPr>
        <w:t xml:space="preserve"> и провести инсталляцию</w:t>
      </w:r>
      <w:r w:rsidR="00AC1457" w:rsidRPr="00D37FA5">
        <w:rPr>
          <w:sz w:val="23"/>
          <w:szCs w:val="23"/>
        </w:rPr>
        <w:t xml:space="preserve">, а Заказчик обязуется в порядке и сроки, предусмотренные </w:t>
      </w:r>
      <w:r w:rsidR="003A5B96" w:rsidRPr="00D37FA5">
        <w:rPr>
          <w:sz w:val="23"/>
          <w:szCs w:val="23"/>
        </w:rPr>
        <w:t>договором</w:t>
      </w:r>
      <w:r w:rsidR="00AC1457" w:rsidRPr="00D37FA5">
        <w:rPr>
          <w:sz w:val="23"/>
          <w:szCs w:val="23"/>
        </w:rPr>
        <w:t xml:space="preserve">, принять и оплатить надлежащим образам поставленный Товар. </w:t>
      </w:r>
    </w:p>
    <w:p w:rsidR="000868AC" w:rsidRPr="00BE77A4" w:rsidRDefault="000868AC" w:rsidP="00BE77A4">
      <w:pPr>
        <w:rPr>
          <w:rFonts w:eastAsia="Arial Unicode MS"/>
          <w:sz w:val="23"/>
          <w:szCs w:val="23"/>
        </w:rPr>
      </w:pPr>
      <w:r w:rsidRPr="00BE77A4">
        <w:rPr>
          <w:rFonts w:eastAsia="Arial Unicode MS"/>
          <w:sz w:val="23"/>
          <w:szCs w:val="23"/>
        </w:rPr>
        <w:t>1.2. Поставщик гарантирует, что поставляемый Товар свободен от любых прав третьих лиц, не заложен, под запретом или арестом не состоит.</w:t>
      </w:r>
    </w:p>
    <w:p w:rsidR="000868AC" w:rsidRPr="00D37FA5" w:rsidRDefault="000868AC" w:rsidP="000868AC">
      <w:pPr>
        <w:keepNext/>
        <w:keepLines/>
        <w:numPr>
          <w:ilvl w:val="0"/>
          <w:numId w:val="1"/>
        </w:numPr>
        <w:ind w:left="0" w:firstLine="0"/>
        <w:jc w:val="center"/>
        <w:outlineLvl w:val="0"/>
        <w:rPr>
          <w:rFonts w:eastAsia="SimSun"/>
          <w:b/>
          <w:bCs/>
          <w:sz w:val="23"/>
          <w:szCs w:val="23"/>
        </w:rPr>
      </w:pPr>
      <w:r w:rsidRPr="00D37FA5">
        <w:rPr>
          <w:b/>
          <w:bCs/>
          <w:sz w:val="23"/>
          <w:szCs w:val="23"/>
          <w:lang w:eastAsia="ar-SA"/>
        </w:rPr>
        <w:t>Место и срок поставки</w:t>
      </w:r>
    </w:p>
    <w:p w:rsidR="000868AC" w:rsidRPr="00D37FA5" w:rsidRDefault="000868AC" w:rsidP="000868AC">
      <w:pPr>
        <w:keepNext/>
        <w:keepLines/>
        <w:suppressAutoHyphens/>
        <w:contextualSpacing/>
        <w:jc w:val="both"/>
        <w:outlineLvl w:val="0"/>
        <w:rPr>
          <w:rFonts w:eastAsia="SimSun"/>
          <w:bCs/>
          <w:sz w:val="23"/>
          <w:szCs w:val="23"/>
        </w:rPr>
      </w:pPr>
      <w:r w:rsidRPr="00D37FA5">
        <w:rPr>
          <w:sz w:val="23"/>
          <w:szCs w:val="23"/>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D37FA5">
        <w:rPr>
          <w:sz w:val="23"/>
          <w:szCs w:val="23"/>
        </w:rPr>
        <w:t>Сельская</w:t>
      </w:r>
      <w:proofErr w:type="gramEnd"/>
      <w:r w:rsidRPr="00D37FA5">
        <w:rPr>
          <w:sz w:val="23"/>
          <w:szCs w:val="23"/>
        </w:rPr>
        <w:t>, 1</w:t>
      </w:r>
      <w:r w:rsidRPr="00D37FA5">
        <w:rPr>
          <w:rFonts w:eastAsia="SimSun"/>
          <w:bCs/>
          <w:sz w:val="23"/>
          <w:szCs w:val="23"/>
        </w:rPr>
        <w:t>.</w:t>
      </w:r>
      <w:r w:rsidR="00596156" w:rsidRPr="00D37FA5">
        <w:rPr>
          <w:sz w:val="23"/>
          <w:szCs w:val="23"/>
        </w:rPr>
        <w:t xml:space="preserve"> </w:t>
      </w:r>
    </w:p>
    <w:p w:rsidR="000868AC" w:rsidRPr="00D37FA5" w:rsidRDefault="000868AC" w:rsidP="000868AC">
      <w:pPr>
        <w:keepNext/>
        <w:keepLines/>
        <w:suppressAutoHyphens/>
        <w:contextualSpacing/>
        <w:jc w:val="both"/>
        <w:outlineLvl w:val="0"/>
        <w:rPr>
          <w:rFonts w:eastAsia="SimSun"/>
          <w:bCs/>
          <w:sz w:val="23"/>
          <w:szCs w:val="23"/>
        </w:rPr>
      </w:pPr>
      <w:r w:rsidRPr="00D37FA5">
        <w:rPr>
          <w:sz w:val="23"/>
          <w:szCs w:val="23"/>
          <w:lang w:eastAsia="ar-SA"/>
        </w:rPr>
        <w:t>2.2.Срок поставки:</w:t>
      </w:r>
      <w:r w:rsidR="0010044A" w:rsidRPr="00D37FA5">
        <w:rPr>
          <w:sz w:val="23"/>
          <w:szCs w:val="23"/>
          <w:lang w:eastAsia="ar-SA"/>
        </w:rPr>
        <w:t xml:space="preserve"> </w:t>
      </w:r>
      <w:r w:rsidR="007C0042">
        <w:rPr>
          <w:sz w:val="23"/>
          <w:szCs w:val="23"/>
          <w:lang w:eastAsia="ar-SA"/>
        </w:rPr>
        <w:t>6</w:t>
      </w:r>
      <w:r w:rsidR="00BC47D8" w:rsidRPr="00093852">
        <w:rPr>
          <w:sz w:val="23"/>
          <w:szCs w:val="23"/>
          <w:lang w:eastAsia="ar-SA"/>
        </w:rPr>
        <w:t>0</w:t>
      </w:r>
      <w:r w:rsidR="00552B29" w:rsidRPr="00D37FA5">
        <w:rPr>
          <w:sz w:val="23"/>
          <w:szCs w:val="23"/>
          <w:lang w:eastAsia="ar-SA"/>
        </w:rPr>
        <w:t xml:space="preserve"> календарных дней</w:t>
      </w:r>
      <w:r w:rsidR="00C62405" w:rsidRPr="00D37FA5">
        <w:rPr>
          <w:sz w:val="23"/>
          <w:szCs w:val="23"/>
          <w:lang w:eastAsia="ar-SA"/>
        </w:rPr>
        <w:t xml:space="preserve"> </w:t>
      </w:r>
      <w:r w:rsidR="00C62405" w:rsidRPr="00D37FA5">
        <w:rPr>
          <w:sz w:val="23"/>
          <w:szCs w:val="23"/>
          <w:lang w:val="en-US" w:eastAsia="ar-SA"/>
        </w:rPr>
        <w:t>c</w:t>
      </w:r>
      <w:r w:rsidR="00C62405" w:rsidRPr="00D37FA5">
        <w:rPr>
          <w:sz w:val="23"/>
          <w:szCs w:val="23"/>
          <w:lang w:eastAsia="ar-SA"/>
        </w:rPr>
        <w:t xml:space="preserve"> даты заключения договора</w:t>
      </w:r>
      <w:r w:rsidR="00552B29" w:rsidRPr="00D37FA5">
        <w:rPr>
          <w:sz w:val="23"/>
          <w:szCs w:val="23"/>
          <w:lang w:eastAsia="ar-SA"/>
        </w:rPr>
        <w:t>.</w:t>
      </w:r>
    </w:p>
    <w:p w:rsidR="000868AC" w:rsidRPr="00D37FA5" w:rsidRDefault="000868AC" w:rsidP="000868AC">
      <w:pPr>
        <w:suppressAutoHyphens/>
        <w:contextualSpacing/>
        <w:jc w:val="both"/>
        <w:rPr>
          <w:rFonts w:eastAsia="SimSun"/>
          <w:sz w:val="23"/>
          <w:szCs w:val="23"/>
        </w:rPr>
      </w:pPr>
      <w:r w:rsidRPr="00D37FA5">
        <w:rPr>
          <w:sz w:val="23"/>
          <w:szCs w:val="23"/>
          <w:lang w:eastAsia="ar-SA"/>
        </w:rPr>
        <w:t xml:space="preserve">2.3. Условия поставки товара: </w:t>
      </w:r>
    </w:p>
    <w:p w:rsidR="000868AC" w:rsidRPr="00D37FA5" w:rsidRDefault="000868AC" w:rsidP="000868AC">
      <w:pPr>
        <w:suppressAutoHyphens/>
        <w:contextualSpacing/>
        <w:jc w:val="both"/>
        <w:rPr>
          <w:rFonts w:eastAsia="SimSun"/>
          <w:i/>
          <w:sz w:val="23"/>
          <w:szCs w:val="23"/>
        </w:rPr>
      </w:pPr>
      <w:r w:rsidRPr="00D37FA5">
        <w:rPr>
          <w:sz w:val="23"/>
          <w:szCs w:val="23"/>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D37FA5">
        <w:rPr>
          <w:sz w:val="23"/>
          <w:szCs w:val="23"/>
        </w:rPr>
        <w:t>.</w:t>
      </w:r>
    </w:p>
    <w:p w:rsidR="000868AC" w:rsidRPr="00D37FA5" w:rsidRDefault="000868AC" w:rsidP="000868AC">
      <w:pPr>
        <w:suppressAutoHyphens/>
        <w:contextualSpacing/>
        <w:jc w:val="both"/>
        <w:rPr>
          <w:rFonts w:eastAsia="SimSun"/>
          <w:sz w:val="23"/>
          <w:szCs w:val="23"/>
        </w:rPr>
      </w:pPr>
      <w:r w:rsidRPr="00D37FA5">
        <w:rPr>
          <w:sz w:val="23"/>
          <w:szCs w:val="23"/>
          <w:lang w:eastAsia="ar-SA"/>
        </w:rPr>
        <w:t>2.3.2. Товар поставляется по месту, определенному в п. 2.1. настоящего д</w:t>
      </w:r>
      <w:r w:rsidRPr="00D37FA5">
        <w:rPr>
          <w:sz w:val="23"/>
          <w:szCs w:val="23"/>
        </w:rPr>
        <w:t>оговора</w:t>
      </w:r>
      <w:r w:rsidRPr="00D37FA5">
        <w:rPr>
          <w:b/>
          <w:sz w:val="23"/>
          <w:szCs w:val="23"/>
        </w:rPr>
        <w:t xml:space="preserve"> в рабочие дни, с 09.00 до 16.00 (время местное), телефон для связи 8 (423) 244-14-38</w:t>
      </w:r>
      <w:r w:rsidRPr="00D37FA5">
        <w:rPr>
          <w:sz w:val="23"/>
          <w:szCs w:val="23"/>
          <w:lang w:eastAsia="ar-SA"/>
        </w:rPr>
        <w:t xml:space="preserve">, силами и за счет средств Поставщика.  </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3"/>
          <w:szCs w:val="23"/>
        </w:rPr>
      </w:pPr>
      <w:r w:rsidRPr="00D37FA5">
        <w:rPr>
          <w:sz w:val="23"/>
          <w:szCs w:val="23"/>
          <w:lang w:eastAsia="ar-SA"/>
        </w:rPr>
        <w:t>2.3.3. Поставщик должен передать Заказчику вместе с товаром следующую документацию:</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r w:rsidRPr="00D37FA5">
        <w:rPr>
          <w:sz w:val="23"/>
          <w:szCs w:val="23"/>
          <w:lang w:eastAsia="ar-SA"/>
        </w:rPr>
        <w:t>- оригиналы товарной накладной/УПД на товар – в 2 (двух) экземплярах;</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оригиналы счета /счета-фактуры на оплату товара – в 1 (одном) экземпляре;</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xml:space="preserve">- документы, подтверждающие сертификацию Товара в соответствии с </w:t>
      </w:r>
      <w:r w:rsidR="006B2F60" w:rsidRPr="00D37FA5">
        <w:rPr>
          <w:sz w:val="23"/>
          <w:szCs w:val="23"/>
          <w:lang w:eastAsia="ar-SA"/>
        </w:rPr>
        <w:t xml:space="preserve">разделом 5 </w:t>
      </w:r>
      <w:r w:rsidRPr="00D37FA5">
        <w:rPr>
          <w:sz w:val="23"/>
          <w:szCs w:val="23"/>
          <w:lang w:eastAsia="ar-SA"/>
        </w:rPr>
        <w:t xml:space="preserve">настоящего </w:t>
      </w:r>
      <w:r w:rsidRPr="00D37FA5">
        <w:rPr>
          <w:sz w:val="23"/>
          <w:szCs w:val="23"/>
        </w:rPr>
        <w:t>Договора</w:t>
      </w:r>
      <w:r w:rsidRPr="00D37FA5">
        <w:rPr>
          <w:sz w:val="23"/>
          <w:szCs w:val="23"/>
          <w:lang w:eastAsia="ar-SA"/>
        </w:rPr>
        <w:t>;</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r w:rsidRPr="00D37FA5">
        <w:rPr>
          <w:sz w:val="23"/>
          <w:szCs w:val="23"/>
          <w:lang w:eastAsia="ar-SA"/>
        </w:rPr>
        <w:t>- руководство по эксплуатации и другую</w:t>
      </w:r>
      <w:r w:rsidRPr="00D37FA5">
        <w:rPr>
          <w:rFonts w:eastAsia="SimSun"/>
          <w:sz w:val="23"/>
          <w:szCs w:val="23"/>
        </w:rPr>
        <w:t xml:space="preserve"> сопроводительную документацию на русском языке.</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0868AC" w:rsidRPr="00D37FA5" w:rsidRDefault="000868AC" w:rsidP="000868AC">
      <w:pPr>
        <w:keepNext/>
        <w:keepLines/>
        <w:numPr>
          <w:ilvl w:val="0"/>
          <w:numId w:val="2"/>
        </w:numPr>
        <w:ind w:left="0" w:firstLine="0"/>
        <w:jc w:val="center"/>
        <w:outlineLvl w:val="0"/>
        <w:rPr>
          <w:b/>
          <w:bCs/>
          <w:sz w:val="23"/>
          <w:szCs w:val="23"/>
          <w:lang w:eastAsia="ar-SA"/>
        </w:rPr>
      </w:pPr>
      <w:r w:rsidRPr="00D37FA5">
        <w:rPr>
          <w:b/>
          <w:bCs/>
          <w:sz w:val="23"/>
          <w:szCs w:val="23"/>
          <w:lang w:eastAsia="ar-SA"/>
        </w:rPr>
        <w:t>Права и обязанности Сторон</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u w:val="single"/>
        </w:rPr>
      </w:pPr>
      <w:r w:rsidRPr="00D37FA5">
        <w:rPr>
          <w:sz w:val="23"/>
          <w:szCs w:val="23"/>
          <w:u w:val="single"/>
        </w:rPr>
        <w:t>Поставщик обязуется:</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Поставить товар, указанный в пункте 1.1. и в Приложении №1 к д</w:t>
      </w:r>
      <w:r w:rsidRPr="00D37FA5">
        <w:rPr>
          <w:sz w:val="23"/>
          <w:szCs w:val="23"/>
        </w:rPr>
        <w:t>оговору,</w:t>
      </w:r>
      <w:r w:rsidRPr="00D37FA5">
        <w:rPr>
          <w:sz w:val="23"/>
          <w:szCs w:val="23"/>
          <w:lang w:eastAsia="ar-SA"/>
        </w:rPr>
        <w:t xml:space="preserve"> в сроки и на условиях, предусмотренных разделом </w:t>
      </w:r>
      <w:r w:rsidR="003A5B96" w:rsidRPr="00D37FA5">
        <w:rPr>
          <w:sz w:val="23"/>
          <w:szCs w:val="23"/>
          <w:lang w:eastAsia="ar-SA"/>
        </w:rPr>
        <w:t xml:space="preserve"> 2</w:t>
      </w:r>
      <w:r w:rsidRPr="00D37FA5">
        <w:rPr>
          <w:sz w:val="23"/>
          <w:szCs w:val="23"/>
          <w:lang w:eastAsia="ar-SA"/>
        </w:rPr>
        <w:t xml:space="preserve"> д</w:t>
      </w:r>
      <w:r w:rsidRPr="00D37FA5">
        <w:rPr>
          <w:sz w:val="23"/>
          <w:szCs w:val="23"/>
        </w:rPr>
        <w:t>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Выполнить в полном объёме все свои обязательства, предусмотренные д</w:t>
      </w:r>
      <w:r w:rsidRPr="00D37FA5">
        <w:rPr>
          <w:sz w:val="23"/>
          <w:szCs w:val="23"/>
        </w:rPr>
        <w:t>оговор</w:t>
      </w:r>
      <w:r w:rsidRPr="00D37FA5">
        <w:rPr>
          <w:sz w:val="23"/>
          <w:szCs w:val="23"/>
          <w:lang w:eastAsia="ar-SA"/>
        </w:rPr>
        <w:t>ом, в том числе обеспечить поставку Заказчику в день предполагаемой даты поставки.</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u w:val="single"/>
        </w:rPr>
      </w:pPr>
      <w:r w:rsidRPr="00D37FA5">
        <w:rPr>
          <w:sz w:val="23"/>
          <w:szCs w:val="23"/>
          <w:u w:val="single"/>
        </w:rPr>
        <w:t>Заказчик обязуется:</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 xml:space="preserve">Обеспечить приемку товара на условиях, предусмотренных разделом </w:t>
      </w:r>
      <w:r w:rsidR="003A5B96" w:rsidRPr="00D37FA5">
        <w:rPr>
          <w:sz w:val="23"/>
          <w:szCs w:val="23"/>
          <w:lang w:eastAsia="ar-SA"/>
        </w:rPr>
        <w:t xml:space="preserve"> 4</w:t>
      </w:r>
      <w:r w:rsidRPr="00D37FA5">
        <w:rPr>
          <w:sz w:val="23"/>
          <w:szCs w:val="23"/>
          <w:lang w:eastAsia="ar-SA"/>
        </w:rPr>
        <w:t xml:space="preserve"> д</w:t>
      </w:r>
      <w:r w:rsidRPr="00D37FA5">
        <w:rPr>
          <w:sz w:val="23"/>
          <w:szCs w:val="23"/>
        </w:rPr>
        <w:t>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 xml:space="preserve">Произвести оплату товара в полном объеме за поставленный товар, в порядке и в сроки, оговоренные в разделе </w:t>
      </w:r>
      <w:r w:rsidR="003A5B96" w:rsidRPr="00D37FA5">
        <w:rPr>
          <w:sz w:val="23"/>
          <w:szCs w:val="23"/>
          <w:lang w:eastAsia="ar-SA"/>
        </w:rPr>
        <w:t xml:space="preserve"> 7</w:t>
      </w:r>
      <w:r w:rsidRPr="00D37FA5">
        <w:rPr>
          <w:sz w:val="23"/>
          <w:szCs w:val="23"/>
          <w:lang w:eastAsia="ar-SA"/>
        </w:rPr>
        <w:t xml:space="preserve"> </w:t>
      </w:r>
      <w:r w:rsidRPr="00D37FA5">
        <w:rPr>
          <w:sz w:val="23"/>
          <w:szCs w:val="23"/>
        </w:rPr>
        <w:t>Договора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Выполнить в полном объёме все свои обязательства, предусмотренные д</w:t>
      </w:r>
      <w:r w:rsidRPr="00D37FA5">
        <w:rPr>
          <w:sz w:val="23"/>
          <w:szCs w:val="23"/>
        </w:rPr>
        <w:t>оговор</w:t>
      </w:r>
      <w:r w:rsidRPr="00D37FA5">
        <w:rPr>
          <w:sz w:val="23"/>
          <w:szCs w:val="23"/>
          <w:lang w:eastAsia="ar-SA"/>
        </w:rPr>
        <w:t>ом.</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lang w:eastAsia="ar-SA"/>
        </w:rPr>
      </w:pPr>
      <w:r w:rsidRPr="00D37FA5">
        <w:rPr>
          <w:sz w:val="23"/>
          <w:szCs w:val="23"/>
          <w:lang w:eastAsia="ar-SA"/>
        </w:rPr>
        <w:lastRenderedPageBreak/>
        <w:t xml:space="preserve">Заказчик вправе потребовать от Поставщика надлежащего исполнения обязательств по </w:t>
      </w:r>
      <w:r w:rsidRPr="00D37FA5">
        <w:rPr>
          <w:sz w:val="23"/>
          <w:szCs w:val="23"/>
        </w:rPr>
        <w:t>Договор</w:t>
      </w:r>
      <w:r w:rsidRPr="00D37FA5">
        <w:rPr>
          <w:sz w:val="23"/>
          <w:szCs w:val="23"/>
          <w:lang w:eastAsia="ar-SA"/>
        </w:rPr>
        <w:t>у.</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Поставщик в соответствии с условиями д</w:t>
      </w:r>
      <w:r w:rsidRPr="00D37FA5">
        <w:rPr>
          <w:sz w:val="23"/>
          <w:szCs w:val="23"/>
        </w:rPr>
        <w:t>оговора</w:t>
      </w:r>
      <w:r w:rsidRPr="00D37FA5">
        <w:rPr>
          <w:sz w:val="23"/>
          <w:szCs w:val="23"/>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D37FA5">
        <w:rPr>
          <w:sz w:val="23"/>
          <w:szCs w:val="23"/>
        </w:rPr>
        <w:t>оговора</w:t>
      </w:r>
      <w:r w:rsidRPr="00D37FA5">
        <w:rPr>
          <w:sz w:val="23"/>
          <w:szCs w:val="23"/>
          <w:lang w:eastAsia="ar-SA"/>
        </w:rPr>
        <w:t xml:space="preserve">, а также к установленному </w:t>
      </w:r>
      <w:r w:rsidRPr="00D37FA5">
        <w:rPr>
          <w:sz w:val="23"/>
          <w:szCs w:val="23"/>
        </w:rPr>
        <w:t>договор</w:t>
      </w:r>
      <w:r w:rsidRPr="00D37FA5">
        <w:rPr>
          <w:sz w:val="23"/>
          <w:szCs w:val="23"/>
          <w:lang w:eastAsia="ar-SA"/>
        </w:rPr>
        <w:t xml:space="preserve">ом сроку обязан предоставить Заказчику результаты поставки товара, предусмотренные </w:t>
      </w:r>
      <w:r w:rsidRPr="00D37FA5">
        <w:rPr>
          <w:sz w:val="23"/>
          <w:szCs w:val="23"/>
        </w:rPr>
        <w:t>договор</w:t>
      </w:r>
      <w:r w:rsidRPr="00D37FA5">
        <w:rPr>
          <w:sz w:val="23"/>
          <w:szCs w:val="23"/>
          <w:lang w:eastAsia="ar-SA"/>
        </w:rPr>
        <w:t>ом.</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3"/>
          <w:szCs w:val="23"/>
        </w:rPr>
      </w:pPr>
      <w:r w:rsidRPr="00D37FA5">
        <w:rPr>
          <w:sz w:val="23"/>
          <w:szCs w:val="23"/>
          <w:lang w:eastAsia="ar-SA"/>
        </w:rPr>
        <w:t xml:space="preserve"> </w:t>
      </w:r>
    </w:p>
    <w:p w:rsidR="000868AC" w:rsidRPr="00D37FA5" w:rsidRDefault="000868AC" w:rsidP="000868AC">
      <w:pPr>
        <w:keepNext/>
        <w:keepLines/>
        <w:numPr>
          <w:ilvl w:val="0"/>
          <w:numId w:val="2"/>
        </w:numPr>
        <w:ind w:left="0" w:firstLine="0"/>
        <w:jc w:val="center"/>
        <w:outlineLvl w:val="0"/>
        <w:rPr>
          <w:rFonts w:eastAsia="SimSun"/>
          <w:b/>
          <w:bCs/>
          <w:sz w:val="23"/>
          <w:szCs w:val="23"/>
        </w:rPr>
      </w:pPr>
      <w:r w:rsidRPr="00D37FA5">
        <w:rPr>
          <w:b/>
          <w:bCs/>
          <w:sz w:val="23"/>
          <w:szCs w:val="23"/>
          <w:lang w:eastAsia="ar-SA"/>
        </w:rPr>
        <w:t>Порядок приемки товара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Приемка товара осуществляется на условиях, предусмотренных д</w:t>
      </w:r>
      <w:r w:rsidRPr="00D37FA5">
        <w:rPr>
          <w:sz w:val="23"/>
          <w:szCs w:val="23"/>
        </w:rPr>
        <w:t>оговором,</w:t>
      </w:r>
      <w:r w:rsidRPr="00D37FA5">
        <w:rPr>
          <w:sz w:val="23"/>
          <w:szCs w:val="23"/>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D37FA5">
        <w:rPr>
          <w:sz w:val="23"/>
          <w:szCs w:val="23"/>
        </w:rPr>
        <w:t>договор</w:t>
      </w:r>
      <w:r w:rsidRPr="00D37FA5">
        <w:rPr>
          <w:sz w:val="23"/>
          <w:szCs w:val="23"/>
          <w:lang w:eastAsia="ar-SA"/>
        </w:rPr>
        <w:t xml:space="preserve">у. </w:t>
      </w:r>
    </w:p>
    <w:p w:rsidR="000868AC" w:rsidRPr="00D37FA5" w:rsidRDefault="000868AC" w:rsidP="000868AC">
      <w:pPr>
        <w:suppressAutoHyphens/>
        <w:contextualSpacing/>
        <w:jc w:val="both"/>
        <w:rPr>
          <w:rFonts w:eastAsia="SimSun"/>
          <w:sz w:val="23"/>
          <w:szCs w:val="23"/>
        </w:rPr>
      </w:pPr>
      <w:r w:rsidRPr="00D37FA5">
        <w:rPr>
          <w:sz w:val="23"/>
          <w:szCs w:val="23"/>
        </w:rPr>
        <w:t xml:space="preserve">           Заказчик производит приемку в течении 5 (пяти) рабочих дней с даты поступления Заказчику подписанного Поставщиком документа о приемке (товарной накладной/УПД).</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Поставляемый товар проверяется на соответствие Приложению № 1 к </w:t>
      </w:r>
      <w:r w:rsidRPr="00D37FA5">
        <w:rPr>
          <w:sz w:val="23"/>
          <w:szCs w:val="23"/>
        </w:rPr>
        <w:t>договор</w:t>
      </w:r>
      <w:r w:rsidRPr="00D37FA5">
        <w:rPr>
          <w:sz w:val="23"/>
          <w:szCs w:val="23"/>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D37FA5">
        <w:rPr>
          <w:sz w:val="23"/>
          <w:szCs w:val="23"/>
        </w:rPr>
        <w:t>оговора</w:t>
      </w:r>
      <w:r w:rsidRPr="00D37FA5">
        <w:rPr>
          <w:sz w:val="23"/>
          <w:szCs w:val="23"/>
          <w:lang w:eastAsia="ar-SA"/>
        </w:rPr>
        <w:t>.</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D37FA5">
        <w:rPr>
          <w:rFonts w:eastAsia="SimSun"/>
          <w:sz w:val="23"/>
          <w:szCs w:val="23"/>
        </w:rPr>
        <w:t xml:space="preserve"> </w:t>
      </w:r>
      <w:r w:rsidRPr="00D37FA5">
        <w:rPr>
          <w:sz w:val="23"/>
          <w:szCs w:val="23"/>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D37FA5">
        <w:rPr>
          <w:rFonts w:eastAsia="SimSun"/>
          <w:sz w:val="23"/>
          <w:szCs w:val="23"/>
        </w:rPr>
        <w:t xml:space="preserve"> </w:t>
      </w:r>
      <w:r w:rsidRPr="00D37FA5">
        <w:rPr>
          <w:sz w:val="23"/>
          <w:szCs w:val="23"/>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D37FA5">
        <w:rPr>
          <w:sz w:val="23"/>
          <w:szCs w:val="23"/>
        </w:rPr>
        <w:t>договор</w:t>
      </w:r>
      <w:r w:rsidRPr="00D37FA5">
        <w:rPr>
          <w:sz w:val="23"/>
          <w:szCs w:val="23"/>
          <w:lang w:eastAsia="ar-SA"/>
        </w:rPr>
        <w:t>у.</w:t>
      </w:r>
    </w:p>
    <w:p w:rsidR="000868AC" w:rsidRPr="00D37FA5" w:rsidRDefault="000868AC" w:rsidP="000868AC">
      <w:pPr>
        <w:keepNext/>
        <w:keepLines/>
        <w:numPr>
          <w:ilvl w:val="0"/>
          <w:numId w:val="2"/>
        </w:numPr>
        <w:ind w:left="0" w:firstLine="0"/>
        <w:jc w:val="center"/>
        <w:outlineLvl w:val="0"/>
        <w:rPr>
          <w:b/>
          <w:bCs/>
          <w:sz w:val="23"/>
          <w:szCs w:val="23"/>
        </w:rPr>
      </w:pPr>
      <w:r w:rsidRPr="00D37FA5">
        <w:rPr>
          <w:b/>
          <w:bCs/>
          <w:sz w:val="23"/>
          <w:szCs w:val="23"/>
        </w:rPr>
        <w:t>Требования к качеству, упаковке товара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rPr>
        <w:t xml:space="preserve">Поставляемый товар должен удовлетворять всем изложенным в настоящем </w:t>
      </w:r>
      <w:r w:rsidR="00F031DE" w:rsidRPr="00D37FA5">
        <w:rPr>
          <w:sz w:val="23"/>
          <w:szCs w:val="23"/>
        </w:rPr>
        <w:t>договоре</w:t>
      </w:r>
      <w:r w:rsidRPr="00D37FA5">
        <w:rPr>
          <w:sz w:val="23"/>
          <w:szCs w:val="23"/>
        </w:rPr>
        <w:t xml:space="preserve">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 а также не являться выставочным экземпляром. Поставщик должен гарантировать безопасность эксплуатации товара. </w:t>
      </w:r>
      <w:r w:rsidRPr="00D37FA5">
        <w:rPr>
          <w:bCs/>
          <w:sz w:val="23"/>
          <w:szCs w:val="23"/>
        </w:rPr>
        <w:t>Т</w:t>
      </w:r>
      <w:r w:rsidRPr="00D37FA5">
        <w:rPr>
          <w:sz w:val="23"/>
          <w:szCs w:val="23"/>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rFonts w:eastAsia="SimSun"/>
          <w:sz w:val="23"/>
          <w:szCs w:val="23"/>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rFonts w:eastAsia="SimSun"/>
          <w:sz w:val="23"/>
          <w:szCs w:val="23"/>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keepNext/>
        <w:keepLines/>
        <w:numPr>
          <w:ilvl w:val="0"/>
          <w:numId w:val="5"/>
        </w:numPr>
        <w:outlineLvl w:val="0"/>
        <w:rPr>
          <w:rFonts w:eastAsia="SimSun"/>
          <w:b/>
          <w:bCs/>
          <w:sz w:val="23"/>
          <w:szCs w:val="23"/>
        </w:rPr>
      </w:pPr>
      <w:r w:rsidRPr="00D37FA5">
        <w:rPr>
          <w:b/>
          <w:bCs/>
          <w:sz w:val="23"/>
          <w:szCs w:val="23"/>
          <w:lang w:eastAsia="ar-SA"/>
        </w:rPr>
        <w:lastRenderedPageBreak/>
        <w:t>Гарантийные обязательства на поставленный товар и рекламации</w:t>
      </w:r>
    </w:p>
    <w:p w:rsidR="000868AC" w:rsidRPr="00D37FA5" w:rsidRDefault="000868AC" w:rsidP="000868AC">
      <w:pPr>
        <w:contextualSpacing/>
        <w:jc w:val="both"/>
        <w:rPr>
          <w:rFonts w:eastAsia="Calibri"/>
          <w:sz w:val="23"/>
          <w:szCs w:val="23"/>
        </w:rPr>
      </w:pPr>
      <w:r w:rsidRPr="00D37FA5">
        <w:rPr>
          <w:rFonts w:eastAsia="Calibri"/>
          <w:sz w:val="23"/>
          <w:szCs w:val="23"/>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0868AC" w:rsidRPr="00D37FA5" w:rsidRDefault="000868AC" w:rsidP="000868AC">
      <w:pPr>
        <w:contextualSpacing/>
        <w:jc w:val="both"/>
        <w:rPr>
          <w:rFonts w:eastAsia="Calibri"/>
          <w:sz w:val="23"/>
          <w:szCs w:val="23"/>
        </w:rPr>
      </w:pPr>
      <w:r w:rsidRPr="00D37FA5">
        <w:rPr>
          <w:rFonts w:eastAsia="Calibri"/>
          <w:sz w:val="23"/>
          <w:szCs w:val="23"/>
        </w:rPr>
        <w:t>6.2. На поставляемый товар устанавливается гарантийный срок 12 месяцев, с даты окончания приемки, если больший срок не указан в Приложении №1, не установлен законами, подзаконными актами, ГОСТ и другими нормативными документами.</w:t>
      </w:r>
    </w:p>
    <w:p w:rsidR="000868AC" w:rsidRPr="00D37FA5" w:rsidRDefault="000868AC" w:rsidP="000868AC">
      <w:pPr>
        <w:tabs>
          <w:tab w:val="left" w:pos="709"/>
          <w:tab w:val="left" w:pos="851"/>
        </w:tabs>
        <w:contextualSpacing/>
        <w:jc w:val="both"/>
        <w:rPr>
          <w:rFonts w:eastAsia="Calibri"/>
          <w:sz w:val="23"/>
          <w:szCs w:val="23"/>
        </w:rPr>
      </w:pPr>
      <w:r w:rsidRPr="00D37FA5">
        <w:rPr>
          <w:rFonts w:eastAsia="Calibri"/>
          <w:sz w:val="23"/>
          <w:szCs w:val="23"/>
        </w:rPr>
        <w:t>6.3. Заказчик в течение 15 (</w:t>
      </w:r>
      <w:r w:rsidR="006322DA" w:rsidRPr="00D37FA5">
        <w:rPr>
          <w:rFonts w:eastAsia="Calibri"/>
          <w:sz w:val="23"/>
          <w:szCs w:val="23"/>
        </w:rPr>
        <w:t>пятнадцати</w:t>
      </w:r>
      <w:r w:rsidRPr="00D37FA5">
        <w:rPr>
          <w:rFonts w:eastAsia="Calibri"/>
          <w:sz w:val="23"/>
          <w:szCs w:val="23"/>
        </w:rPr>
        <w:t>) дней с момента обнаружения недостатков письменно уведомляет Поставщика обо всех претензиях, связанных с гарантийным обязательством.</w:t>
      </w:r>
    </w:p>
    <w:p w:rsidR="000868AC" w:rsidRPr="00D37FA5" w:rsidRDefault="000868AC" w:rsidP="000868AC">
      <w:pPr>
        <w:tabs>
          <w:tab w:val="left" w:pos="709"/>
          <w:tab w:val="left" w:pos="851"/>
        </w:tabs>
        <w:contextualSpacing/>
        <w:jc w:val="both"/>
        <w:rPr>
          <w:rFonts w:eastAsia="Calibri"/>
          <w:sz w:val="23"/>
          <w:szCs w:val="23"/>
        </w:rPr>
      </w:pPr>
    </w:p>
    <w:p w:rsidR="000868AC" w:rsidRPr="00D37FA5" w:rsidRDefault="000868AC" w:rsidP="000868AC">
      <w:pPr>
        <w:keepNext/>
        <w:keepLines/>
        <w:ind w:left="1843"/>
        <w:jc w:val="center"/>
        <w:outlineLvl w:val="0"/>
        <w:rPr>
          <w:b/>
          <w:bCs/>
          <w:sz w:val="23"/>
          <w:szCs w:val="23"/>
        </w:rPr>
      </w:pPr>
      <w:r w:rsidRPr="00D37FA5">
        <w:rPr>
          <w:b/>
          <w:bCs/>
          <w:sz w:val="23"/>
          <w:szCs w:val="23"/>
        </w:rPr>
        <w:t>7. Цена Договора и порядок расчетов</w:t>
      </w:r>
    </w:p>
    <w:p w:rsidR="000868AC" w:rsidRPr="00D37FA5" w:rsidRDefault="000868AC" w:rsidP="000868AC">
      <w:pPr>
        <w:jc w:val="both"/>
        <w:rPr>
          <w:bCs/>
          <w:sz w:val="23"/>
          <w:szCs w:val="23"/>
        </w:rPr>
      </w:pPr>
      <w:r w:rsidRPr="00D37FA5">
        <w:rPr>
          <w:sz w:val="23"/>
          <w:szCs w:val="23"/>
        </w:rPr>
        <w:t xml:space="preserve">7.1. </w:t>
      </w:r>
      <w:bookmarkStart w:id="1" w:name="_Hlk113543626"/>
      <w:r w:rsidRPr="00D37FA5">
        <w:rPr>
          <w:sz w:val="23"/>
          <w:szCs w:val="23"/>
        </w:rPr>
        <w:t>Цена Договора составляет</w:t>
      </w:r>
      <w:r w:rsidRPr="00D37FA5">
        <w:rPr>
          <w:b/>
          <w:sz w:val="23"/>
          <w:szCs w:val="23"/>
        </w:rPr>
        <w:t>:</w:t>
      </w:r>
      <w:bookmarkEnd w:id="1"/>
      <w:r w:rsidR="0007355A">
        <w:rPr>
          <w:b/>
          <w:sz w:val="23"/>
          <w:szCs w:val="23"/>
        </w:rPr>
        <w:t>_________________________ рублей __________ коп.</w:t>
      </w:r>
    </w:p>
    <w:p w:rsidR="000868AC" w:rsidRPr="00D37FA5" w:rsidRDefault="000868AC" w:rsidP="000868AC">
      <w:pPr>
        <w:jc w:val="both"/>
        <w:rPr>
          <w:b/>
          <w:sz w:val="23"/>
          <w:szCs w:val="23"/>
        </w:rPr>
      </w:pPr>
      <w:r w:rsidRPr="00D37FA5">
        <w:rPr>
          <w:sz w:val="23"/>
          <w:szCs w:val="23"/>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0868AC" w:rsidRPr="00D37FA5" w:rsidRDefault="000868AC" w:rsidP="000868AC">
      <w:pPr>
        <w:pStyle w:val="a3"/>
        <w:tabs>
          <w:tab w:val="left" w:leader="underscore" w:pos="5180"/>
          <w:tab w:val="left" w:leader="underscore" w:pos="6817"/>
        </w:tabs>
        <w:jc w:val="both"/>
        <w:rPr>
          <w:b w:val="0"/>
          <w:sz w:val="23"/>
          <w:szCs w:val="23"/>
        </w:rPr>
      </w:pPr>
      <w:r w:rsidRPr="00D37FA5">
        <w:rPr>
          <w:b w:val="0"/>
          <w:sz w:val="23"/>
          <w:szCs w:val="23"/>
        </w:rPr>
        <w:t>7.2. Заказчик оплачивает принятый от Поставщика товар путем перечисления денежных средс</w:t>
      </w:r>
      <w:r w:rsidR="008320B3" w:rsidRPr="00D37FA5">
        <w:rPr>
          <w:b w:val="0"/>
          <w:sz w:val="23"/>
          <w:szCs w:val="23"/>
        </w:rPr>
        <w:t>тв на расчетный счет Поставщика при получении товара</w:t>
      </w:r>
      <w:r w:rsidRPr="00D37FA5">
        <w:rPr>
          <w:b w:val="0"/>
          <w:sz w:val="23"/>
          <w:szCs w:val="23"/>
        </w:rPr>
        <w:t>.</w:t>
      </w:r>
    </w:p>
    <w:p w:rsidR="008320B3" w:rsidRPr="00D37FA5" w:rsidRDefault="008320B3" w:rsidP="000868AC">
      <w:pPr>
        <w:pStyle w:val="a3"/>
        <w:tabs>
          <w:tab w:val="left" w:leader="underscore" w:pos="5180"/>
          <w:tab w:val="left" w:leader="underscore" w:pos="6817"/>
        </w:tabs>
        <w:jc w:val="both"/>
        <w:rPr>
          <w:b w:val="0"/>
          <w:sz w:val="23"/>
          <w:szCs w:val="23"/>
        </w:rPr>
      </w:pPr>
    </w:p>
    <w:p w:rsidR="000868AC" w:rsidRPr="00D37FA5" w:rsidRDefault="000868AC" w:rsidP="000868AC">
      <w:pPr>
        <w:pStyle w:val="1"/>
        <w:keepLines/>
        <w:tabs>
          <w:tab w:val="clear" w:pos="0"/>
          <w:tab w:val="left" w:pos="708"/>
        </w:tabs>
        <w:suppressAutoHyphens w:val="0"/>
        <w:jc w:val="left"/>
        <w:rPr>
          <w:sz w:val="23"/>
          <w:szCs w:val="23"/>
        </w:rPr>
      </w:pPr>
      <w:r w:rsidRPr="00D37FA5">
        <w:rPr>
          <w:sz w:val="23"/>
          <w:szCs w:val="23"/>
        </w:rPr>
        <w:t xml:space="preserve">                                                                8.Ответственность сторон</w:t>
      </w:r>
    </w:p>
    <w:p w:rsidR="000868AC" w:rsidRPr="00D37FA5" w:rsidRDefault="000868AC" w:rsidP="000868AC">
      <w:pPr>
        <w:pStyle w:val="a8"/>
        <w:jc w:val="both"/>
        <w:rPr>
          <w:rFonts w:ascii="Times New Roman" w:hAnsi="Times New Roman"/>
          <w:sz w:val="23"/>
          <w:szCs w:val="23"/>
        </w:rPr>
      </w:pPr>
      <w:bookmarkStart w:id="2" w:name="_ref_850598"/>
      <w:r w:rsidRPr="00D37FA5">
        <w:rPr>
          <w:rFonts w:ascii="Times New Roman" w:hAnsi="Times New Roman"/>
          <w:sz w:val="23"/>
          <w:szCs w:val="23"/>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0868AC" w:rsidRPr="00D37FA5" w:rsidRDefault="000868AC" w:rsidP="000868AC">
      <w:pPr>
        <w:pStyle w:val="a8"/>
        <w:jc w:val="both"/>
        <w:rPr>
          <w:rFonts w:ascii="Times New Roman" w:hAnsi="Times New Roman"/>
          <w:sz w:val="23"/>
          <w:szCs w:val="23"/>
        </w:rPr>
      </w:pPr>
      <w:bookmarkStart w:id="3" w:name="_ref_1087356"/>
      <w:bookmarkStart w:id="4" w:name="_ref_544057"/>
      <w:r w:rsidRPr="00D37FA5">
        <w:rPr>
          <w:rFonts w:ascii="Times New Roman" w:hAnsi="Times New Roman"/>
          <w:sz w:val="23"/>
          <w:szCs w:val="23"/>
        </w:rPr>
        <w:t>8.2. Взыскание неустойки с Поставщика.</w:t>
      </w:r>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0868AC" w:rsidRPr="00D37FA5" w:rsidRDefault="000868AC" w:rsidP="000868AC">
      <w:pPr>
        <w:pStyle w:val="a8"/>
        <w:jc w:val="both"/>
        <w:rPr>
          <w:rFonts w:ascii="Times New Roman" w:hAnsi="Times New Roman"/>
          <w:sz w:val="23"/>
          <w:szCs w:val="23"/>
        </w:rPr>
      </w:pPr>
      <w:bookmarkStart w:id="5" w:name="_ref_807457"/>
      <w:r w:rsidRPr="00D37FA5">
        <w:rPr>
          <w:rFonts w:ascii="Times New Roman" w:hAnsi="Times New Roman"/>
          <w:sz w:val="23"/>
          <w:szCs w:val="23"/>
        </w:rPr>
        <w:t xml:space="preserve">8.2.2. </w:t>
      </w:r>
      <w:bookmarkEnd w:id="5"/>
      <w:r w:rsidR="00AE5E32" w:rsidRPr="00D37FA5">
        <w:rPr>
          <w:rFonts w:ascii="Times New Roman" w:hAnsi="Times New Roman"/>
          <w:sz w:val="23"/>
          <w:szCs w:val="23"/>
        </w:rPr>
        <w:t>П</w:t>
      </w:r>
      <w:r w:rsidRPr="00D37FA5">
        <w:rPr>
          <w:rFonts w:ascii="Times New Roman" w:hAnsi="Times New Roman"/>
          <w:sz w:val="23"/>
          <w:szCs w:val="23"/>
        </w:rPr>
        <w:t>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868AC" w:rsidRPr="00D37FA5" w:rsidRDefault="000868AC" w:rsidP="000868AC">
      <w:pPr>
        <w:pStyle w:val="a8"/>
        <w:jc w:val="both"/>
        <w:rPr>
          <w:rFonts w:ascii="Times New Roman" w:hAnsi="Times New Roman"/>
          <w:sz w:val="23"/>
          <w:szCs w:val="23"/>
        </w:rPr>
      </w:pPr>
      <w:bookmarkStart w:id="6" w:name="_ref_823315"/>
      <w:r w:rsidRPr="00D37FA5">
        <w:rPr>
          <w:rFonts w:ascii="Times New Roman" w:hAnsi="Times New Roman"/>
          <w:sz w:val="23"/>
          <w:szCs w:val="23"/>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6"/>
      <w:r w:rsidRPr="00D37FA5">
        <w:rPr>
          <w:rFonts w:ascii="Times New Roman" w:hAnsi="Times New Roman"/>
          <w:sz w:val="23"/>
          <w:szCs w:val="23"/>
        </w:rPr>
        <w:t xml:space="preserve">в соответствии с Постановлением Правительства РФ от 30.08.2017г № 1042 пункт </w:t>
      </w:r>
      <w:r w:rsidR="00AE5E32" w:rsidRPr="00D37FA5">
        <w:rPr>
          <w:rFonts w:ascii="Times New Roman" w:hAnsi="Times New Roman"/>
          <w:sz w:val="23"/>
          <w:szCs w:val="23"/>
        </w:rPr>
        <w:t xml:space="preserve"> 3</w:t>
      </w:r>
      <w:r w:rsidRPr="00D37FA5">
        <w:rPr>
          <w:rFonts w:ascii="Times New Roman" w:hAnsi="Times New Roman"/>
          <w:sz w:val="23"/>
          <w:szCs w:val="23"/>
        </w:rPr>
        <w:t xml:space="preserve">  и составляет 10% цены Договора (если его цена не превышает 3 млн. руб.).</w:t>
      </w:r>
    </w:p>
    <w:p w:rsidR="000868AC" w:rsidRPr="00D37FA5" w:rsidRDefault="000868AC" w:rsidP="000868AC">
      <w:pPr>
        <w:pStyle w:val="a8"/>
        <w:jc w:val="both"/>
        <w:rPr>
          <w:rFonts w:ascii="Times New Roman" w:hAnsi="Times New Roman"/>
          <w:sz w:val="23"/>
          <w:szCs w:val="23"/>
        </w:rPr>
      </w:pPr>
      <w:bookmarkStart w:id="7" w:name="_ref_828625"/>
      <w:r w:rsidRPr="00D37FA5">
        <w:rPr>
          <w:rFonts w:ascii="Times New Roman" w:hAnsi="Times New Roman"/>
          <w:sz w:val="23"/>
          <w:szCs w:val="23"/>
        </w:rPr>
        <w:t>8.3. Взыскание неустойки с Заказчика</w:t>
      </w:r>
      <w:bookmarkEnd w:id="7"/>
    </w:p>
    <w:p w:rsidR="000868AC" w:rsidRPr="00D37FA5" w:rsidRDefault="000868AC" w:rsidP="000868AC">
      <w:pPr>
        <w:pStyle w:val="a8"/>
        <w:jc w:val="both"/>
        <w:rPr>
          <w:rFonts w:ascii="Times New Roman" w:hAnsi="Times New Roman"/>
          <w:sz w:val="23"/>
          <w:szCs w:val="23"/>
        </w:rPr>
      </w:pPr>
      <w:bookmarkStart w:id="8" w:name="_ref_1167969"/>
      <w:r w:rsidRPr="00D37FA5">
        <w:rPr>
          <w:rFonts w:ascii="Times New Roman" w:hAnsi="Times New Roman"/>
          <w:sz w:val="23"/>
          <w:szCs w:val="23"/>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8"/>
    </w:p>
    <w:p w:rsidR="000868AC" w:rsidRPr="00D37FA5" w:rsidRDefault="000868AC" w:rsidP="000868AC">
      <w:pPr>
        <w:pStyle w:val="a8"/>
        <w:jc w:val="both"/>
        <w:rPr>
          <w:rFonts w:ascii="Times New Roman" w:hAnsi="Times New Roman"/>
          <w:sz w:val="23"/>
          <w:szCs w:val="23"/>
        </w:rPr>
      </w:pPr>
      <w:bookmarkStart w:id="9" w:name="_ref_1173779"/>
      <w:r w:rsidRPr="00D37FA5">
        <w:rPr>
          <w:rFonts w:ascii="Times New Roman" w:hAnsi="Times New Roman"/>
          <w:sz w:val="23"/>
          <w:szCs w:val="23"/>
        </w:rPr>
        <w:t xml:space="preserve">8.3.2. </w:t>
      </w:r>
      <w:bookmarkEnd w:id="9"/>
      <w:r w:rsidRPr="00D37FA5">
        <w:rPr>
          <w:rFonts w:ascii="Times New Roman" w:hAnsi="Times New Roman"/>
          <w:sz w:val="23"/>
          <w:szCs w:val="23"/>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0868AC" w:rsidRPr="00D37FA5" w:rsidRDefault="000868AC" w:rsidP="000868AC">
      <w:pPr>
        <w:pStyle w:val="a8"/>
        <w:jc w:val="both"/>
        <w:rPr>
          <w:rFonts w:ascii="Times New Roman" w:hAnsi="Times New Roman"/>
          <w:sz w:val="23"/>
          <w:szCs w:val="23"/>
        </w:rPr>
      </w:pPr>
      <w:bookmarkStart w:id="10" w:name="_ref_831351"/>
      <w:r w:rsidRPr="00D37FA5">
        <w:rPr>
          <w:rFonts w:ascii="Times New Roman" w:hAnsi="Times New Roman"/>
          <w:sz w:val="23"/>
          <w:szCs w:val="23"/>
        </w:rPr>
        <w:t>8.3.3. В случае просрочки оплаты </w:t>
      </w:r>
      <w:r w:rsidR="00AE5E32" w:rsidRPr="00D37FA5">
        <w:rPr>
          <w:rFonts w:ascii="Times New Roman" w:hAnsi="Times New Roman"/>
          <w:sz w:val="23"/>
          <w:szCs w:val="23"/>
        </w:rPr>
        <w:t xml:space="preserve"> поставленного товара</w:t>
      </w:r>
      <w:r w:rsidRPr="00D37FA5">
        <w:rPr>
          <w:rFonts w:ascii="Times New Roman" w:hAnsi="Times New Roman"/>
          <w:sz w:val="23"/>
          <w:szCs w:val="23"/>
        </w:rPr>
        <w:t xml:space="preserve"> Поставщик вправе потребовать уплаты пеней, рассчитанных в соответствии с Договором.</w:t>
      </w:r>
      <w:bookmarkEnd w:id="10"/>
    </w:p>
    <w:p w:rsidR="000868AC" w:rsidRPr="00D37FA5" w:rsidRDefault="000868AC" w:rsidP="000868AC">
      <w:pPr>
        <w:pStyle w:val="a8"/>
        <w:jc w:val="both"/>
        <w:rPr>
          <w:rFonts w:ascii="Times New Roman" w:hAnsi="Times New Roman"/>
          <w:sz w:val="23"/>
          <w:szCs w:val="23"/>
        </w:rPr>
      </w:pPr>
      <w:bookmarkStart w:id="11" w:name="_ref_1179603"/>
      <w:r w:rsidRPr="00D37FA5">
        <w:rPr>
          <w:rFonts w:ascii="Times New Roman" w:hAnsi="Times New Roman"/>
          <w:sz w:val="23"/>
          <w:szCs w:val="23"/>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1"/>
      <w:proofErr w:type="gramStart"/>
      <w:r w:rsidRPr="00D37FA5">
        <w:rPr>
          <w:rFonts w:ascii="Times New Roman" w:hAnsi="Times New Roman"/>
          <w:sz w:val="23"/>
          <w:szCs w:val="23"/>
        </w:rPr>
        <w:t xml:space="preserve">Размер штрафа устанавливается в соответствии с Постановлением Правительства РФ от 30.08.2017 № 1042,  пункт </w:t>
      </w:r>
      <w:r w:rsidR="00AE5E32" w:rsidRPr="00D37FA5">
        <w:rPr>
          <w:rFonts w:ascii="Times New Roman" w:hAnsi="Times New Roman"/>
          <w:sz w:val="23"/>
          <w:szCs w:val="23"/>
        </w:rPr>
        <w:t xml:space="preserve"> 9</w:t>
      </w:r>
      <w:r w:rsidRPr="00D37FA5">
        <w:rPr>
          <w:rFonts w:ascii="Times New Roman" w:hAnsi="Times New Roman"/>
          <w:sz w:val="23"/>
          <w:szCs w:val="23"/>
        </w:rPr>
        <w:t xml:space="preserve"> (если цена Договора не превышает 3 млн. руб. (включительно).</w:t>
      </w:r>
      <w:proofErr w:type="gramEnd"/>
    </w:p>
    <w:p w:rsidR="000868AC" w:rsidRPr="00D37FA5" w:rsidRDefault="000868AC" w:rsidP="000868AC">
      <w:pPr>
        <w:pStyle w:val="a8"/>
        <w:jc w:val="both"/>
        <w:rPr>
          <w:rFonts w:ascii="Times New Roman" w:hAnsi="Times New Roman"/>
          <w:sz w:val="23"/>
          <w:szCs w:val="23"/>
        </w:rPr>
      </w:pPr>
      <w:bookmarkStart w:id="12" w:name="_ref_839372"/>
      <w:r w:rsidRPr="00D37FA5">
        <w:rPr>
          <w:rFonts w:ascii="Times New Roman" w:hAnsi="Times New Roman"/>
          <w:sz w:val="23"/>
          <w:szCs w:val="23"/>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2"/>
    </w:p>
    <w:p w:rsidR="000868AC" w:rsidRPr="00D37FA5" w:rsidRDefault="000868AC" w:rsidP="000868AC">
      <w:pPr>
        <w:pStyle w:val="a8"/>
        <w:jc w:val="both"/>
        <w:rPr>
          <w:rFonts w:ascii="Times New Roman" w:hAnsi="Times New Roman"/>
          <w:sz w:val="23"/>
          <w:szCs w:val="23"/>
        </w:rPr>
      </w:pPr>
      <w:bookmarkStart w:id="13" w:name="_ref_842049"/>
      <w:r w:rsidRPr="00D37FA5">
        <w:rPr>
          <w:rFonts w:ascii="Times New Roman" w:hAnsi="Times New Roman"/>
          <w:sz w:val="23"/>
          <w:szCs w:val="23"/>
        </w:rPr>
        <w:lastRenderedPageBreak/>
        <w:t>8.5. Каждая из сторон обязана возместить другой стороне убытки, причиненные неисполнением или ненадлежащим исполнением своих обязательств.</w:t>
      </w:r>
      <w:bookmarkEnd w:id="13"/>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 xml:space="preserve">8.6. </w:t>
      </w:r>
      <w:bookmarkStart w:id="14" w:name="_ref_844740"/>
      <w:r w:rsidRPr="00D37FA5">
        <w:rPr>
          <w:rFonts w:ascii="Times New Roman" w:hAnsi="Times New Roman"/>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
      <w:bookmarkEnd w:id="14"/>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2"/>
    <w:p w:rsidR="000868AC" w:rsidRPr="00D37FA5" w:rsidRDefault="000868AC" w:rsidP="000868AC">
      <w:pPr>
        <w:pStyle w:val="a8"/>
        <w:rPr>
          <w:rFonts w:ascii="Times New Roman" w:hAnsi="Times New Roman"/>
          <w:sz w:val="23"/>
          <w:szCs w:val="23"/>
        </w:rPr>
      </w:pPr>
    </w:p>
    <w:p w:rsidR="000868AC" w:rsidRPr="00D37FA5" w:rsidRDefault="000868AC" w:rsidP="000868AC">
      <w:pPr>
        <w:pStyle w:val="a5"/>
        <w:keepNext/>
        <w:keepLines/>
        <w:numPr>
          <w:ilvl w:val="0"/>
          <w:numId w:val="3"/>
        </w:numPr>
        <w:tabs>
          <w:tab w:val="left" w:pos="0"/>
        </w:tabs>
        <w:ind w:left="1418" w:hanging="1681"/>
        <w:jc w:val="center"/>
        <w:outlineLvl w:val="0"/>
        <w:rPr>
          <w:b/>
          <w:bCs/>
          <w:sz w:val="23"/>
          <w:szCs w:val="23"/>
          <w:lang w:eastAsia="ar-SA"/>
        </w:rPr>
      </w:pPr>
      <w:r w:rsidRPr="00D37FA5">
        <w:rPr>
          <w:b/>
          <w:bCs/>
          <w:sz w:val="23"/>
          <w:szCs w:val="23"/>
          <w:lang w:eastAsia="ar-SA"/>
        </w:rPr>
        <w:t>Порядок разрешения споров</w:t>
      </w:r>
    </w:p>
    <w:p w:rsidR="000868AC" w:rsidRPr="00D37FA5" w:rsidRDefault="000868AC" w:rsidP="000868AC">
      <w:pPr>
        <w:pStyle w:val="a5"/>
        <w:numPr>
          <w:ilvl w:val="1"/>
          <w:numId w:val="3"/>
        </w:numPr>
        <w:suppressAutoHyphens/>
        <w:ind w:left="0" w:firstLine="0"/>
        <w:jc w:val="both"/>
        <w:rPr>
          <w:rFonts w:eastAsia="SimSun"/>
          <w:sz w:val="23"/>
          <w:szCs w:val="23"/>
        </w:rPr>
      </w:pPr>
      <w:r w:rsidRPr="00D37FA5">
        <w:rPr>
          <w:sz w:val="23"/>
          <w:szCs w:val="23"/>
          <w:lang w:eastAsia="ar-SA"/>
        </w:rPr>
        <w:t>В случае возникновения между Сторонами споров и разногласий Стороны принимают меры к их урегулированию путём переговоров.</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Претензионный порядок досудебного урегулирования споров, вытекающих из Договора, является для Сторон обязательным.</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Допускается направление Сторонами претензионных писем иными способами: по факсу и (или) электронной почте (указанной в Договоре), экспресс-почтой, курьером и т.д.</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В случае не достижения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p>
    <w:p w:rsidR="000868AC" w:rsidRPr="00D37FA5" w:rsidRDefault="000868AC" w:rsidP="000868AC">
      <w:pPr>
        <w:keepNext/>
        <w:keepLines/>
        <w:numPr>
          <w:ilvl w:val="0"/>
          <w:numId w:val="3"/>
        </w:numPr>
        <w:ind w:left="-567" w:firstLine="141"/>
        <w:jc w:val="center"/>
        <w:outlineLvl w:val="0"/>
        <w:rPr>
          <w:rFonts w:eastAsia="SimSun"/>
          <w:b/>
          <w:bCs/>
          <w:sz w:val="23"/>
          <w:szCs w:val="23"/>
        </w:rPr>
      </w:pPr>
      <w:r w:rsidRPr="00D37FA5">
        <w:rPr>
          <w:b/>
          <w:bCs/>
          <w:sz w:val="23"/>
          <w:szCs w:val="23"/>
          <w:lang w:eastAsia="ar-SA"/>
        </w:rPr>
        <w:t>Форс-мажор</w:t>
      </w:r>
    </w:p>
    <w:p w:rsidR="000868AC" w:rsidRPr="00D37FA5" w:rsidRDefault="000868AC" w:rsidP="000868AC">
      <w:pPr>
        <w:numPr>
          <w:ilvl w:val="1"/>
          <w:numId w:val="3"/>
        </w:numPr>
        <w:ind w:left="0" w:firstLine="0"/>
        <w:contextualSpacing/>
        <w:jc w:val="both"/>
        <w:rPr>
          <w:sz w:val="23"/>
          <w:szCs w:val="23"/>
        </w:rPr>
      </w:pPr>
      <w:r w:rsidRPr="00D37FA5">
        <w:rPr>
          <w:sz w:val="23"/>
          <w:szCs w:val="23"/>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w:t>
      </w:r>
      <w:r w:rsidR="005731FD" w:rsidRPr="00D37FA5">
        <w:rPr>
          <w:sz w:val="23"/>
          <w:szCs w:val="23"/>
        </w:rPr>
        <w:t>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w:t>
      </w:r>
      <w:r w:rsidRPr="00D37FA5">
        <w:rPr>
          <w:sz w:val="23"/>
          <w:szCs w:val="23"/>
        </w:rPr>
        <w:t>.</w:t>
      </w:r>
    </w:p>
    <w:p w:rsidR="005731FD" w:rsidRPr="00D37FA5" w:rsidRDefault="005731FD" w:rsidP="000868AC">
      <w:pPr>
        <w:numPr>
          <w:ilvl w:val="1"/>
          <w:numId w:val="3"/>
        </w:numPr>
        <w:ind w:left="0" w:firstLine="0"/>
        <w:contextualSpacing/>
        <w:jc w:val="both"/>
        <w:rPr>
          <w:sz w:val="23"/>
          <w:szCs w:val="23"/>
        </w:rPr>
      </w:pPr>
      <w:r w:rsidRPr="00D37FA5">
        <w:rPr>
          <w:sz w:val="23"/>
          <w:szCs w:val="23"/>
        </w:rPr>
        <w:t>Если любое из перечисленных в п. 10.1 обстоятельств непосредственно повлекло неисполнение обязательств в сроки, установленные настоящим Договором, то эти сроки соразмерно продлеваются на время действия соответствующих обстоятельств и их последствий.</w:t>
      </w:r>
    </w:p>
    <w:p w:rsidR="000868AC" w:rsidRPr="00D37FA5" w:rsidRDefault="000868AC" w:rsidP="000868AC">
      <w:pPr>
        <w:numPr>
          <w:ilvl w:val="1"/>
          <w:numId w:val="3"/>
        </w:numPr>
        <w:ind w:left="0" w:firstLine="0"/>
        <w:contextualSpacing/>
        <w:jc w:val="both"/>
        <w:rPr>
          <w:sz w:val="23"/>
          <w:szCs w:val="23"/>
        </w:rPr>
      </w:pPr>
      <w:r w:rsidRPr="00D37FA5">
        <w:rPr>
          <w:sz w:val="23"/>
          <w:szCs w:val="23"/>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r w:rsidR="005731FD" w:rsidRPr="00D37FA5">
        <w:rPr>
          <w:sz w:val="23"/>
          <w:szCs w:val="23"/>
        </w:rPr>
        <w:t xml:space="preserve"> и направить при первой же возможности документальное подтверждение наступления обстоятельств форс-мажора, выданное компетентными органами Российской Федерации</w:t>
      </w:r>
      <w:r w:rsidRPr="00D37FA5">
        <w:rPr>
          <w:sz w:val="23"/>
          <w:szCs w:val="23"/>
        </w:rPr>
        <w:t>.</w:t>
      </w:r>
    </w:p>
    <w:p w:rsidR="005731FD" w:rsidRPr="00D37FA5" w:rsidRDefault="005731FD" w:rsidP="000868AC">
      <w:pPr>
        <w:numPr>
          <w:ilvl w:val="1"/>
          <w:numId w:val="3"/>
        </w:numPr>
        <w:ind w:left="0" w:firstLine="0"/>
        <w:contextualSpacing/>
        <w:jc w:val="both"/>
        <w:rPr>
          <w:sz w:val="23"/>
          <w:szCs w:val="23"/>
        </w:rPr>
      </w:pPr>
      <w:r w:rsidRPr="00D37FA5">
        <w:rPr>
          <w:sz w:val="23"/>
          <w:szCs w:val="23"/>
        </w:rPr>
        <w:t>Если обстоятельства форс-мажора будут длиться более 2 (двух) месяцев подряд, то каждая из Сторон будет вправе выступить с инициативой о расторжении настоящего Договора в связи с невозможностью его исполнения. В случае принятия Сторонами решения о расторжении настоящего Договора по названному основанию ни одна из Сторон не будет иметь права на возмещение возможных убытков.</w:t>
      </w:r>
    </w:p>
    <w:p w:rsidR="005731FD" w:rsidRPr="00D37FA5" w:rsidRDefault="005731FD" w:rsidP="000868AC">
      <w:pPr>
        <w:numPr>
          <w:ilvl w:val="1"/>
          <w:numId w:val="3"/>
        </w:numPr>
        <w:ind w:left="0" w:firstLine="0"/>
        <w:contextualSpacing/>
        <w:jc w:val="both"/>
        <w:rPr>
          <w:sz w:val="23"/>
          <w:szCs w:val="23"/>
        </w:rPr>
      </w:pPr>
      <w:r w:rsidRPr="00D37FA5">
        <w:rPr>
          <w:sz w:val="23"/>
          <w:szCs w:val="23"/>
        </w:rPr>
        <w:lastRenderedPageBreak/>
        <w:t>Неисполнение обязанности по уведомлению о возникновении обстоятельств форс-мажора, лишает соответствующую Сторону права ссылаться на любые вышеуказанные обстоятельства, как на основание, освобождающее от ответственности за неисполнение обязательств по настоящему Договору.</w:t>
      </w:r>
    </w:p>
    <w:p w:rsidR="000868AC" w:rsidRPr="00D37FA5" w:rsidRDefault="000868AC" w:rsidP="000868AC">
      <w:pPr>
        <w:contextualSpacing/>
        <w:jc w:val="both"/>
        <w:rPr>
          <w:sz w:val="23"/>
          <w:szCs w:val="23"/>
        </w:rPr>
      </w:pPr>
    </w:p>
    <w:p w:rsidR="000868AC" w:rsidRPr="00D37FA5" w:rsidRDefault="000868AC" w:rsidP="000868AC">
      <w:pPr>
        <w:pStyle w:val="a5"/>
        <w:widowControl w:val="0"/>
        <w:numPr>
          <w:ilvl w:val="0"/>
          <w:numId w:val="3"/>
        </w:numPr>
        <w:autoSpaceDE w:val="0"/>
        <w:autoSpaceDN w:val="0"/>
        <w:adjustRightInd w:val="0"/>
        <w:ind w:left="-1134" w:firstLine="1134"/>
        <w:jc w:val="center"/>
        <w:rPr>
          <w:b/>
          <w:sz w:val="23"/>
          <w:szCs w:val="23"/>
        </w:rPr>
      </w:pPr>
      <w:r w:rsidRPr="00D37FA5">
        <w:rPr>
          <w:b/>
          <w:sz w:val="23"/>
          <w:szCs w:val="23"/>
        </w:rPr>
        <w:t>Порядок расторжения Договора</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Договор может быть расторгнут:</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по соглашению Сторон;</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в судебном порядке;</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в одностороннем порядке в соответствии с действующим законодательством.</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Момент расторжения Договора определяется в порядке, установленном гражданским законодательством Российской Федерации.</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37FA5">
        <w:rPr>
          <w:sz w:val="23"/>
          <w:szCs w:val="23"/>
        </w:rPr>
        <w:t>с даты</w:t>
      </w:r>
      <w:proofErr w:type="gramEnd"/>
      <w:r w:rsidRPr="00D37FA5">
        <w:rPr>
          <w:sz w:val="23"/>
          <w:szCs w:val="23"/>
        </w:rPr>
        <w:t xml:space="preserve"> его получения.</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Расторжение Договора производится Сторонами путем подписания соответствующего соглашения о расторжении.</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0868AC" w:rsidRPr="00D37FA5" w:rsidRDefault="000868AC" w:rsidP="000868AC">
      <w:pPr>
        <w:contextualSpacing/>
        <w:jc w:val="both"/>
        <w:rPr>
          <w:sz w:val="23"/>
          <w:szCs w:val="23"/>
        </w:rPr>
      </w:pPr>
    </w:p>
    <w:p w:rsidR="000868AC" w:rsidRPr="00D37FA5" w:rsidRDefault="000868AC" w:rsidP="000868AC">
      <w:pPr>
        <w:keepNext/>
        <w:keepLines/>
        <w:numPr>
          <w:ilvl w:val="0"/>
          <w:numId w:val="3"/>
        </w:numPr>
        <w:ind w:left="0" w:firstLine="0"/>
        <w:jc w:val="center"/>
        <w:outlineLvl w:val="0"/>
        <w:rPr>
          <w:rFonts w:eastAsia="SimSun"/>
          <w:b/>
          <w:bCs/>
          <w:sz w:val="23"/>
          <w:szCs w:val="23"/>
        </w:rPr>
      </w:pPr>
      <w:r w:rsidRPr="00D37FA5">
        <w:rPr>
          <w:b/>
          <w:bCs/>
          <w:sz w:val="23"/>
          <w:szCs w:val="23"/>
          <w:lang w:eastAsia="ar-SA"/>
        </w:rPr>
        <w:t>Срок действия Договора</w:t>
      </w:r>
    </w:p>
    <w:p w:rsidR="000868AC" w:rsidRPr="00D37FA5" w:rsidRDefault="000868AC" w:rsidP="000868AC">
      <w:pPr>
        <w:widowControl w:val="0"/>
        <w:numPr>
          <w:ilvl w:val="1"/>
          <w:numId w:val="3"/>
        </w:numPr>
        <w:suppressAutoHyphens/>
        <w:autoSpaceDE w:val="0"/>
        <w:autoSpaceDN w:val="0"/>
        <w:adjustRightInd w:val="0"/>
        <w:ind w:left="0" w:firstLine="0"/>
        <w:contextualSpacing/>
        <w:jc w:val="both"/>
        <w:rPr>
          <w:sz w:val="23"/>
          <w:szCs w:val="23"/>
        </w:rPr>
      </w:pPr>
      <w:r w:rsidRPr="00D37FA5">
        <w:rPr>
          <w:sz w:val="23"/>
          <w:szCs w:val="23"/>
        </w:rPr>
        <w:t>Договор вступает в силу с момента его подписания Сторонами и действует до «31» декабря 2026г, окончание срока действия настоящего Договора не освобождает стороны от исполнения принятых на себя обязательств.</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0868AC" w:rsidRPr="00D37FA5" w:rsidRDefault="000868AC" w:rsidP="000868AC">
      <w:pPr>
        <w:widowControl w:val="0"/>
        <w:autoSpaceDE w:val="0"/>
        <w:autoSpaceDN w:val="0"/>
        <w:adjustRightInd w:val="0"/>
        <w:jc w:val="both"/>
        <w:rPr>
          <w:sz w:val="23"/>
          <w:szCs w:val="23"/>
        </w:rPr>
      </w:pPr>
    </w:p>
    <w:p w:rsidR="000868AC" w:rsidRPr="00D37FA5" w:rsidRDefault="000868AC" w:rsidP="000868AC">
      <w:pPr>
        <w:widowControl w:val="0"/>
        <w:numPr>
          <w:ilvl w:val="0"/>
          <w:numId w:val="3"/>
        </w:numPr>
        <w:autoSpaceDE w:val="0"/>
        <w:autoSpaceDN w:val="0"/>
        <w:adjustRightInd w:val="0"/>
        <w:jc w:val="both"/>
        <w:rPr>
          <w:sz w:val="23"/>
          <w:szCs w:val="23"/>
        </w:rPr>
      </w:pPr>
      <w:r w:rsidRPr="00D37FA5">
        <w:rPr>
          <w:rFonts w:eastAsia="SimSun"/>
          <w:b/>
          <w:bCs/>
          <w:kern w:val="1"/>
          <w:sz w:val="23"/>
          <w:szCs w:val="23"/>
          <w:lang w:eastAsia="hi-IN" w:bidi="hi-IN"/>
        </w:rPr>
        <w:t>Антикоррупционная оговорка</w:t>
      </w:r>
    </w:p>
    <w:p w:rsidR="000868AC" w:rsidRPr="00D37FA5" w:rsidRDefault="000868AC" w:rsidP="000868AC">
      <w:pPr>
        <w:widowControl w:val="0"/>
        <w:suppressAutoHyphens/>
        <w:contextualSpacing/>
        <w:jc w:val="both"/>
        <w:rPr>
          <w:sz w:val="23"/>
          <w:szCs w:val="23"/>
        </w:rPr>
      </w:pPr>
      <w:r w:rsidRPr="00D37FA5">
        <w:rPr>
          <w:rFonts w:eastAsia="SimSun"/>
          <w:b/>
          <w:bCs/>
          <w:kern w:val="1"/>
          <w:sz w:val="23"/>
          <w:szCs w:val="23"/>
          <w:lang w:eastAsia="hi-IN" w:bidi="hi-IN"/>
        </w:rPr>
        <w:t xml:space="preserve"> </w:t>
      </w:r>
      <w:r w:rsidRPr="00D37FA5">
        <w:rPr>
          <w:sz w:val="23"/>
          <w:szCs w:val="23"/>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868AC" w:rsidRPr="00D37FA5" w:rsidRDefault="000868AC" w:rsidP="000868AC">
      <w:pPr>
        <w:jc w:val="both"/>
        <w:rPr>
          <w:sz w:val="23"/>
          <w:szCs w:val="23"/>
        </w:rPr>
      </w:pPr>
      <w:r w:rsidRPr="00D37FA5">
        <w:rPr>
          <w:sz w:val="23"/>
          <w:szCs w:val="23"/>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0868AC" w:rsidRPr="00D37FA5" w:rsidRDefault="000868AC" w:rsidP="000868AC">
      <w:pPr>
        <w:jc w:val="both"/>
        <w:rPr>
          <w:sz w:val="23"/>
          <w:szCs w:val="23"/>
        </w:rPr>
      </w:pPr>
      <w:r w:rsidRPr="00D37FA5">
        <w:rPr>
          <w:sz w:val="23"/>
          <w:szCs w:val="23"/>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868AC" w:rsidRPr="00D37FA5" w:rsidRDefault="000868AC" w:rsidP="000868AC">
      <w:pPr>
        <w:jc w:val="both"/>
        <w:rPr>
          <w:b/>
          <w:bCs/>
          <w:sz w:val="23"/>
          <w:szCs w:val="23"/>
        </w:rPr>
      </w:pPr>
      <w:r w:rsidRPr="00D37FA5">
        <w:rPr>
          <w:sz w:val="23"/>
          <w:szCs w:val="23"/>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868AC" w:rsidRPr="00D37FA5" w:rsidRDefault="000868AC" w:rsidP="000868AC">
      <w:pPr>
        <w:jc w:val="both"/>
        <w:rPr>
          <w:sz w:val="23"/>
          <w:szCs w:val="23"/>
        </w:rPr>
      </w:pPr>
      <w:r w:rsidRPr="00D37FA5">
        <w:rPr>
          <w:sz w:val="23"/>
          <w:szCs w:val="23"/>
        </w:rPr>
        <w:t xml:space="preserve">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w:t>
      </w:r>
      <w:r w:rsidRPr="00D37FA5">
        <w:rPr>
          <w:sz w:val="23"/>
          <w:szCs w:val="23"/>
        </w:rPr>
        <w:lastRenderedPageBreak/>
        <w:t>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keepNext/>
        <w:keepLines/>
        <w:numPr>
          <w:ilvl w:val="0"/>
          <w:numId w:val="3"/>
        </w:numPr>
        <w:ind w:left="0" w:firstLine="0"/>
        <w:jc w:val="center"/>
        <w:outlineLvl w:val="0"/>
        <w:rPr>
          <w:rFonts w:eastAsia="SimSun"/>
          <w:b/>
          <w:bCs/>
          <w:sz w:val="23"/>
          <w:szCs w:val="23"/>
        </w:rPr>
      </w:pPr>
      <w:r w:rsidRPr="00D37FA5">
        <w:rPr>
          <w:b/>
          <w:bCs/>
          <w:sz w:val="23"/>
          <w:szCs w:val="23"/>
          <w:lang w:eastAsia="ar-SA"/>
        </w:rPr>
        <w:t>Заключительные положения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 </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средств связи.</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pacing w:val="-6"/>
          <w:sz w:val="23"/>
          <w:szCs w:val="23"/>
          <w:lang w:eastAsia="ar-SA"/>
        </w:rPr>
        <w:t>При исполнении Договора не допускается перемена Поставщика за исключением</w:t>
      </w:r>
      <w:r w:rsidRPr="00D37FA5">
        <w:rPr>
          <w:sz w:val="23"/>
          <w:szCs w:val="23"/>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rPr>
        <w:t>Данный Договор составлен в двух экземплярах, имеющих равную юридическую силу, по одному для каждой из сторон.</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 xml:space="preserve"> Во всем, что не предусмотрено Договором, Стороны руководствуются законодательством Российской Федерации.</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3"/>
          <w:szCs w:val="23"/>
        </w:rPr>
      </w:pPr>
      <w:r w:rsidRPr="00D37FA5">
        <w:rPr>
          <w:b/>
          <w:sz w:val="23"/>
          <w:szCs w:val="23"/>
          <w:lang w:eastAsia="ar-SA"/>
        </w:rPr>
        <w:t>Приложения к Договору</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rPr>
      </w:pPr>
      <w:r w:rsidRPr="00D37FA5">
        <w:rPr>
          <w:sz w:val="23"/>
          <w:szCs w:val="23"/>
        </w:rPr>
        <w:t>Неотъемлемой частью Договора являются следующие приложения:</w:t>
      </w:r>
    </w:p>
    <w:p w:rsidR="00277155"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Приложение № 1 «техническое задание</w:t>
      </w:r>
      <w:r w:rsidR="00615953" w:rsidRPr="00D37FA5">
        <w:rPr>
          <w:sz w:val="23"/>
          <w:szCs w:val="23"/>
          <w:lang w:eastAsia="ar-SA"/>
        </w:rPr>
        <w:t>»</w:t>
      </w:r>
      <w:r w:rsidRPr="00D37FA5">
        <w:rPr>
          <w:sz w:val="23"/>
          <w:szCs w:val="23"/>
          <w:lang w:eastAsia="ar-SA"/>
        </w:rPr>
        <w:t>.</w:t>
      </w: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F05CFA" w:rsidRPr="00D37FA5" w:rsidTr="00C706B3">
        <w:trPr>
          <w:trHeight w:val="80"/>
        </w:trPr>
        <w:tc>
          <w:tcPr>
            <w:tcW w:w="12582" w:type="dxa"/>
            <w:tcBorders>
              <w:top w:val="nil"/>
              <w:left w:val="nil"/>
              <w:bottom w:val="nil"/>
              <w:right w:val="nil"/>
            </w:tcBorders>
          </w:tcPr>
          <w:p w:rsidR="000868AC" w:rsidRPr="00D37FA5" w:rsidRDefault="000868AC" w:rsidP="00C706B3">
            <w:pPr>
              <w:jc w:val="center"/>
              <w:rPr>
                <w:sz w:val="23"/>
                <w:szCs w:val="23"/>
              </w:rPr>
            </w:pPr>
          </w:p>
          <w:p w:rsidR="000868AC" w:rsidRPr="00D37FA5" w:rsidRDefault="000868AC" w:rsidP="00C706B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3"/>
                <w:szCs w:val="23"/>
              </w:rPr>
            </w:pPr>
            <w:r w:rsidRPr="00D37FA5">
              <w:rPr>
                <w:b/>
                <w:sz w:val="23"/>
                <w:szCs w:val="23"/>
                <w:lang w:eastAsia="ar-SA"/>
              </w:rPr>
              <w:t>Юридические адреса, реквизиты и подписи сторон</w:t>
            </w:r>
          </w:p>
          <w:p w:rsidR="000868AC" w:rsidRPr="00D37FA5" w:rsidRDefault="000868AC" w:rsidP="00C706B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3"/>
                <w:szCs w:val="23"/>
              </w:rPr>
            </w:pPr>
          </w:p>
          <w:tbl>
            <w:tblPr>
              <w:tblW w:w="10456" w:type="dxa"/>
              <w:tblLayout w:type="fixed"/>
              <w:tblLook w:val="01E0" w:firstRow="1" w:lastRow="1" w:firstColumn="1" w:lastColumn="1" w:noHBand="0" w:noVBand="0"/>
            </w:tblPr>
            <w:tblGrid>
              <w:gridCol w:w="5070"/>
              <w:gridCol w:w="5386"/>
            </w:tblGrid>
            <w:tr w:rsidR="00F05CFA" w:rsidRPr="00D37FA5" w:rsidTr="00C706B3">
              <w:trPr>
                <w:trHeight w:val="333"/>
              </w:trPr>
              <w:tc>
                <w:tcPr>
                  <w:tcW w:w="5070" w:type="dxa"/>
                </w:tcPr>
                <w:p w:rsidR="000868AC" w:rsidRPr="00D37FA5" w:rsidRDefault="000868AC" w:rsidP="00373852">
                  <w:pPr>
                    <w:framePr w:hSpace="180" w:wrap="around" w:vAnchor="text" w:hAnchor="margin" w:y="160"/>
                    <w:rPr>
                      <w:b/>
                      <w:sz w:val="23"/>
                      <w:szCs w:val="23"/>
                      <w:u w:val="single"/>
                    </w:rPr>
                  </w:pPr>
                  <w:r w:rsidRPr="00D37FA5">
                    <w:rPr>
                      <w:b/>
                      <w:sz w:val="23"/>
                      <w:szCs w:val="23"/>
                      <w:u w:val="single"/>
                    </w:rPr>
                    <w:t>Заказчик:</w:t>
                  </w:r>
                </w:p>
              </w:tc>
              <w:tc>
                <w:tcPr>
                  <w:tcW w:w="5386" w:type="dxa"/>
                </w:tcPr>
                <w:p w:rsidR="000868AC" w:rsidRPr="00D37FA5" w:rsidRDefault="000868AC" w:rsidP="00373852">
                  <w:pPr>
                    <w:framePr w:hSpace="180" w:wrap="around" w:vAnchor="text" w:hAnchor="margin" w:y="160"/>
                    <w:rPr>
                      <w:b/>
                      <w:sz w:val="23"/>
                      <w:szCs w:val="23"/>
                      <w:u w:val="single"/>
                    </w:rPr>
                  </w:pPr>
                  <w:r w:rsidRPr="00D37FA5">
                    <w:rPr>
                      <w:b/>
                      <w:sz w:val="23"/>
                      <w:szCs w:val="23"/>
                      <w:u w:val="single"/>
                    </w:rPr>
                    <w:t>Поставщик:</w:t>
                  </w:r>
                </w:p>
              </w:tc>
            </w:tr>
            <w:tr w:rsidR="00F05CFA" w:rsidRPr="00D37FA5" w:rsidTr="00C706B3">
              <w:tc>
                <w:tcPr>
                  <w:tcW w:w="5070" w:type="dxa"/>
                </w:tcPr>
                <w:p w:rsidR="000868AC" w:rsidRPr="00D37FA5" w:rsidRDefault="000868AC" w:rsidP="00373852">
                  <w:pPr>
                    <w:framePr w:hSpace="180" w:wrap="around" w:vAnchor="text" w:hAnchor="margin" w:y="160"/>
                    <w:rPr>
                      <w:b/>
                      <w:sz w:val="23"/>
                      <w:szCs w:val="23"/>
                    </w:rPr>
                  </w:pPr>
                  <w:r w:rsidRPr="00D37FA5">
                    <w:rPr>
                      <w:b/>
                      <w:sz w:val="23"/>
                      <w:szCs w:val="23"/>
                    </w:rPr>
                    <w:t>ФГБНУ "НИИ эпидемиологии и микробиологии  им. Г.П. Сомова" Роспотребнадзора</w:t>
                  </w:r>
                </w:p>
                <w:p w:rsidR="000868AC" w:rsidRPr="00D37FA5" w:rsidRDefault="000868AC" w:rsidP="00373852">
                  <w:pPr>
                    <w:framePr w:hSpace="180" w:wrap="around" w:vAnchor="text" w:hAnchor="margin" w:y="160"/>
                    <w:rPr>
                      <w:sz w:val="23"/>
                      <w:szCs w:val="23"/>
                    </w:rPr>
                  </w:pPr>
                  <w:r w:rsidRPr="00D37FA5">
                    <w:rPr>
                      <w:sz w:val="23"/>
                      <w:szCs w:val="23"/>
                    </w:rPr>
                    <w:t xml:space="preserve">690087, </w:t>
                  </w:r>
                  <w:bookmarkStart w:id="15" w:name="_Hlk137128318"/>
                  <w:r w:rsidRPr="00D37FA5">
                    <w:rPr>
                      <w:sz w:val="23"/>
                      <w:szCs w:val="23"/>
                    </w:rPr>
                    <w:t xml:space="preserve">г. Владивосток, ул. Сельская, 1 </w:t>
                  </w:r>
                </w:p>
                <w:bookmarkEnd w:id="15"/>
                <w:p w:rsidR="000868AC" w:rsidRPr="00D37FA5" w:rsidRDefault="000868AC" w:rsidP="00373852">
                  <w:pPr>
                    <w:framePr w:hSpace="180" w:wrap="around" w:vAnchor="text" w:hAnchor="margin" w:y="160"/>
                    <w:rPr>
                      <w:sz w:val="23"/>
                      <w:szCs w:val="23"/>
                    </w:rPr>
                  </w:pPr>
                  <w:r w:rsidRPr="00D37FA5">
                    <w:rPr>
                      <w:sz w:val="23"/>
                      <w:szCs w:val="23"/>
                    </w:rPr>
                    <w:t>ИНН 2538008434/  КПП253801001</w:t>
                  </w:r>
                </w:p>
                <w:p w:rsidR="000868AC" w:rsidRPr="00D37FA5" w:rsidRDefault="000868AC" w:rsidP="00373852">
                  <w:pPr>
                    <w:framePr w:hSpace="180" w:wrap="around" w:vAnchor="text" w:hAnchor="margin" w:y="160"/>
                    <w:rPr>
                      <w:sz w:val="23"/>
                      <w:szCs w:val="23"/>
                    </w:rPr>
                  </w:pPr>
                  <w:r w:rsidRPr="00D37FA5">
                    <w:rPr>
                      <w:sz w:val="23"/>
                      <w:szCs w:val="23"/>
                    </w:rPr>
                    <w:t>ОГРН 1022501909220</w:t>
                  </w:r>
                </w:p>
                <w:p w:rsidR="000868AC" w:rsidRPr="00D37FA5" w:rsidRDefault="000868AC" w:rsidP="00373852">
                  <w:pPr>
                    <w:framePr w:hSpace="180" w:wrap="around" w:vAnchor="text" w:hAnchor="margin" w:y="160"/>
                    <w:rPr>
                      <w:sz w:val="23"/>
                      <w:szCs w:val="23"/>
                    </w:rPr>
                  </w:pPr>
                  <w:r w:rsidRPr="00D37FA5">
                    <w:rPr>
                      <w:sz w:val="23"/>
                      <w:szCs w:val="23"/>
                    </w:rPr>
                    <w:t>ОКТМО 05701000</w:t>
                  </w:r>
                </w:p>
                <w:p w:rsidR="000868AC" w:rsidRPr="00D37FA5" w:rsidRDefault="000868AC" w:rsidP="00373852">
                  <w:pPr>
                    <w:framePr w:hSpace="180" w:wrap="around" w:vAnchor="text" w:hAnchor="margin" w:y="160"/>
                    <w:rPr>
                      <w:sz w:val="23"/>
                      <w:szCs w:val="23"/>
                    </w:rPr>
                  </w:pPr>
                  <w:r w:rsidRPr="00D37FA5">
                    <w:rPr>
                      <w:sz w:val="23"/>
                      <w:szCs w:val="23"/>
                    </w:rPr>
                    <w:t xml:space="preserve">Банковские реквизиты: </w:t>
                  </w:r>
                </w:p>
                <w:p w:rsidR="000868AC" w:rsidRPr="00D37FA5" w:rsidRDefault="000868AC" w:rsidP="00373852">
                  <w:pPr>
                    <w:framePr w:hSpace="180" w:wrap="around" w:vAnchor="text" w:hAnchor="margin" w:y="160"/>
                    <w:rPr>
                      <w:sz w:val="23"/>
                      <w:szCs w:val="23"/>
                    </w:rPr>
                  </w:pPr>
                  <w:r w:rsidRPr="00D37FA5">
                    <w:rPr>
                      <w:sz w:val="23"/>
                      <w:szCs w:val="23"/>
                    </w:rPr>
                    <w:t>УФК ПО ПРИМОРСКОМУ КРАЮ (ФГБНУ "НИИ эпидемиологии и микробиологии им. Г.П. Сомова" Роспотребнадзора, л/с 2</w:t>
                  </w:r>
                  <w:r w:rsidR="00596156" w:rsidRPr="00D37FA5">
                    <w:rPr>
                      <w:sz w:val="23"/>
                      <w:szCs w:val="23"/>
                    </w:rPr>
                    <w:t>1</w:t>
                  </w:r>
                  <w:r w:rsidRPr="00D37FA5">
                    <w:rPr>
                      <w:sz w:val="23"/>
                      <w:szCs w:val="23"/>
                    </w:rPr>
                    <w:t xml:space="preserve">206У07270) </w:t>
                  </w:r>
                </w:p>
                <w:p w:rsidR="000868AC" w:rsidRPr="00D37FA5" w:rsidRDefault="000868AC" w:rsidP="00373852">
                  <w:pPr>
                    <w:framePr w:hSpace="180" w:wrap="around" w:vAnchor="text" w:hAnchor="margin" w:y="160"/>
                    <w:rPr>
                      <w:sz w:val="23"/>
                      <w:szCs w:val="23"/>
                    </w:rPr>
                  </w:pPr>
                  <w:r w:rsidRPr="00D37FA5">
                    <w:rPr>
                      <w:sz w:val="23"/>
                      <w:szCs w:val="23"/>
                    </w:rPr>
                    <w:t>р/с 03214643000000012000</w:t>
                  </w:r>
                </w:p>
                <w:p w:rsidR="000868AC" w:rsidRPr="00D37FA5" w:rsidRDefault="000868AC" w:rsidP="00373852">
                  <w:pPr>
                    <w:framePr w:hSpace="180" w:wrap="around" w:vAnchor="text" w:hAnchor="margin" w:y="160"/>
                    <w:rPr>
                      <w:sz w:val="23"/>
                      <w:szCs w:val="23"/>
                    </w:rPr>
                  </w:pPr>
                  <w:r w:rsidRPr="00D37FA5">
                    <w:rPr>
                      <w:sz w:val="23"/>
                      <w:szCs w:val="23"/>
                    </w:rPr>
                    <w:t>к/с 40102810545370000012</w:t>
                  </w:r>
                </w:p>
                <w:p w:rsidR="000868AC" w:rsidRPr="00D37FA5" w:rsidRDefault="000868AC" w:rsidP="00373852">
                  <w:pPr>
                    <w:framePr w:hSpace="180" w:wrap="around" w:vAnchor="text" w:hAnchor="margin" w:y="160"/>
                    <w:rPr>
                      <w:sz w:val="23"/>
                      <w:szCs w:val="23"/>
                    </w:rPr>
                  </w:pPr>
                  <w:r w:rsidRPr="00D37FA5">
                    <w:rPr>
                      <w:sz w:val="23"/>
                      <w:szCs w:val="23"/>
                    </w:rPr>
                    <w:t>в ДАЛЬНЕВОСТОЧНОЕ ГУ БАНКА РОССИИ//УФК по Приморскому краю г. Владивосток</w:t>
                  </w:r>
                </w:p>
                <w:p w:rsidR="000868AC" w:rsidRPr="00D37FA5" w:rsidRDefault="000868AC" w:rsidP="00373852">
                  <w:pPr>
                    <w:framePr w:hSpace="180" w:wrap="around" w:vAnchor="text" w:hAnchor="margin" w:y="160"/>
                    <w:rPr>
                      <w:sz w:val="23"/>
                      <w:szCs w:val="23"/>
                      <w:lang w:val="en-US"/>
                    </w:rPr>
                  </w:pPr>
                  <w:r w:rsidRPr="00D37FA5">
                    <w:rPr>
                      <w:sz w:val="23"/>
                      <w:szCs w:val="23"/>
                    </w:rPr>
                    <w:t>БИК</w:t>
                  </w:r>
                  <w:r w:rsidRPr="00D37FA5">
                    <w:rPr>
                      <w:sz w:val="23"/>
                      <w:szCs w:val="23"/>
                      <w:lang w:val="en-US"/>
                    </w:rPr>
                    <w:t xml:space="preserve">    010507002</w:t>
                  </w:r>
                </w:p>
                <w:p w:rsidR="000868AC" w:rsidRPr="00D37FA5" w:rsidRDefault="000868AC" w:rsidP="00373852">
                  <w:pPr>
                    <w:framePr w:hSpace="180" w:wrap="around" w:vAnchor="text" w:hAnchor="margin" w:y="160"/>
                    <w:rPr>
                      <w:bCs/>
                      <w:iCs/>
                      <w:sz w:val="23"/>
                      <w:szCs w:val="23"/>
                      <w:lang w:val="en-US"/>
                    </w:rPr>
                  </w:pPr>
                  <w:r w:rsidRPr="00D37FA5">
                    <w:rPr>
                      <w:bCs/>
                      <w:iCs/>
                      <w:sz w:val="23"/>
                      <w:szCs w:val="23"/>
                    </w:rPr>
                    <w:t>Факс</w:t>
                  </w:r>
                  <w:r w:rsidRPr="00D37FA5">
                    <w:rPr>
                      <w:bCs/>
                      <w:iCs/>
                      <w:sz w:val="23"/>
                      <w:szCs w:val="23"/>
                      <w:lang w:val="en-US"/>
                    </w:rPr>
                    <w:t>: 244-14-38, 8 (4232) 44-14-38</w:t>
                  </w:r>
                </w:p>
                <w:p w:rsidR="000868AC" w:rsidRPr="00D37FA5" w:rsidRDefault="007932B4" w:rsidP="00373852">
                  <w:pPr>
                    <w:framePr w:hSpace="180" w:wrap="around" w:vAnchor="text" w:hAnchor="margin" w:y="160"/>
                    <w:rPr>
                      <w:bCs/>
                      <w:iCs/>
                      <w:sz w:val="23"/>
                      <w:szCs w:val="23"/>
                      <w:lang w:val="en-US"/>
                    </w:rPr>
                  </w:pPr>
                  <w:r>
                    <w:rPr>
                      <w:bCs/>
                      <w:iCs/>
                      <w:sz w:val="23"/>
                      <w:szCs w:val="23"/>
                      <w:lang w:val="en-US"/>
                    </w:rPr>
                    <w:t>E-mail: niiem_somov</w:t>
                  </w:r>
                  <w:r w:rsidR="000868AC" w:rsidRPr="00D37FA5">
                    <w:rPr>
                      <w:bCs/>
                      <w:iCs/>
                      <w:sz w:val="23"/>
                      <w:szCs w:val="23"/>
                      <w:lang w:val="en-US"/>
                    </w:rPr>
                    <w:t>@mail.ru</w:t>
                  </w:r>
                </w:p>
                <w:p w:rsidR="000868AC" w:rsidRPr="00D37FA5" w:rsidRDefault="000868AC" w:rsidP="00373852">
                  <w:pPr>
                    <w:framePr w:hSpace="180" w:wrap="around" w:vAnchor="text" w:hAnchor="margin" w:y="160"/>
                    <w:rPr>
                      <w:sz w:val="23"/>
                      <w:szCs w:val="23"/>
                      <w:lang w:val="en-US"/>
                    </w:rPr>
                  </w:pPr>
                </w:p>
                <w:p w:rsidR="000868AC" w:rsidRPr="00D37FA5" w:rsidRDefault="000868AC" w:rsidP="00373852">
                  <w:pPr>
                    <w:framePr w:hSpace="180" w:wrap="around" w:vAnchor="text" w:hAnchor="margin" w:y="160"/>
                    <w:rPr>
                      <w:sz w:val="23"/>
                      <w:szCs w:val="23"/>
                      <w:lang w:val="en-US"/>
                    </w:rPr>
                  </w:pPr>
                </w:p>
                <w:p w:rsidR="000868AC" w:rsidRPr="00D37FA5" w:rsidRDefault="000868AC" w:rsidP="00373852">
                  <w:pPr>
                    <w:framePr w:hSpace="180" w:wrap="around" w:vAnchor="text" w:hAnchor="margin" w:y="160"/>
                    <w:rPr>
                      <w:sz w:val="23"/>
                      <w:szCs w:val="23"/>
                    </w:rPr>
                  </w:pPr>
                  <w:r w:rsidRPr="00D37FA5">
                    <w:rPr>
                      <w:sz w:val="23"/>
                      <w:szCs w:val="23"/>
                    </w:rPr>
                    <w:t>Директор</w:t>
                  </w:r>
                </w:p>
                <w:p w:rsidR="000868AC" w:rsidRPr="00D37FA5" w:rsidRDefault="000868AC" w:rsidP="00373852">
                  <w:pPr>
                    <w:framePr w:hSpace="180" w:wrap="around" w:vAnchor="text" w:hAnchor="margin" w:y="160"/>
                    <w:rPr>
                      <w:sz w:val="23"/>
                      <w:szCs w:val="23"/>
                    </w:rPr>
                  </w:pPr>
                  <w:r w:rsidRPr="00D37FA5">
                    <w:rPr>
                      <w:sz w:val="23"/>
                      <w:szCs w:val="23"/>
                    </w:rPr>
                    <w:t>ФГБНУ "НИИ эпидемиологии и микробиологии  им. Г.П. Сомова" Роспотребнадзора</w:t>
                  </w:r>
                </w:p>
                <w:p w:rsidR="000868AC" w:rsidRPr="00D37FA5" w:rsidRDefault="000868AC" w:rsidP="00373852">
                  <w:pPr>
                    <w:framePr w:hSpace="180" w:wrap="around" w:vAnchor="text" w:hAnchor="margin" w:y="160"/>
                    <w:rPr>
                      <w:sz w:val="23"/>
                      <w:szCs w:val="23"/>
                    </w:rPr>
                  </w:pPr>
                </w:p>
                <w:p w:rsidR="000868AC" w:rsidRPr="00D37FA5" w:rsidRDefault="000868AC" w:rsidP="00373852">
                  <w:pPr>
                    <w:framePr w:hSpace="180" w:wrap="around" w:vAnchor="text" w:hAnchor="margin" w:y="160"/>
                    <w:rPr>
                      <w:sz w:val="23"/>
                      <w:szCs w:val="23"/>
                    </w:rPr>
                  </w:pPr>
                </w:p>
                <w:p w:rsidR="000868AC" w:rsidRPr="00D37FA5" w:rsidRDefault="000868AC" w:rsidP="00373852">
                  <w:pPr>
                    <w:framePr w:hSpace="180" w:wrap="around" w:vAnchor="text" w:hAnchor="margin" w:y="160"/>
                    <w:rPr>
                      <w:sz w:val="23"/>
                      <w:szCs w:val="23"/>
                    </w:rPr>
                  </w:pPr>
                  <w:r w:rsidRPr="00D37FA5">
                    <w:rPr>
                      <w:sz w:val="23"/>
                      <w:szCs w:val="23"/>
                    </w:rPr>
                    <w:t xml:space="preserve"> м.п.</w:t>
                  </w:r>
                  <w:r w:rsidRPr="00D37FA5">
                    <w:rPr>
                      <w:sz w:val="23"/>
                      <w:szCs w:val="23"/>
                    </w:rPr>
                    <w:tab/>
                    <w:t xml:space="preserve">____________ / М.Ю. Щелканов </w:t>
                  </w:r>
                </w:p>
              </w:tc>
              <w:tc>
                <w:tcPr>
                  <w:tcW w:w="5386" w:type="dxa"/>
                </w:tcPr>
                <w:p w:rsidR="00C76155" w:rsidRPr="00D37FA5" w:rsidRDefault="00C76155" w:rsidP="00373852">
                  <w:pPr>
                    <w:framePr w:hSpace="180" w:wrap="around" w:vAnchor="text" w:hAnchor="margin" w:y="160"/>
                    <w:rPr>
                      <w:sz w:val="23"/>
                      <w:szCs w:val="23"/>
                    </w:rPr>
                  </w:pPr>
                </w:p>
              </w:tc>
            </w:tr>
            <w:tr w:rsidR="00F05CFA" w:rsidRPr="00D37FA5" w:rsidTr="007D0B94">
              <w:trPr>
                <w:trHeight w:val="70"/>
              </w:trPr>
              <w:tc>
                <w:tcPr>
                  <w:tcW w:w="5070" w:type="dxa"/>
                </w:tcPr>
                <w:p w:rsidR="000868AC" w:rsidRPr="00D37FA5" w:rsidRDefault="000868AC" w:rsidP="00373852">
                  <w:pPr>
                    <w:framePr w:hSpace="180" w:wrap="around" w:vAnchor="text" w:hAnchor="margin" w:y="160"/>
                    <w:autoSpaceDE w:val="0"/>
                    <w:autoSpaceDN w:val="0"/>
                    <w:adjustRightInd w:val="0"/>
                    <w:rPr>
                      <w:sz w:val="23"/>
                      <w:szCs w:val="23"/>
                    </w:rPr>
                  </w:pPr>
                </w:p>
              </w:tc>
              <w:tc>
                <w:tcPr>
                  <w:tcW w:w="5386" w:type="dxa"/>
                </w:tcPr>
                <w:p w:rsidR="000868AC" w:rsidRPr="00D37FA5" w:rsidRDefault="000868AC" w:rsidP="00373852">
                  <w:pPr>
                    <w:framePr w:hSpace="180" w:wrap="around" w:vAnchor="text" w:hAnchor="margin" w:y="160"/>
                    <w:rPr>
                      <w:sz w:val="23"/>
                      <w:szCs w:val="23"/>
                    </w:rPr>
                  </w:pPr>
                </w:p>
              </w:tc>
            </w:tr>
          </w:tbl>
          <w:p w:rsidR="000868AC" w:rsidRPr="00D37FA5" w:rsidRDefault="000868AC" w:rsidP="00C706B3">
            <w:pPr>
              <w:jc w:val="both"/>
              <w:rPr>
                <w:sz w:val="23"/>
                <w:szCs w:val="23"/>
              </w:rPr>
            </w:pPr>
          </w:p>
        </w:tc>
      </w:tr>
    </w:tbl>
    <w:p w:rsidR="000868AC" w:rsidRPr="00D37FA5" w:rsidRDefault="000868AC" w:rsidP="000868AC">
      <w:pPr>
        <w:pStyle w:val="a3"/>
        <w:tabs>
          <w:tab w:val="left" w:pos="8688"/>
          <w:tab w:val="left" w:pos="9180"/>
          <w:tab w:val="left" w:pos="9353"/>
        </w:tabs>
        <w:jc w:val="right"/>
        <w:rPr>
          <w:b w:val="0"/>
          <w:sz w:val="23"/>
          <w:szCs w:val="23"/>
        </w:rPr>
      </w:pPr>
      <w:r w:rsidRPr="00D37FA5">
        <w:rPr>
          <w:b w:val="0"/>
          <w:sz w:val="23"/>
          <w:szCs w:val="23"/>
        </w:rPr>
        <w:lastRenderedPageBreak/>
        <w:t xml:space="preserve">Приложение № 1 </w:t>
      </w:r>
    </w:p>
    <w:p w:rsidR="000868AC" w:rsidRPr="00D37FA5" w:rsidRDefault="000868AC" w:rsidP="000868AC">
      <w:pPr>
        <w:pStyle w:val="a3"/>
        <w:tabs>
          <w:tab w:val="left" w:pos="8688"/>
          <w:tab w:val="left" w:pos="9180"/>
          <w:tab w:val="left" w:pos="9353"/>
        </w:tabs>
        <w:jc w:val="right"/>
        <w:rPr>
          <w:b w:val="0"/>
          <w:sz w:val="23"/>
          <w:szCs w:val="23"/>
        </w:rPr>
      </w:pPr>
      <w:r w:rsidRPr="00D37FA5">
        <w:rPr>
          <w:b w:val="0"/>
          <w:sz w:val="23"/>
          <w:szCs w:val="23"/>
        </w:rPr>
        <w:t>к договору №</w:t>
      </w:r>
      <w:r w:rsidR="007D0B94" w:rsidRPr="00D37FA5">
        <w:rPr>
          <w:b w:val="0"/>
          <w:sz w:val="23"/>
          <w:szCs w:val="23"/>
        </w:rPr>
        <w:t>504</w:t>
      </w:r>
      <w:r w:rsidR="007932B4">
        <w:rPr>
          <w:b w:val="0"/>
          <w:sz w:val="23"/>
          <w:szCs w:val="23"/>
        </w:rPr>
        <w:t>8</w:t>
      </w:r>
      <w:r w:rsidRPr="00D37FA5">
        <w:rPr>
          <w:b w:val="0"/>
          <w:sz w:val="23"/>
          <w:szCs w:val="23"/>
        </w:rPr>
        <w:t xml:space="preserve"> от_______.2026</w:t>
      </w:r>
    </w:p>
    <w:p w:rsidR="000868AC" w:rsidRPr="00D37FA5" w:rsidRDefault="000868AC" w:rsidP="000868AC">
      <w:pPr>
        <w:pStyle w:val="a3"/>
        <w:tabs>
          <w:tab w:val="left" w:pos="8688"/>
          <w:tab w:val="left" w:pos="9180"/>
          <w:tab w:val="left" w:pos="9353"/>
        </w:tabs>
        <w:jc w:val="right"/>
        <w:rPr>
          <w:b w:val="0"/>
          <w:sz w:val="23"/>
          <w:szCs w:val="23"/>
        </w:rPr>
      </w:pPr>
    </w:p>
    <w:p w:rsidR="000868AC" w:rsidRPr="00D37FA5" w:rsidRDefault="000868AC" w:rsidP="000868AC">
      <w:pPr>
        <w:jc w:val="center"/>
        <w:rPr>
          <w:b/>
          <w:sz w:val="23"/>
          <w:szCs w:val="23"/>
        </w:rPr>
      </w:pPr>
      <w:r w:rsidRPr="00D37FA5">
        <w:rPr>
          <w:b/>
          <w:sz w:val="23"/>
          <w:szCs w:val="23"/>
        </w:rPr>
        <w:t>Техническое задание</w:t>
      </w:r>
    </w:p>
    <w:p w:rsidR="00BE1B4D" w:rsidRPr="00D37FA5" w:rsidRDefault="00BE1B4D" w:rsidP="000868AC">
      <w:pPr>
        <w:jc w:val="center"/>
        <w:rPr>
          <w:b/>
          <w:sz w:val="23"/>
          <w:szCs w:val="23"/>
        </w:rPr>
      </w:pPr>
    </w:p>
    <w:p w:rsidR="00BE1B4D" w:rsidRPr="00D37FA5" w:rsidRDefault="0040601C" w:rsidP="00765CDC">
      <w:pPr>
        <w:ind w:firstLine="708"/>
        <w:jc w:val="both"/>
        <w:rPr>
          <w:sz w:val="23"/>
          <w:szCs w:val="23"/>
        </w:rPr>
      </w:pPr>
      <w:proofErr w:type="spellStart"/>
      <w:r w:rsidRPr="00D37FA5">
        <w:rPr>
          <w:sz w:val="23"/>
          <w:szCs w:val="23"/>
        </w:rPr>
        <w:t>Ридер</w:t>
      </w:r>
      <w:proofErr w:type="spellEnd"/>
      <w:r w:rsidRPr="00D37FA5">
        <w:rPr>
          <w:sz w:val="23"/>
          <w:szCs w:val="23"/>
        </w:rPr>
        <w:t xml:space="preserve"> </w:t>
      </w:r>
      <w:proofErr w:type="spellStart"/>
      <w:r w:rsidRPr="00D37FA5">
        <w:rPr>
          <w:sz w:val="23"/>
          <w:szCs w:val="23"/>
        </w:rPr>
        <w:t>микропланшетный</w:t>
      </w:r>
      <w:proofErr w:type="spellEnd"/>
      <w:r w:rsidRPr="00D37FA5">
        <w:rPr>
          <w:sz w:val="23"/>
          <w:szCs w:val="23"/>
        </w:rPr>
        <w:t xml:space="preserve"> в наборе с фильтрами</w:t>
      </w:r>
      <w:r w:rsidR="00765CDC" w:rsidRPr="00D37FA5">
        <w:rPr>
          <w:sz w:val="23"/>
          <w:szCs w:val="23"/>
        </w:rPr>
        <w:t xml:space="preserve">, </w:t>
      </w:r>
      <w:r w:rsidRPr="00D37FA5">
        <w:rPr>
          <w:sz w:val="23"/>
          <w:szCs w:val="23"/>
        </w:rPr>
        <w:t>с</w:t>
      </w:r>
      <w:r w:rsidR="00765CDC" w:rsidRPr="00D37FA5">
        <w:rPr>
          <w:sz w:val="23"/>
          <w:szCs w:val="23"/>
        </w:rPr>
        <w:t xml:space="preserve"> </w:t>
      </w:r>
      <w:r w:rsidRPr="00D37FA5">
        <w:rPr>
          <w:sz w:val="23"/>
          <w:szCs w:val="23"/>
        </w:rPr>
        <w:t>калибровочным планшетом и инкубатором</w:t>
      </w:r>
      <w:r w:rsidR="00BE1B4D" w:rsidRPr="00D37FA5">
        <w:rPr>
          <w:sz w:val="23"/>
          <w:szCs w:val="23"/>
        </w:rPr>
        <w:t>– 1 шт.</w:t>
      </w:r>
    </w:p>
    <w:p w:rsidR="005F404E" w:rsidRPr="00D37FA5" w:rsidRDefault="005F404E" w:rsidP="000868AC">
      <w:pPr>
        <w:jc w:val="center"/>
        <w:rPr>
          <w:b/>
          <w:sz w:val="23"/>
          <w:szCs w:val="23"/>
        </w:rPr>
      </w:pPr>
    </w:p>
    <w:tbl>
      <w:tblPr>
        <w:tblStyle w:val="a9"/>
        <w:tblW w:w="10807" w:type="dxa"/>
        <w:jc w:val="center"/>
        <w:tblLayout w:type="fixed"/>
        <w:tblLook w:val="04A0" w:firstRow="1" w:lastRow="0" w:firstColumn="1" w:lastColumn="0" w:noHBand="0" w:noVBand="1"/>
      </w:tblPr>
      <w:tblGrid>
        <w:gridCol w:w="727"/>
        <w:gridCol w:w="5812"/>
        <w:gridCol w:w="992"/>
        <w:gridCol w:w="1559"/>
        <w:gridCol w:w="1717"/>
      </w:tblGrid>
      <w:tr w:rsidR="00F05CFA" w:rsidRPr="00D37FA5" w:rsidTr="003042E5">
        <w:trPr>
          <w:jc w:val="center"/>
        </w:trPr>
        <w:tc>
          <w:tcPr>
            <w:tcW w:w="727" w:type="dxa"/>
          </w:tcPr>
          <w:p w:rsidR="00765CDC" w:rsidRPr="00D37FA5" w:rsidRDefault="00765CDC" w:rsidP="003042E5">
            <w:pPr>
              <w:jc w:val="center"/>
              <w:rPr>
                <w:szCs w:val="24"/>
              </w:rPr>
            </w:pPr>
            <w:r w:rsidRPr="00D37FA5">
              <w:rPr>
                <w:szCs w:val="24"/>
              </w:rPr>
              <w:t>№ п/п</w:t>
            </w:r>
          </w:p>
        </w:tc>
        <w:tc>
          <w:tcPr>
            <w:tcW w:w="581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Наименование характеристики</w:t>
            </w:r>
          </w:p>
        </w:tc>
        <w:tc>
          <w:tcPr>
            <w:tcW w:w="992" w:type="dxa"/>
            <w:tcMar>
              <w:top w:w="50" w:type="dxa"/>
              <w:left w:w="80" w:type="dxa"/>
              <w:bottom w:w="50" w:type="dxa"/>
              <w:right w:w="80" w:type="dxa"/>
            </w:tcMar>
            <w:vAlign w:val="center"/>
          </w:tcPr>
          <w:p w:rsidR="00765CDC" w:rsidRPr="00D37FA5" w:rsidRDefault="00765CDC" w:rsidP="00BE1B4D">
            <w:pPr>
              <w:jc w:val="center"/>
              <w:rPr>
                <w:szCs w:val="24"/>
              </w:rPr>
            </w:pPr>
            <w:r w:rsidRPr="00D37FA5">
              <w:rPr>
                <w:szCs w:val="24"/>
              </w:rPr>
              <w:t xml:space="preserve">Единица измерения </w:t>
            </w:r>
          </w:p>
        </w:tc>
        <w:tc>
          <w:tcPr>
            <w:tcW w:w="1559" w:type="dxa"/>
            <w:tcMar>
              <w:top w:w="50" w:type="dxa"/>
              <w:left w:w="80" w:type="dxa"/>
              <w:bottom w:w="50" w:type="dxa"/>
              <w:right w:w="80" w:type="dxa"/>
            </w:tcMar>
            <w:vAlign w:val="center"/>
          </w:tcPr>
          <w:p w:rsidR="00765CDC" w:rsidRPr="00D37FA5" w:rsidRDefault="00765CDC" w:rsidP="00BE1B4D">
            <w:pPr>
              <w:jc w:val="center"/>
              <w:rPr>
                <w:szCs w:val="24"/>
              </w:rPr>
            </w:pPr>
            <w:r w:rsidRPr="00D37FA5">
              <w:rPr>
                <w:szCs w:val="24"/>
              </w:rPr>
              <w:t>Значение показателя товара</w:t>
            </w:r>
          </w:p>
        </w:tc>
        <w:tc>
          <w:tcPr>
            <w:tcW w:w="1717" w:type="dxa"/>
            <w:tcMar>
              <w:top w:w="50" w:type="dxa"/>
              <w:left w:w="80" w:type="dxa"/>
              <w:bottom w:w="50" w:type="dxa"/>
              <w:right w:w="80" w:type="dxa"/>
            </w:tcMar>
            <w:vAlign w:val="center"/>
          </w:tcPr>
          <w:p w:rsidR="00765CDC" w:rsidRPr="00D37FA5" w:rsidRDefault="00765CDC" w:rsidP="00BE1B4D">
            <w:pPr>
              <w:jc w:val="center"/>
              <w:rPr>
                <w:szCs w:val="24"/>
              </w:rPr>
            </w:pPr>
            <w:r w:rsidRPr="00D37FA5">
              <w:rPr>
                <w:szCs w:val="24"/>
              </w:rPr>
              <w:t>Значение показателя товара в цифровых значениях</w:t>
            </w:r>
          </w:p>
        </w:tc>
      </w:tr>
      <w:tr w:rsidR="00F05CFA" w:rsidRPr="00D37FA5" w:rsidTr="00765CDC">
        <w:trPr>
          <w:jc w:val="center"/>
        </w:trPr>
        <w:tc>
          <w:tcPr>
            <w:tcW w:w="727" w:type="dxa"/>
          </w:tcPr>
          <w:p w:rsidR="00765CDC" w:rsidRPr="00D37FA5" w:rsidRDefault="00765CDC" w:rsidP="003042E5">
            <w:pPr>
              <w:jc w:val="center"/>
              <w:rPr>
                <w:szCs w:val="24"/>
              </w:rPr>
            </w:pPr>
            <w:r w:rsidRPr="00D37FA5">
              <w:rPr>
                <w:szCs w:val="24"/>
              </w:rPr>
              <w:t>1</w:t>
            </w:r>
          </w:p>
        </w:tc>
        <w:tc>
          <w:tcPr>
            <w:tcW w:w="581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2</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3</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4</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5</w:t>
            </w:r>
          </w:p>
        </w:tc>
      </w:tr>
      <w:tr w:rsidR="00F05CFA" w:rsidRPr="00D37FA5" w:rsidTr="00765CDC">
        <w:trPr>
          <w:trHeight w:val="501"/>
          <w:jc w:val="center"/>
        </w:trPr>
        <w:tc>
          <w:tcPr>
            <w:tcW w:w="727" w:type="dxa"/>
          </w:tcPr>
          <w:p w:rsidR="00765CDC" w:rsidRPr="00D37FA5" w:rsidRDefault="003042E5" w:rsidP="003042E5">
            <w:pPr>
              <w:jc w:val="center"/>
              <w:rPr>
                <w:szCs w:val="24"/>
              </w:rPr>
            </w:pPr>
            <w:r w:rsidRPr="00D37FA5">
              <w:rPr>
                <w:szCs w:val="24"/>
              </w:rPr>
              <w:t>1</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Настольное исполнение</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2</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Фотометр для 96-луночных </w:t>
            </w:r>
            <w:proofErr w:type="spellStart"/>
            <w:r w:rsidRPr="00D37FA5">
              <w:t>микропланшет</w:t>
            </w:r>
            <w:proofErr w:type="spellEnd"/>
            <w:r w:rsidRPr="00D37FA5">
              <w:t xml:space="preserve">, </w:t>
            </w:r>
            <w:proofErr w:type="spellStart"/>
            <w:r w:rsidRPr="00D37FA5">
              <w:t>стрипованные</w:t>
            </w:r>
            <w:proofErr w:type="spellEnd"/>
            <w:r w:rsidRPr="00D37FA5">
              <w:t xml:space="preserve"> 96-луночные планшеты, планшеты с крышкой</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3</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Функция </w:t>
            </w:r>
            <w:proofErr w:type="spellStart"/>
            <w:r w:rsidRPr="00D37FA5">
              <w:t>термостатирования</w:t>
            </w:r>
            <w:proofErr w:type="spellEnd"/>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4</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Диагональ цветного сенсорного дисплея</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t>дюйм</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xml:space="preserve">≥ 10 </w:t>
            </w:r>
          </w:p>
        </w:tc>
      </w:tr>
      <w:tr w:rsidR="00F05CFA" w:rsidRPr="00D37FA5" w:rsidTr="00765CDC">
        <w:trPr>
          <w:jc w:val="center"/>
        </w:trPr>
        <w:tc>
          <w:tcPr>
            <w:tcW w:w="727" w:type="dxa"/>
          </w:tcPr>
          <w:p w:rsidR="00765CDC" w:rsidRPr="00D37FA5" w:rsidRDefault="003042E5" w:rsidP="003042E5">
            <w:pPr>
              <w:jc w:val="center"/>
            </w:pPr>
            <w:r w:rsidRPr="00D37FA5">
              <w:t>5</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Источник света галогенная лампа</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6</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Диапазон длин волн не уже 340 </w:t>
            </w:r>
            <w:proofErr w:type="spellStart"/>
            <w:r w:rsidRPr="00D37FA5">
              <w:t>нм</w:t>
            </w:r>
            <w:proofErr w:type="spellEnd"/>
            <w:r w:rsidRPr="00D37FA5">
              <w:t xml:space="preserve"> - 750 </w:t>
            </w:r>
            <w:proofErr w:type="spellStart"/>
            <w:r w:rsidRPr="00D37FA5">
              <w:t>нм</w:t>
            </w:r>
            <w:proofErr w:type="spellEnd"/>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7</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Светофильтры 405 </w:t>
            </w:r>
            <w:proofErr w:type="spellStart"/>
            <w:r w:rsidRPr="00D37FA5">
              <w:t>нм</w:t>
            </w:r>
            <w:proofErr w:type="spellEnd"/>
            <w:r w:rsidRPr="00D37FA5">
              <w:t xml:space="preserve">, 450 </w:t>
            </w:r>
            <w:proofErr w:type="spellStart"/>
            <w:r w:rsidRPr="00D37FA5">
              <w:t>нм</w:t>
            </w:r>
            <w:proofErr w:type="spellEnd"/>
            <w:r w:rsidRPr="00D37FA5">
              <w:t xml:space="preserve">, 492 </w:t>
            </w:r>
            <w:proofErr w:type="spellStart"/>
            <w:r w:rsidRPr="00D37FA5">
              <w:t>нм</w:t>
            </w:r>
            <w:proofErr w:type="spellEnd"/>
            <w:r w:rsidRPr="00D37FA5">
              <w:t xml:space="preserve">, 630 </w:t>
            </w:r>
            <w:proofErr w:type="spellStart"/>
            <w:r w:rsidRPr="00D37FA5">
              <w:t>нм</w:t>
            </w:r>
            <w:proofErr w:type="spellEnd"/>
            <w:r w:rsidRPr="00D37FA5">
              <w:t xml:space="preserve">, 750 </w:t>
            </w:r>
            <w:proofErr w:type="spellStart"/>
            <w:r w:rsidRPr="00D37FA5">
              <w:t>нм</w:t>
            </w:r>
            <w:proofErr w:type="spellEnd"/>
            <w:r w:rsidRPr="00D37FA5">
              <w:t xml:space="preserve">, 620 </w:t>
            </w:r>
            <w:proofErr w:type="spellStart"/>
            <w:r w:rsidRPr="00D37FA5">
              <w:t>нм</w:t>
            </w:r>
            <w:proofErr w:type="spellEnd"/>
            <w:r w:rsidRPr="00D37FA5">
              <w:t xml:space="preserve">, 595 </w:t>
            </w:r>
            <w:proofErr w:type="spellStart"/>
            <w:r w:rsidRPr="00D37FA5">
              <w:t>нм</w:t>
            </w:r>
            <w:proofErr w:type="spellEnd"/>
            <w:r w:rsidRPr="00D37FA5">
              <w:t xml:space="preserve">, 540 </w:t>
            </w:r>
            <w:proofErr w:type="spellStart"/>
            <w:r w:rsidRPr="00D37FA5">
              <w:t>нм</w:t>
            </w:r>
            <w:proofErr w:type="spellEnd"/>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8</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Максимальное количество одновременно устанавливаемых светофильтров</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штук</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≥8</w:t>
            </w:r>
          </w:p>
        </w:tc>
      </w:tr>
      <w:tr w:rsidR="00F05CFA" w:rsidRPr="00D37FA5" w:rsidTr="00765CDC">
        <w:trPr>
          <w:jc w:val="center"/>
        </w:trPr>
        <w:tc>
          <w:tcPr>
            <w:tcW w:w="727" w:type="dxa"/>
          </w:tcPr>
          <w:p w:rsidR="00765CDC" w:rsidRPr="00D37FA5" w:rsidRDefault="003042E5" w:rsidP="003042E5">
            <w:pPr>
              <w:jc w:val="center"/>
            </w:pPr>
            <w:r w:rsidRPr="00D37FA5">
              <w:t>9</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Диапазон считывания, не уже 0,000–4,000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10</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Разрешение</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ОП</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0,001</w:t>
            </w:r>
          </w:p>
        </w:tc>
      </w:tr>
      <w:tr w:rsidR="00F05CFA" w:rsidRPr="00D37FA5" w:rsidTr="00765CDC">
        <w:trPr>
          <w:jc w:val="center"/>
        </w:trPr>
        <w:tc>
          <w:tcPr>
            <w:tcW w:w="727" w:type="dxa"/>
          </w:tcPr>
          <w:p w:rsidR="00765CDC" w:rsidRPr="00D37FA5" w:rsidRDefault="003042E5" w:rsidP="003042E5">
            <w:pPr>
              <w:jc w:val="center"/>
            </w:pPr>
            <w:r w:rsidRPr="00D37FA5">
              <w:t>11</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Пропускная способность фильтров</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roofErr w:type="spellStart"/>
            <w:r w:rsidRPr="00D37FA5">
              <w:rPr>
                <w:szCs w:val="24"/>
              </w:rPr>
              <w:t>нм</w:t>
            </w:r>
            <w:proofErr w:type="spellEnd"/>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≥8 - ≤10</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12</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Точность установки длины волны</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roofErr w:type="spellStart"/>
            <w:r w:rsidRPr="00D37FA5">
              <w:rPr>
                <w:szCs w:val="24"/>
              </w:rPr>
              <w:t>нм</w:t>
            </w:r>
            <w:proofErr w:type="spellEnd"/>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≤±2</w:t>
            </w:r>
          </w:p>
        </w:tc>
      </w:tr>
      <w:tr w:rsidR="00F05CFA" w:rsidRPr="00D37FA5" w:rsidTr="00765CDC">
        <w:trPr>
          <w:jc w:val="center"/>
        </w:trPr>
        <w:tc>
          <w:tcPr>
            <w:tcW w:w="727" w:type="dxa"/>
          </w:tcPr>
          <w:p w:rsidR="00765CDC" w:rsidRPr="00D37FA5" w:rsidRDefault="003042E5" w:rsidP="003042E5">
            <w:pPr>
              <w:jc w:val="center"/>
            </w:pPr>
            <w:r w:rsidRPr="00D37FA5">
              <w:t>13</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Скорость измерения 96-луночного планшета режим быстрого измерения</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сек</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≤5</w:t>
            </w:r>
          </w:p>
        </w:tc>
      </w:tr>
      <w:tr w:rsidR="00F05CFA" w:rsidRPr="00D37FA5" w:rsidTr="00765CDC">
        <w:trPr>
          <w:jc w:val="center"/>
        </w:trPr>
        <w:tc>
          <w:tcPr>
            <w:tcW w:w="727" w:type="dxa"/>
          </w:tcPr>
          <w:p w:rsidR="00765CDC" w:rsidRPr="00D37FA5" w:rsidRDefault="003042E5" w:rsidP="003042E5">
            <w:pPr>
              <w:jc w:val="center"/>
            </w:pPr>
            <w:r w:rsidRPr="00D37FA5">
              <w:t>14</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Скорость измерения 96-луночного планшета режим </w:t>
            </w:r>
            <w:proofErr w:type="spellStart"/>
            <w:r w:rsidRPr="00D37FA5">
              <w:t>одноволнового</w:t>
            </w:r>
            <w:proofErr w:type="spellEnd"/>
            <w:r w:rsidRPr="00D37FA5">
              <w:t xml:space="preserve"> измерения</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сек</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≤7</w:t>
            </w:r>
          </w:p>
        </w:tc>
      </w:tr>
      <w:tr w:rsidR="00F05CFA" w:rsidRPr="00D37FA5" w:rsidTr="00765CDC">
        <w:trPr>
          <w:jc w:val="center"/>
        </w:trPr>
        <w:tc>
          <w:tcPr>
            <w:tcW w:w="727" w:type="dxa"/>
          </w:tcPr>
          <w:p w:rsidR="00765CDC" w:rsidRPr="00D37FA5" w:rsidRDefault="003042E5" w:rsidP="003042E5">
            <w:pPr>
              <w:jc w:val="center"/>
            </w:pPr>
            <w:r w:rsidRPr="00D37FA5">
              <w:t>15</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Скорость измерения 96-луночного планшета режим точного измерения</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сек</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15</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16</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Тип детектора фотодиод</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17</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Встряхивание: 3 режима</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18</w:t>
            </w:r>
          </w:p>
        </w:tc>
        <w:tc>
          <w:tcPr>
            <w:tcW w:w="5812" w:type="dxa"/>
            <w:tcMar>
              <w:top w:w="50" w:type="dxa"/>
              <w:left w:w="80" w:type="dxa"/>
              <w:bottom w:w="50" w:type="dxa"/>
              <w:right w:w="80" w:type="dxa"/>
            </w:tcMar>
            <w:vAlign w:val="center"/>
          </w:tcPr>
          <w:p w:rsidR="00765CDC" w:rsidRPr="00D37FA5" w:rsidRDefault="00765CDC" w:rsidP="00FC3C99">
            <w:r w:rsidRPr="00D37FA5">
              <w:t>Планшет калибровочный</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19</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Температурный диапазон инкубации, не уже от "Комнатная температура +4°C" до +65°C</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20</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 xml:space="preserve">Точность измерения поглощения при 450 </w:t>
            </w:r>
            <w:proofErr w:type="spellStart"/>
            <w:r w:rsidRPr="00D37FA5">
              <w:rPr>
                <w:szCs w:val="24"/>
              </w:rPr>
              <w:t>нм</w:t>
            </w:r>
            <w:proofErr w:type="spellEnd"/>
            <w:r w:rsidRPr="00D37FA5">
              <w:rPr>
                <w:szCs w:val="24"/>
              </w:rPr>
              <w:t xml:space="preserve"> 0.000-2.000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ОП</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xml:space="preserve">≤ </w:t>
            </w:r>
            <w:r w:rsidRPr="00D37FA5">
              <w:rPr>
                <w:szCs w:val="24"/>
              </w:rPr>
              <w:t>± 0,005</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21</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 xml:space="preserve">Точность измерения поглощения при 450 </w:t>
            </w:r>
            <w:proofErr w:type="spellStart"/>
            <w:r w:rsidRPr="00D37FA5">
              <w:rPr>
                <w:szCs w:val="24"/>
              </w:rPr>
              <w:t>нм</w:t>
            </w:r>
            <w:proofErr w:type="spellEnd"/>
            <w:r w:rsidRPr="00D37FA5">
              <w:rPr>
                <w:szCs w:val="24"/>
              </w:rPr>
              <w:t xml:space="preserve"> 2.000-3.000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xml:space="preserve">≤ </w:t>
            </w:r>
            <w:r w:rsidRPr="00D37FA5">
              <w:rPr>
                <w:szCs w:val="24"/>
              </w:rPr>
              <w:t>± 1</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22</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 xml:space="preserve">Точность измерения поглощения при 450 </w:t>
            </w:r>
            <w:proofErr w:type="spellStart"/>
            <w:r w:rsidRPr="00D37FA5">
              <w:rPr>
                <w:szCs w:val="24"/>
              </w:rPr>
              <w:t>нм</w:t>
            </w:r>
            <w:proofErr w:type="spellEnd"/>
            <w:r w:rsidRPr="00D37FA5">
              <w:rPr>
                <w:szCs w:val="24"/>
              </w:rPr>
              <w:t xml:space="preserve"> 3.000-4.000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 xml:space="preserve">≤ </w:t>
            </w:r>
            <w:r w:rsidRPr="00D37FA5">
              <w:rPr>
                <w:szCs w:val="24"/>
              </w:rPr>
              <w:t>± 1,5</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23</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Чувствительность</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ОП</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≥0,01</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24</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 xml:space="preserve">Воспроизводимость </w:t>
            </w:r>
            <w:r w:rsidRPr="00D37FA5">
              <w:t>в диапазоне измерения от 0 ОП до 3,0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≤0,3</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25</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 xml:space="preserve">Воспроизводимость </w:t>
            </w:r>
            <w:r w:rsidRPr="00D37FA5">
              <w:t>в диапазоне измерения от 3,0 ОП до 4,0 ОП</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≤1</w:t>
            </w:r>
          </w:p>
        </w:tc>
      </w:tr>
      <w:tr w:rsidR="00F05CFA" w:rsidRPr="00D37FA5" w:rsidTr="00765CDC">
        <w:trPr>
          <w:jc w:val="center"/>
        </w:trPr>
        <w:tc>
          <w:tcPr>
            <w:tcW w:w="727" w:type="dxa"/>
          </w:tcPr>
          <w:p w:rsidR="00765CDC" w:rsidRPr="00D37FA5" w:rsidRDefault="003042E5" w:rsidP="003042E5">
            <w:pPr>
              <w:spacing w:line="256" w:lineRule="auto"/>
              <w:jc w:val="center"/>
            </w:pPr>
            <w:r w:rsidRPr="00D37FA5">
              <w:t>26</w:t>
            </w:r>
          </w:p>
        </w:tc>
        <w:tc>
          <w:tcPr>
            <w:tcW w:w="5812" w:type="dxa"/>
            <w:tcMar>
              <w:top w:w="50" w:type="dxa"/>
              <w:left w:w="80" w:type="dxa"/>
              <w:bottom w:w="50" w:type="dxa"/>
              <w:right w:w="80" w:type="dxa"/>
            </w:tcMar>
            <w:vAlign w:val="center"/>
          </w:tcPr>
          <w:p w:rsidR="00765CDC" w:rsidRPr="00D37FA5" w:rsidRDefault="00765CDC" w:rsidP="00FC3C99">
            <w:pPr>
              <w:spacing w:line="256" w:lineRule="auto"/>
            </w:pPr>
            <w:r w:rsidRPr="00D37FA5">
              <w:t>Однородность температуры</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t>°C</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≤±0.5</w:t>
            </w:r>
          </w:p>
        </w:tc>
      </w:tr>
      <w:tr w:rsidR="00F05CFA" w:rsidRPr="00D37FA5" w:rsidTr="00765CDC">
        <w:trPr>
          <w:jc w:val="center"/>
        </w:trPr>
        <w:tc>
          <w:tcPr>
            <w:tcW w:w="727" w:type="dxa"/>
          </w:tcPr>
          <w:p w:rsidR="00765CDC" w:rsidRPr="00D37FA5" w:rsidRDefault="003042E5" w:rsidP="003042E5">
            <w:pPr>
              <w:jc w:val="center"/>
            </w:pPr>
            <w:r w:rsidRPr="00D37FA5">
              <w:lastRenderedPageBreak/>
              <w:t>27</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Точность поддержания температуры</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t>°C</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≤±0.5</w:t>
            </w:r>
          </w:p>
        </w:tc>
      </w:tr>
      <w:tr w:rsidR="00F05CFA" w:rsidRPr="00D37FA5" w:rsidTr="00765CDC">
        <w:trPr>
          <w:jc w:val="center"/>
        </w:trPr>
        <w:tc>
          <w:tcPr>
            <w:tcW w:w="727" w:type="dxa"/>
          </w:tcPr>
          <w:p w:rsidR="00765CDC" w:rsidRPr="00D37FA5" w:rsidRDefault="003042E5" w:rsidP="003042E5">
            <w:pPr>
              <w:jc w:val="center"/>
            </w:pPr>
            <w:r w:rsidRPr="00D37FA5">
              <w:t>28</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Количество протоколов в памяти прибора </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roofErr w:type="spellStart"/>
            <w:r w:rsidRPr="00D37FA5">
              <w:rPr>
                <w:szCs w:val="24"/>
              </w:rPr>
              <w:t>шт</w:t>
            </w:r>
            <w:proofErr w:type="spellEnd"/>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t>≥5000</w:t>
            </w:r>
          </w:p>
        </w:tc>
      </w:tr>
      <w:tr w:rsidR="00F05CFA" w:rsidRPr="00D37FA5" w:rsidTr="00765CDC">
        <w:trPr>
          <w:jc w:val="center"/>
        </w:trPr>
        <w:tc>
          <w:tcPr>
            <w:tcW w:w="727" w:type="dxa"/>
          </w:tcPr>
          <w:p w:rsidR="00765CDC" w:rsidRPr="00D37FA5" w:rsidRDefault="003042E5" w:rsidP="003042E5">
            <w:pPr>
              <w:jc w:val="center"/>
            </w:pPr>
            <w:r w:rsidRPr="00D37FA5">
              <w:t>29</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Внутреннее (бортовое) программное обеспечение на русском языке</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30</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Простая настройка параметров и выбор режимов работы</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31</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 xml:space="preserve">Возможность экспорта результатов измерения в файл формата «MS </w:t>
            </w:r>
            <w:proofErr w:type="spellStart"/>
            <w:r w:rsidRPr="00D37FA5">
              <w:t>Excel</w:t>
            </w:r>
            <w:proofErr w:type="spellEnd"/>
            <w:r w:rsidRPr="00D37FA5">
              <w:t>»</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spacing w:line="256" w:lineRule="auto"/>
              <w:jc w:val="center"/>
            </w:pPr>
            <w:r w:rsidRPr="00D37FA5">
              <w:t>32</w:t>
            </w:r>
          </w:p>
        </w:tc>
        <w:tc>
          <w:tcPr>
            <w:tcW w:w="5812" w:type="dxa"/>
            <w:tcMar>
              <w:top w:w="50" w:type="dxa"/>
              <w:left w:w="80" w:type="dxa"/>
              <w:bottom w:w="50" w:type="dxa"/>
              <w:right w:w="80" w:type="dxa"/>
            </w:tcMar>
            <w:vAlign w:val="center"/>
          </w:tcPr>
          <w:p w:rsidR="00765CDC" w:rsidRPr="00D37FA5" w:rsidRDefault="00765CDC" w:rsidP="00FC3C99">
            <w:pPr>
              <w:spacing w:line="256" w:lineRule="auto"/>
            </w:pPr>
            <w:r w:rsidRPr="00D37FA5">
              <w:t xml:space="preserve">Совместимость с операционными системами: </w:t>
            </w:r>
            <w:proofErr w:type="spellStart"/>
            <w:r w:rsidRPr="00D37FA5">
              <w:t>Windows</w:t>
            </w:r>
            <w:proofErr w:type="spellEnd"/>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33</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Питание 100–240В, 50–60 Гц, 2,3 A</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pPr>
            <w:r w:rsidRPr="00D37FA5">
              <w:t>34</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t>Возможность записи полученных результатов на USB-диск</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r w:rsidRPr="00D37FA5">
              <w:t>Соответствие</w:t>
            </w: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35</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Внешние габариты: длина</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мм</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 430</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36</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Внешние габариты: ширина</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мм</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 300</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37</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Внешние габариты: высота</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мм</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 232</w:t>
            </w:r>
          </w:p>
        </w:tc>
      </w:tr>
      <w:tr w:rsidR="00F05CFA" w:rsidRPr="00D37FA5" w:rsidTr="00765CDC">
        <w:trPr>
          <w:jc w:val="center"/>
        </w:trPr>
        <w:tc>
          <w:tcPr>
            <w:tcW w:w="727" w:type="dxa"/>
          </w:tcPr>
          <w:p w:rsidR="00765CDC" w:rsidRPr="00D37FA5" w:rsidRDefault="003042E5" w:rsidP="003042E5">
            <w:pPr>
              <w:jc w:val="center"/>
              <w:rPr>
                <w:szCs w:val="24"/>
              </w:rPr>
            </w:pPr>
            <w:r w:rsidRPr="00D37FA5">
              <w:rPr>
                <w:szCs w:val="24"/>
              </w:rPr>
              <w:t>38</w:t>
            </w:r>
          </w:p>
        </w:tc>
        <w:tc>
          <w:tcPr>
            <w:tcW w:w="5812" w:type="dxa"/>
            <w:tcMar>
              <w:top w:w="50" w:type="dxa"/>
              <w:left w:w="80" w:type="dxa"/>
              <w:bottom w:w="50" w:type="dxa"/>
              <w:right w:w="80" w:type="dxa"/>
            </w:tcMar>
            <w:vAlign w:val="center"/>
          </w:tcPr>
          <w:p w:rsidR="00765CDC" w:rsidRPr="00D37FA5" w:rsidRDefault="00765CDC" w:rsidP="00FC3C99">
            <w:pPr>
              <w:rPr>
                <w:szCs w:val="24"/>
              </w:rPr>
            </w:pPr>
            <w:r w:rsidRPr="00D37FA5">
              <w:rPr>
                <w:szCs w:val="24"/>
              </w:rPr>
              <w:t>Вес</w:t>
            </w:r>
          </w:p>
        </w:tc>
        <w:tc>
          <w:tcPr>
            <w:tcW w:w="992"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кг</w:t>
            </w:r>
          </w:p>
        </w:tc>
        <w:tc>
          <w:tcPr>
            <w:tcW w:w="1559" w:type="dxa"/>
            <w:tcMar>
              <w:top w:w="50" w:type="dxa"/>
              <w:left w:w="80" w:type="dxa"/>
              <w:bottom w:w="50" w:type="dxa"/>
              <w:right w:w="80" w:type="dxa"/>
            </w:tcMar>
            <w:vAlign w:val="center"/>
          </w:tcPr>
          <w:p w:rsidR="00765CDC" w:rsidRPr="00D37FA5" w:rsidRDefault="00765CDC" w:rsidP="00FC3C99">
            <w:pPr>
              <w:jc w:val="center"/>
              <w:rPr>
                <w:szCs w:val="24"/>
              </w:rPr>
            </w:pPr>
          </w:p>
        </w:tc>
        <w:tc>
          <w:tcPr>
            <w:tcW w:w="1717" w:type="dxa"/>
            <w:tcMar>
              <w:top w:w="50" w:type="dxa"/>
              <w:left w:w="80" w:type="dxa"/>
              <w:bottom w:w="50" w:type="dxa"/>
              <w:right w:w="80" w:type="dxa"/>
            </w:tcMar>
            <w:vAlign w:val="center"/>
          </w:tcPr>
          <w:p w:rsidR="00765CDC" w:rsidRPr="00D37FA5" w:rsidRDefault="00765CDC" w:rsidP="00FC3C99">
            <w:pPr>
              <w:jc w:val="center"/>
              <w:rPr>
                <w:szCs w:val="24"/>
              </w:rPr>
            </w:pPr>
            <w:r w:rsidRPr="00D37FA5">
              <w:rPr>
                <w:szCs w:val="24"/>
              </w:rPr>
              <w:t>≤ 10</w:t>
            </w:r>
          </w:p>
        </w:tc>
      </w:tr>
    </w:tbl>
    <w:p w:rsidR="005F404E" w:rsidRPr="00D37FA5" w:rsidRDefault="005F404E" w:rsidP="000868AC">
      <w:pPr>
        <w:jc w:val="center"/>
        <w:rPr>
          <w:b/>
          <w:sz w:val="23"/>
          <w:szCs w:val="23"/>
        </w:rPr>
      </w:pPr>
    </w:p>
    <w:p w:rsidR="00615953" w:rsidRPr="00D37FA5" w:rsidRDefault="00615953" w:rsidP="009A660C">
      <w:pPr>
        <w:spacing w:line="360" w:lineRule="auto"/>
        <w:jc w:val="both"/>
        <w:rPr>
          <w:sz w:val="23"/>
          <w:szCs w:val="23"/>
        </w:rPr>
      </w:pPr>
    </w:p>
    <w:p w:rsidR="00E148F6" w:rsidRPr="00D37FA5" w:rsidRDefault="00E148F6" w:rsidP="009A660C">
      <w:pPr>
        <w:spacing w:line="360" w:lineRule="auto"/>
        <w:ind w:firstLine="851"/>
        <w:jc w:val="both"/>
        <w:rPr>
          <w:sz w:val="23"/>
          <w:szCs w:val="23"/>
        </w:rPr>
      </w:pPr>
    </w:p>
    <w:tbl>
      <w:tblPr>
        <w:tblW w:w="9661" w:type="dxa"/>
        <w:tblInd w:w="675" w:type="dxa"/>
        <w:tblLook w:val="0000" w:firstRow="0" w:lastRow="0" w:firstColumn="0" w:lastColumn="0" w:noHBand="0" w:noVBand="0"/>
      </w:tblPr>
      <w:tblGrid>
        <w:gridCol w:w="5103"/>
        <w:gridCol w:w="4558"/>
      </w:tblGrid>
      <w:tr w:rsidR="00F05CFA" w:rsidRPr="00D37FA5" w:rsidTr="001A44ED">
        <w:trPr>
          <w:trHeight w:val="285"/>
        </w:trPr>
        <w:tc>
          <w:tcPr>
            <w:tcW w:w="5103" w:type="dxa"/>
          </w:tcPr>
          <w:p w:rsidR="00D4026B" w:rsidRPr="00D37FA5" w:rsidRDefault="00D4026B" w:rsidP="001A44ED">
            <w:pPr>
              <w:jc w:val="center"/>
              <w:rPr>
                <w:sz w:val="23"/>
                <w:szCs w:val="23"/>
              </w:rPr>
            </w:pPr>
            <w:r w:rsidRPr="00D37FA5">
              <w:rPr>
                <w:sz w:val="23"/>
                <w:szCs w:val="23"/>
              </w:rPr>
              <w:t>Со стороны  Заказчика:</w:t>
            </w:r>
          </w:p>
        </w:tc>
        <w:tc>
          <w:tcPr>
            <w:tcW w:w="4558" w:type="dxa"/>
          </w:tcPr>
          <w:p w:rsidR="00D4026B" w:rsidRPr="00D37FA5" w:rsidRDefault="00D4026B" w:rsidP="001A44ED">
            <w:pPr>
              <w:jc w:val="center"/>
              <w:rPr>
                <w:sz w:val="23"/>
                <w:szCs w:val="23"/>
              </w:rPr>
            </w:pPr>
            <w:r w:rsidRPr="00D37FA5">
              <w:rPr>
                <w:sz w:val="23"/>
                <w:szCs w:val="23"/>
              </w:rPr>
              <w:t>Со стороны  Поставщика:</w:t>
            </w:r>
          </w:p>
        </w:tc>
      </w:tr>
      <w:tr w:rsidR="00D4026B" w:rsidRPr="00F05CFA" w:rsidTr="001A44ED">
        <w:trPr>
          <w:trHeight w:val="1019"/>
        </w:trPr>
        <w:tc>
          <w:tcPr>
            <w:tcW w:w="5103" w:type="dxa"/>
          </w:tcPr>
          <w:p w:rsidR="00D4026B" w:rsidRPr="00D37FA5" w:rsidRDefault="00D4026B" w:rsidP="001A44ED">
            <w:pPr>
              <w:jc w:val="center"/>
              <w:rPr>
                <w:sz w:val="23"/>
                <w:szCs w:val="23"/>
              </w:rPr>
            </w:pPr>
            <w:r w:rsidRPr="00D37FA5">
              <w:rPr>
                <w:sz w:val="23"/>
                <w:szCs w:val="23"/>
              </w:rPr>
              <w:t>Директор</w:t>
            </w:r>
          </w:p>
          <w:p w:rsidR="00D4026B" w:rsidRPr="00D37FA5" w:rsidRDefault="00D4026B" w:rsidP="001A44ED">
            <w:pPr>
              <w:jc w:val="center"/>
              <w:rPr>
                <w:sz w:val="23"/>
                <w:szCs w:val="23"/>
              </w:rPr>
            </w:pPr>
          </w:p>
          <w:p w:rsidR="00D4026B" w:rsidRPr="00D37FA5" w:rsidRDefault="00D4026B" w:rsidP="00D4026B">
            <w:pPr>
              <w:jc w:val="center"/>
              <w:rPr>
                <w:sz w:val="23"/>
                <w:szCs w:val="23"/>
              </w:rPr>
            </w:pPr>
            <w:r w:rsidRPr="00D37FA5">
              <w:rPr>
                <w:sz w:val="23"/>
                <w:szCs w:val="23"/>
              </w:rPr>
              <w:t>______________ / М.Ю. Щелканов /</w:t>
            </w:r>
          </w:p>
        </w:tc>
        <w:tc>
          <w:tcPr>
            <w:tcW w:w="4558" w:type="dxa"/>
          </w:tcPr>
          <w:p w:rsidR="00D4026B" w:rsidRPr="00D37FA5" w:rsidRDefault="00D4026B" w:rsidP="001A44ED">
            <w:pPr>
              <w:jc w:val="center"/>
              <w:rPr>
                <w:sz w:val="23"/>
                <w:szCs w:val="23"/>
              </w:rPr>
            </w:pPr>
          </w:p>
          <w:p w:rsidR="00D4026B" w:rsidRPr="00F05CFA" w:rsidRDefault="00C35B87" w:rsidP="007A7CAB">
            <w:pPr>
              <w:jc w:val="center"/>
              <w:rPr>
                <w:sz w:val="23"/>
                <w:szCs w:val="23"/>
              </w:rPr>
            </w:pPr>
            <w:r w:rsidRPr="00D37FA5">
              <w:rPr>
                <w:sz w:val="23"/>
                <w:szCs w:val="23"/>
              </w:rPr>
              <w:t xml:space="preserve">______________/ </w:t>
            </w:r>
            <w:r w:rsidR="00D4026B" w:rsidRPr="00D37FA5">
              <w:rPr>
                <w:sz w:val="23"/>
                <w:szCs w:val="23"/>
              </w:rPr>
              <w:t>/</w:t>
            </w:r>
          </w:p>
        </w:tc>
      </w:tr>
    </w:tbl>
    <w:p w:rsidR="009A660C" w:rsidRPr="00F05CFA" w:rsidRDefault="009A660C" w:rsidP="00D4026B">
      <w:pPr>
        <w:spacing w:line="360" w:lineRule="auto"/>
        <w:ind w:firstLine="851"/>
        <w:jc w:val="both"/>
        <w:rPr>
          <w:sz w:val="23"/>
          <w:szCs w:val="23"/>
        </w:rPr>
      </w:pPr>
    </w:p>
    <w:sectPr w:rsidR="009A660C" w:rsidRPr="00F05CFA" w:rsidSect="00AC145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6D406CE5"/>
    <w:multiLevelType w:val="hybridMultilevel"/>
    <w:tmpl w:val="A57E4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AB"/>
    <w:rsid w:val="0007355A"/>
    <w:rsid w:val="000868AC"/>
    <w:rsid w:val="00093852"/>
    <w:rsid w:val="0010044A"/>
    <w:rsid w:val="00163EDE"/>
    <w:rsid w:val="00197AF6"/>
    <w:rsid w:val="002073ED"/>
    <w:rsid w:val="00277155"/>
    <w:rsid w:val="00294CA4"/>
    <w:rsid w:val="003042E5"/>
    <w:rsid w:val="00314194"/>
    <w:rsid w:val="00331900"/>
    <w:rsid w:val="003609AB"/>
    <w:rsid w:val="00373852"/>
    <w:rsid w:val="003A5B96"/>
    <w:rsid w:val="003E1FFE"/>
    <w:rsid w:val="0040601C"/>
    <w:rsid w:val="004E39AB"/>
    <w:rsid w:val="00552B29"/>
    <w:rsid w:val="005731FD"/>
    <w:rsid w:val="00596156"/>
    <w:rsid w:val="005E76E0"/>
    <w:rsid w:val="005E7C6C"/>
    <w:rsid w:val="005F404E"/>
    <w:rsid w:val="00612D51"/>
    <w:rsid w:val="00615953"/>
    <w:rsid w:val="00625233"/>
    <w:rsid w:val="006322DA"/>
    <w:rsid w:val="006B2F60"/>
    <w:rsid w:val="00734126"/>
    <w:rsid w:val="007548F5"/>
    <w:rsid w:val="00765CDC"/>
    <w:rsid w:val="00776730"/>
    <w:rsid w:val="007932B4"/>
    <w:rsid w:val="007A7CAB"/>
    <w:rsid w:val="007C0042"/>
    <w:rsid w:val="007C117C"/>
    <w:rsid w:val="007D0B94"/>
    <w:rsid w:val="008320B3"/>
    <w:rsid w:val="009A660C"/>
    <w:rsid w:val="00A15BE0"/>
    <w:rsid w:val="00A22958"/>
    <w:rsid w:val="00AB2945"/>
    <w:rsid w:val="00AC1457"/>
    <w:rsid w:val="00AE5E32"/>
    <w:rsid w:val="00B41B14"/>
    <w:rsid w:val="00BC47D8"/>
    <w:rsid w:val="00BE1B4D"/>
    <w:rsid w:val="00BE77A4"/>
    <w:rsid w:val="00C251F6"/>
    <w:rsid w:val="00C34783"/>
    <w:rsid w:val="00C35B87"/>
    <w:rsid w:val="00C62405"/>
    <w:rsid w:val="00C76155"/>
    <w:rsid w:val="00D37FA5"/>
    <w:rsid w:val="00D4026B"/>
    <w:rsid w:val="00E148F6"/>
    <w:rsid w:val="00E642AC"/>
    <w:rsid w:val="00ED6F37"/>
    <w:rsid w:val="00EE3102"/>
    <w:rsid w:val="00F031DE"/>
    <w:rsid w:val="00F05CFA"/>
    <w:rsid w:val="00F52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68AC"/>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8AC"/>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0868AC"/>
    <w:pPr>
      <w:jc w:val="center"/>
    </w:pPr>
    <w:rPr>
      <w:b/>
      <w:sz w:val="26"/>
    </w:rPr>
  </w:style>
  <w:style w:type="character" w:customStyle="1" w:styleId="a4">
    <w:name w:val="Основной текст Знак"/>
    <w:basedOn w:val="a0"/>
    <w:link w:val="a3"/>
    <w:uiPriority w:val="99"/>
    <w:semiHidden/>
    <w:rsid w:val="000868AC"/>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0868AC"/>
    <w:pPr>
      <w:ind w:left="720"/>
      <w:contextualSpacing/>
    </w:pPr>
  </w:style>
  <w:style w:type="paragraph" w:customStyle="1" w:styleId="ConsNonformat">
    <w:name w:val="ConsNonformat"/>
    <w:uiPriority w:val="99"/>
    <w:rsid w:val="000868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0868AC"/>
    <w:rPr>
      <w:rFonts w:ascii="Arial Unicode MS" w:eastAsia="Arial Unicode MS" w:cs="Arial Unicode MS"/>
      <w:sz w:val="20"/>
      <w:szCs w:val="20"/>
    </w:rPr>
  </w:style>
  <w:style w:type="character" w:customStyle="1" w:styleId="a7">
    <w:name w:val="Без интервала Знак"/>
    <w:link w:val="a8"/>
    <w:uiPriority w:val="1"/>
    <w:locked/>
    <w:rsid w:val="000868AC"/>
  </w:style>
  <w:style w:type="paragraph" w:styleId="a8">
    <w:name w:val="No Spacing"/>
    <w:link w:val="a7"/>
    <w:uiPriority w:val="1"/>
    <w:qFormat/>
    <w:rsid w:val="000868AC"/>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0868AC"/>
    <w:rPr>
      <w:rFonts w:ascii="Times New Roman" w:eastAsia="Times New Roman" w:hAnsi="Times New Roman" w:cs="Times New Roman"/>
      <w:sz w:val="20"/>
      <w:szCs w:val="20"/>
    </w:rPr>
  </w:style>
  <w:style w:type="table" w:styleId="a9">
    <w:name w:val="Table Grid"/>
    <w:basedOn w:val="a1"/>
    <w:uiPriority w:val="59"/>
    <w:rsid w:val="002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76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68AC"/>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8AC"/>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0868AC"/>
    <w:pPr>
      <w:jc w:val="center"/>
    </w:pPr>
    <w:rPr>
      <w:b/>
      <w:sz w:val="26"/>
    </w:rPr>
  </w:style>
  <w:style w:type="character" w:customStyle="1" w:styleId="a4">
    <w:name w:val="Основной текст Знак"/>
    <w:basedOn w:val="a0"/>
    <w:link w:val="a3"/>
    <w:uiPriority w:val="99"/>
    <w:semiHidden/>
    <w:rsid w:val="000868AC"/>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0868AC"/>
    <w:pPr>
      <w:ind w:left="720"/>
      <w:contextualSpacing/>
    </w:pPr>
  </w:style>
  <w:style w:type="paragraph" w:customStyle="1" w:styleId="ConsNonformat">
    <w:name w:val="ConsNonformat"/>
    <w:uiPriority w:val="99"/>
    <w:rsid w:val="000868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0868AC"/>
    <w:rPr>
      <w:rFonts w:ascii="Arial Unicode MS" w:eastAsia="Arial Unicode MS" w:cs="Arial Unicode MS"/>
      <w:sz w:val="20"/>
      <w:szCs w:val="20"/>
    </w:rPr>
  </w:style>
  <w:style w:type="character" w:customStyle="1" w:styleId="a7">
    <w:name w:val="Без интервала Знак"/>
    <w:link w:val="a8"/>
    <w:uiPriority w:val="1"/>
    <w:locked/>
    <w:rsid w:val="000868AC"/>
  </w:style>
  <w:style w:type="paragraph" w:styleId="a8">
    <w:name w:val="No Spacing"/>
    <w:link w:val="a7"/>
    <w:uiPriority w:val="1"/>
    <w:qFormat/>
    <w:rsid w:val="000868AC"/>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0868AC"/>
    <w:rPr>
      <w:rFonts w:ascii="Times New Roman" w:eastAsia="Times New Roman" w:hAnsi="Times New Roman" w:cs="Times New Roman"/>
      <w:sz w:val="20"/>
      <w:szCs w:val="20"/>
    </w:rPr>
  </w:style>
  <w:style w:type="table" w:styleId="a9">
    <w:name w:val="Table Grid"/>
    <w:basedOn w:val="a1"/>
    <w:uiPriority w:val="59"/>
    <w:rsid w:val="002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76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7994">
      <w:bodyDiv w:val="1"/>
      <w:marLeft w:val="0"/>
      <w:marRight w:val="0"/>
      <w:marTop w:val="0"/>
      <w:marBottom w:val="0"/>
      <w:divBdr>
        <w:top w:val="none" w:sz="0" w:space="0" w:color="auto"/>
        <w:left w:val="none" w:sz="0" w:space="0" w:color="auto"/>
        <w:bottom w:val="none" w:sz="0" w:space="0" w:color="auto"/>
        <w:right w:val="none" w:sz="0" w:space="0" w:color="auto"/>
      </w:divBdr>
    </w:div>
    <w:div w:id="1259102172">
      <w:bodyDiv w:val="1"/>
      <w:marLeft w:val="0"/>
      <w:marRight w:val="0"/>
      <w:marTop w:val="0"/>
      <w:marBottom w:val="0"/>
      <w:divBdr>
        <w:top w:val="none" w:sz="0" w:space="0" w:color="auto"/>
        <w:left w:val="none" w:sz="0" w:space="0" w:color="auto"/>
        <w:bottom w:val="none" w:sz="0" w:space="0" w:color="auto"/>
        <w:right w:val="none" w:sz="0" w:space="0" w:color="auto"/>
      </w:divBdr>
    </w:div>
    <w:div w:id="1298608131">
      <w:bodyDiv w:val="1"/>
      <w:marLeft w:val="0"/>
      <w:marRight w:val="0"/>
      <w:marTop w:val="0"/>
      <w:marBottom w:val="0"/>
      <w:divBdr>
        <w:top w:val="none" w:sz="0" w:space="0" w:color="auto"/>
        <w:left w:val="none" w:sz="0" w:space="0" w:color="auto"/>
        <w:bottom w:val="none" w:sz="0" w:space="0" w:color="auto"/>
        <w:right w:val="none" w:sz="0" w:space="0" w:color="auto"/>
      </w:divBdr>
    </w:div>
    <w:div w:id="14135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3446</Words>
  <Characters>19644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Зафар</dc:creator>
  <cp:lastModifiedBy>user</cp:lastModifiedBy>
  <cp:revision>11</cp:revision>
  <dcterms:created xsi:type="dcterms:W3CDTF">2026-05-14T05:58:00Z</dcterms:created>
  <dcterms:modified xsi:type="dcterms:W3CDTF">2026-05-19T23:34:00Z</dcterms:modified>
</cp:coreProperties>
</file>