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8183D" w14:textId="7C8F557A" w:rsidR="00D46CF6" w:rsidRPr="00D7557A" w:rsidRDefault="009F04E1">
      <w:pPr>
        <w:spacing w:beforeAutospacing="1" w:afterAutospacing="1" w:line="240" w:lineRule="auto"/>
        <w:jc w:val="center"/>
        <w:outlineLvl w:val="0"/>
        <w:rPr>
          <w:rFonts w:ascii="Times New Roman" w:hAnsi="Times New Roman"/>
          <w:b/>
          <w:color w:val="auto"/>
          <w:sz w:val="28"/>
        </w:rPr>
      </w:pPr>
      <w:r w:rsidRPr="00D7557A">
        <w:rPr>
          <w:rFonts w:ascii="Times New Roman" w:hAnsi="Times New Roman"/>
          <w:b/>
          <w:color w:val="auto"/>
          <w:sz w:val="28"/>
        </w:rPr>
        <w:t xml:space="preserve">Техническое задание </w:t>
      </w:r>
    </w:p>
    <w:p w14:paraId="07BB9F95" w14:textId="27035C74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b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1. Общие сведения</w:t>
      </w:r>
    </w:p>
    <w:p w14:paraId="43E5C12A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60303E46" w14:textId="7C3AC6FB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Предмет договора:</w:t>
      </w:r>
      <w:r w:rsidRPr="00D7557A">
        <w:rPr>
          <w:rFonts w:ascii="Times New Roman" w:hAnsi="Times New Roman"/>
          <w:color w:val="auto"/>
          <w:sz w:val="24"/>
        </w:rPr>
        <w:t xml:space="preserve"> </w:t>
      </w:r>
      <w:r w:rsidR="000F4CBE">
        <w:rPr>
          <w:rFonts w:ascii="Times New Roman" w:hAnsi="Times New Roman"/>
          <w:color w:val="auto"/>
          <w:sz w:val="24"/>
        </w:rPr>
        <w:t>Услуги по предоставлению, транспортировке, монтажу и демонтажу сценического подиума с лестницей, а также услуги технических специалистов</w:t>
      </w:r>
    </w:p>
    <w:p w14:paraId="35D1F15A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Срок аренды:</w:t>
      </w:r>
      <w:r w:rsidRPr="00D7557A">
        <w:rPr>
          <w:rFonts w:ascii="Times New Roman" w:hAnsi="Times New Roman"/>
          <w:color w:val="auto"/>
          <w:sz w:val="24"/>
        </w:rPr>
        <w:t xml:space="preserve"> 1 (один) календарный день – 15.09.2026</w:t>
      </w:r>
    </w:p>
    <w:p w14:paraId="5224CF14" w14:textId="36D4195C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Место проведения:</w:t>
      </w:r>
      <w:r w:rsidRPr="00D7557A">
        <w:rPr>
          <w:rFonts w:ascii="Times New Roman" w:hAnsi="Times New Roman"/>
          <w:color w:val="auto"/>
          <w:sz w:val="24"/>
        </w:rPr>
        <w:t xml:space="preserve"> стадион Рязань-Арена</w:t>
      </w:r>
      <w:r w:rsidR="00EC7C84">
        <w:rPr>
          <w:rFonts w:ascii="Times New Roman" w:hAnsi="Times New Roman"/>
          <w:color w:val="auto"/>
          <w:sz w:val="24"/>
        </w:rPr>
        <w:t xml:space="preserve">, </w:t>
      </w:r>
      <w:proofErr w:type="spellStart"/>
      <w:r w:rsidR="00EC7C84">
        <w:rPr>
          <w:rFonts w:ascii="Times New Roman" w:hAnsi="Times New Roman"/>
          <w:color w:val="auto"/>
          <w:sz w:val="24"/>
        </w:rPr>
        <w:t>ул.Маяковского</w:t>
      </w:r>
      <w:proofErr w:type="spellEnd"/>
      <w:r w:rsidR="00EC7C84">
        <w:rPr>
          <w:rFonts w:ascii="Times New Roman" w:hAnsi="Times New Roman"/>
          <w:color w:val="auto"/>
          <w:sz w:val="24"/>
        </w:rPr>
        <w:t xml:space="preserve"> 46</w:t>
      </w:r>
    </w:p>
    <w:p w14:paraId="67E76C49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34322DEC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2</w:t>
      </w:r>
      <w:r w:rsidRPr="00D7557A">
        <w:rPr>
          <w:rFonts w:ascii="Times New Roman" w:hAnsi="Times New Roman"/>
          <w:color w:val="auto"/>
          <w:sz w:val="24"/>
        </w:rPr>
        <w:t>.</w:t>
      </w:r>
      <w:r w:rsidRPr="00D7557A">
        <w:rPr>
          <w:rFonts w:ascii="Times New Roman" w:hAnsi="Times New Roman"/>
          <w:b/>
          <w:color w:val="auto"/>
          <w:sz w:val="24"/>
        </w:rPr>
        <w:t>Технические требования к оборудованию</w:t>
      </w:r>
    </w:p>
    <w:p w14:paraId="041884D0" w14:textId="77777777" w:rsidR="00D46CF6" w:rsidRPr="00D7557A" w:rsidRDefault="00D46CF6">
      <w:pPr>
        <w:pStyle w:val="a4"/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</w:p>
    <w:p w14:paraId="3BABDD61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b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 xml:space="preserve">2.1. Звуковое оборудование (FOH / Front </w:t>
      </w:r>
      <w:proofErr w:type="spellStart"/>
      <w:r w:rsidRPr="00D7557A">
        <w:rPr>
          <w:rFonts w:ascii="Times New Roman" w:hAnsi="Times New Roman"/>
          <w:b/>
          <w:color w:val="auto"/>
          <w:sz w:val="24"/>
        </w:rPr>
        <w:t>of</w:t>
      </w:r>
      <w:proofErr w:type="spellEnd"/>
      <w:r w:rsidRPr="00D7557A">
        <w:rPr>
          <w:rFonts w:ascii="Times New Roman" w:hAnsi="Times New Roman"/>
          <w:b/>
          <w:color w:val="auto"/>
          <w:sz w:val="24"/>
        </w:rPr>
        <w:t xml:space="preserve"> House)</w:t>
      </w:r>
    </w:p>
    <w:p w14:paraId="4B58A675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22F6B6A4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Линейный массив:</w:t>
      </w:r>
      <w:r w:rsidRPr="00D7557A">
        <w:rPr>
          <w:rFonts w:ascii="Times New Roman" w:hAnsi="Times New Roman"/>
          <w:color w:val="auto"/>
          <w:sz w:val="24"/>
        </w:rPr>
        <w:t xml:space="preserve"> 3-полосный элемент линейного массива — 8 шт.</w:t>
      </w:r>
    </w:p>
    <w:p w14:paraId="6DC966C6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Элементы должны быть от одного производителя и одной серии. Суммарная пиковая мощность — не менее 18 кВт. Вариант установки: в полёт (подвес), </w:t>
      </w:r>
      <w:proofErr w:type="spellStart"/>
      <w:r w:rsidRPr="00D7557A">
        <w:rPr>
          <w:rFonts w:ascii="Times New Roman" w:hAnsi="Times New Roman"/>
          <w:color w:val="auto"/>
          <w:sz w:val="24"/>
        </w:rPr>
        <w:t>граундстек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или на стойку. </w:t>
      </w:r>
    </w:p>
    <w:p w14:paraId="6278B8C8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Частотный диапазон: не уже 42 Гц – 20 кГц; </w:t>
      </w:r>
    </w:p>
    <w:p w14:paraId="4C55BE6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Максимальный SPL: не менее 143 дБ; </w:t>
      </w:r>
    </w:p>
    <w:p w14:paraId="10773969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Направленность: горизонтальная — 70° / 90° / 110° (симметричная или асимметричная), вертикальная — зависит от конфигурации; </w:t>
      </w:r>
    </w:p>
    <w:p w14:paraId="48E23481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Подключение: разъёмы </w:t>
      </w:r>
      <w:proofErr w:type="spellStart"/>
      <w:r w:rsidRPr="00D7557A">
        <w:rPr>
          <w:rFonts w:ascii="Times New Roman" w:hAnsi="Times New Roman"/>
          <w:color w:val="auto"/>
          <w:sz w:val="24"/>
        </w:rPr>
        <w:t>speakON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(NL4), параллельное подключение элементов без потери импеданса; </w:t>
      </w:r>
    </w:p>
    <w:p w14:paraId="29051E05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Защита: класс IP55 (влагозащищённые динамики); </w:t>
      </w:r>
    </w:p>
    <w:p w14:paraId="445D6189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Корпус: высококачественная фанера из балтийской берёзы с полимерным покрытием, не боящимся солнца, ветра и пыли.</w:t>
      </w:r>
    </w:p>
    <w:p w14:paraId="4D7395B1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664287BB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Сабвуферы:</w:t>
      </w:r>
      <w:r w:rsidRPr="00D7557A">
        <w:rPr>
          <w:rFonts w:ascii="Times New Roman" w:hAnsi="Times New Roman"/>
          <w:color w:val="auto"/>
          <w:sz w:val="24"/>
        </w:rPr>
        <w:t xml:space="preserve"> 4 шт.</w:t>
      </w:r>
    </w:p>
    <w:p w14:paraId="215E085F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Активные или пассивные сабвуферы, предназначенные для работы в паре с указанным линейным массивом. Наличие встроенного DSP-процессора. </w:t>
      </w:r>
    </w:p>
    <w:p w14:paraId="2F73EC85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Частотный диапазон: от 32 Гц до точки раздела с верхними элементами линейного массива; </w:t>
      </w:r>
    </w:p>
    <w:p w14:paraId="0D457326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Максимальный SPL: не менее 136 дБ; </w:t>
      </w:r>
    </w:p>
    <w:p w14:paraId="3C5F4190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Мощность: не менее 1600 Вт на элемент; </w:t>
      </w:r>
    </w:p>
    <w:p w14:paraId="2D62F31A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Конструкция: </w:t>
      </w:r>
      <w:proofErr w:type="spellStart"/>
      <w:r w:rsidRPr="00D7557A">
        <w:rPr>
          <w:rFonts w:ascii="Times New Roman" w:hAnsi="Times New Roman"/>
          <w:color w:val="auto"/>
          <w:sz w:val="24"/>
        </w:rPr>
        <w:t>фазоинверторного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типа, с возможностью выбора фазовой настройки (0°/180°) на каждом элементе.</w:t>
      </w:r>
    </w:p>
    <w:p w14:paraId="4814F25A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66A25297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Усилители мощности (</w:t>
      </w:r>
      <w:proofErr w:type="spellStart"/>
      <w:r w:rsidRPr="00D7557A">
        <w:rPr>
          <w:rFonts w:ascii="Times New Roman" w:hAnsi="Times New Roman"/>
          <w:b/>
          <w:color w:val="auto"/>
          <w:sz w:val="24"/>
        </w:rPr>
        <w:t>AmpRack</w:t>
      </w:r>
      <w:proofErr w:type="spellEnd"/>
      <w:r w:rsidRPr="00D7557A">
        <w:rPr>
          <w:rFonts w:ascii="Times New Roman" w:hAnsi="Times New Roman"/>
          <w:b/>
          <w:color w:val="auto"/>
          <w:sz w:val="24"/>
        </w:rPr>
        <w:t>):</w:t>
      </w:r>
      <w:r w:rsidRPr="00D7557A">
        <w:rPr>
          <w:rFonts w:ascii="Times New Roman" w:hAnsi="Times New Roman"/>
          <w:color w:val="auto"/>
          <w:sz w:val="24"/>
        </w:rPr>
        <w:t xml:space="preserve"> 2 шт.</w:t>
      </w:r>
    </w:p>
    <w:p w14:paraId="7C475A45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Двухканальные усилители класса D/</w:t>
      </w:r>
      <w:proofErr w:type="spellStart"/>
      <w:r w:rsidRPr="00D7557A">
        <w:rPr>
          <w:rFonts w:ascii="Times New Roman" w:hAnsi="Times New Roman"/>
          <w:color w:val="auto"/>
          <w:sz w:val="24"/>
        </w:rPr>
        <w:t>Digi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, с активным охлаждением и защитой от КЗ/перегрева. Мощность должна соответствовать заявленным акустическим системам с запасом 20%. Входная чувствительность — не менее 0,775 В (0 </w:t>
      </w:r>
      <w:proofErr w:type="spellStart"/>
      <w:r w:rsidRPr="00D7557A">
        <w:rPr>
          <w:rFonts w:ascii="Times New Roman" w:hAnsi="Times New Roman"/>
          <w:color w:val="auto"/>
          <w:sz w:val="24"/>
        </w:rPr>
        <w:t>dBu</w:t>
      </w:r>
      <w:proofErr w:type="spellEnd"/>
      <w:r w:rsidRPr="00D7557A">
        <w:rPr>
          <w:rFonts w:ascii="Times New Roman" w:hAnsi="Times New Roman"/>
          <w:color w:val="auto"/>
          <w:sz w:val="24"/>
        </w:rPr>
        <w:t>), соотношение сигнал/шум — не хуже 100 дБ. Управление осуществляется через встроенный Ethernet-порт по протоколу TCP/IP.</w:t>
      </w:r>
    </w:p>
    <w:p w14:paraId="585F0D17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5186074B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Мониторы (напольные/боковые):</w:t>
      </w:r>
      <w:r w:rsidRPr="00D7557A">
        <w:rPr>
          <w:rFonts w:ascii="Times New Roman" w:hAnsi="Times New Roman"/>
          <w:color w:val="auto"/>
          <w:sz w:val="24"/>
        </w:rPr>
        <w:t xml:space="preserve"> 3 шт.</w:t>
      </w:r>
    </w:p>
    <w:p w14:paraId="1DD29D38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Активные сценические мониторы с углом раскрытия, обеспечивающим покрытие сцены. </w:t>
      </w:r>
    </w:p>
    <w:p w14:paraId="33E62012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Тип: активная акустическая система, двухполосная (</w:t>
      </w:r>
      <w:proofErr w:type="spellStart"/>
      <w:r w:rsidRPr="00D7557A">
        <w:rPr>
          <w:rFonts w:ascii="Times New Roman" w:hAnsi="Times New Roman"/>
          <w:color w:val="auto"/>
          <w:sz w:val="24"/>
        </w:rPr>
        <w:t>Bi-amp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), с </w:t>
      </w:r>
      <w:proofErr w:type="spellStart"/>
      <w:r w:rsidRPr="00D7557A">
        <w:rPr>
          <w:rFonts w:ascii="Times New Roman" w:hAnsi="Times New Roman"/>
          <w:color w:val="auto"/>
          <w:sz w:val="24"/>
        </w:rPr>
        <w:t>фазоинверторным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акустическим оформлением;</w:t>
      </w:r>
    </w:p>
    <w:p w14:paraId="1E692B42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Мощность: 1400 Вт (пиковая), 700 Вт (RMS), усилитель класса D;</w:t>
      </w:r>
    </w:p>
    <w:p w14:paraId="43AD38DA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Динамики: НЧ-динамик 15" (38 см) с 2,5" звуковой катушкой, ВЧ-компрессионный драйвер 1" с 1,75" звуковой катушкой;</w:t>
      </w:r>
    </w:p>
    <w:p w14:paraId="676ACDAC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lastRenderedPageBreak/>
        <w:t>Частотный диапазон: 45 Гц – 20 кГц;</w:t>
      </w:r>
    </w:p>
    <w:p w14:paraId="07612E75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Максимальное звуковое давление (SPL): не менее 130 дБ;</w:t>
      </w:r>
    </w:p>
    <w:p w14:paraId="363FF25B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Угол раскрытия: 90° × 60° (постоянной направленности);</w:t>
      </w:r>
    </w:p>
    <w:p w14:paraId="4E415B35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Обработка: встроенный DSP с управлением кроссовером (частота раздела 1600 Гц), </w:t>
      </w:r>
      <w:proofErr w:type="spellStart"/>
      <w:r w:rsidRPr="00D7557A">
        <w:rPr>
          <w:rFonts w:ascii="Times New Roman" w:hAnsi="Times New Roman"/>
          <w:color w:val="auto"/>
          <w:sz w:val="24"/>
        </w:rPr>
        <w:t>эквализацией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, фазовым контролем, Soft </w:t>
      </w:r>
      <w:proofErr w:type="spellStart"/>
      <w:r w:rsidRPr="00D7557A">
        <w:rPr>
          <w:rFonts w:ascii="Times New Roman" w:hAnsi="Times New Roman"/>
          <w:color w:val="auto"/>
          <w:sz w:val="24"/>
        </w:rPr>
        <w:t>Limiter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, защитой динамиков, технологиями </w:t>
      </w:r>
      <w:proofErr w:type="spellStart"/>
      <w:r w:rsidRPr="00D7557A">
        <w:rPr>
          <w:rFonts w:ascii="Times New Roman" w:hAnsi="Times New Roman"/>
          <w:color w:val="auto"/>
          <w:sz w:val="24"/>
        </w:rPr>
        <w:t>FiRPHASE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и XBOOST;</w:t>
      </w:r>
    </w:p>
    <w:p w14:paraId="3C54EB67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Подключение: входы XLR и Jack (балансные/небалансные), выход XLR (Link), переключатель MIC/Line, регулировка уровня и </w:t>
      </w:r>
      <w:proofErr w:type="spellStart"/>
      <w:r w:rsidRPr="00D7557A">
        <w:rPr>
          <w:rFonts w:ascii="Times New Roman" w:hAnsi="Times New Roman"/>
          <w:color w:val="auto"/>
          <w:sz w:val="24"/>
        </w:rPr>
        <w:t>Boost</w:t>
      </w:r>
      <w:proofErr w:type="spellEnd"/>
      <w:r w:rsidRPr="00D7557A">
        <w:rPr>
          <w:rFonts w:ascii="Times New Roman" w:hAnsi="Times New Roman"/>
          <w:color w:val="auto"/>
          <w:sz w:val="24"/>
        </w:rPr>
        <w:t>;</w:t>
      </w:r>
    </w:p>
    <w:p w14:paraId="20D79E85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Корпус: из композитного материала (PP </w:t>
      </w:r>
      <w:proofErr w:type="spellStart"/>
      <w:r w:rsidRPr="00D7557A">
        <w:rPr>
          <w:rFonts w:ascii="Times New Roman" w:hAnsi="Times New Roman"/>
          <w:color w:val="auto"/>
          <w:sz w:val="24"/>
        </w:rPr>
        <w:t>Composite</w:t>
      </w:r>
      <w:proofErr w:type="spellEnd"/>
      <w:r w:rsidRPr="00D7557A">
        <w:rPr>
          <w:rFonts w:ascii="Times New Roman" w:hAnsi="Times New Roman"/>
          <w:color w:val="auto"/>
          <w:sz w:val="24"/>
        </w:rPr>
        <w:t>), 2 точки подвеса M10, с возможностью установки на стойку, ручки для переноски.</w:t>
      </w:r>
    </w:p>
    <w:p w14:paraId="0AE90E77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Питание: универсальный блок питания 100–240 В, 50/60 Гц.</w:t>
      </w:r>
    </w:p>
    <w:p w14:paraId="29DC9CE9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0F7C5A88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Микшерный пульт:</w:t>
      </w:r>
      <w:r w:rsidRPr="00D7557A">
        <w:rPr>
          <w:rFonts w:ascii="Times New Roman" w:hAnsi="Times New Roman"/>
          <w:color w:val="auto"/>
          <w:sz w:val="24"/>
        </w:rPr>
        <w:t xml:space="preserve"> 1 шт.</w:t>
      </w:r>
    </w:p>
    <w:p w14:paraId="30A9DC9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Цифровой микшерный пульт с количеством каналов не менее 32 в </w:t>
      </w:r>
      <w:proofErr w:type="spellStart"/>
      <w:r w:rsidRPr="00D7557A">
        <w:rPr>
          <w:rFonts w:ascii="Times New Roman" w:hAnsi="Times New Roman"/>
          <w:color w:val="auto"/>
          <w:sz w:val="24"/>
        </w:rPr>
        <w:t>рэковом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форм-факторе (3U). Оснащен 16 программируемыми микрофонными предусилителями </w:t>
      </w:r>
      <w:proofErr w:type="spellStart"/>
      <w:r w:rsidRPr="00D7557A">
        <w:rPr>
          <w:rFonts w:ascii="Times New Roman" w:hAnsi="Times New Roman"/>
          <w:color w:val="auto"/>
          <w:sz w:val="24"/>
        </w:rPr>
        <w:t>Midas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и 8 выходами XLR. </w:t>
      </w:r>
      <w:proofErr w:type="spellStart"/>
      <w:r w:rsidRPr="00D7557A">
        <w:rPr>
          <w:rFonts w:ascii="Times New Roman" w:hAnsi="Times New Roman"/>
          <w:color w:val="auto"/>
          <w:sz w:val="24"/>
        </w:rPr>
        <w:t>Аудиоинтерфейс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: 32x32 канала по USB 2.0. Поддержка удаленного управления по WiFi/LAN через приложения для </w:t>
      </w:r>
      <w:proofErr w:type="spellStart"/>
      <w:r w:rsidRPr="00D7557A">
        <w:rPr>
          <w:rFonts w:ascii="Times New Roman" w:hAnsi="Times New Roman"/>
          <w:color w:val="auto"/>
          <w:sz w:val="24"/>
        </w:rPr>
        <w:t>iOS</w:t>
      </w:r>
      <w:proofErr w:type="spellEnd"/>
      <w:r w:rsidRPr="00D7557A">
        <w:rPr>
          <w:rFonts w:ascii="Times New Roman" w:hAnsi="Times New Roman"/>
          <w:color w:val="auto"/>
          <w:sz w:val="24"/>
        </w:rPr>
        <w:t>/</w:t>
      </w:r>
      <w:proofErr w:type="spellStart"/>
      <w:r w:rsidRPr="00D7557A">
        <w:rPr>
          <w:rFonts w:ascii="Times New Roman" w:hAnsi="Times New Roman"/>
          <w:color w:val="auto"/>
          <w:sz w:val="24"/>
        </w:rPr>
        <w:t>Android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. Встроенные эффекты: 8 стерео-слотов. Порты расширения: AES50 для подключения цифровых сценических </w:t>
      </w:r>
      <w:proofErr w:type="spellStart"/>
      <w:r w:rsidRPr="00D7557A">
        <w:rPr>
          <w:rFonts w:ascii="Times New Roman" w:hAnsi="Times New Roman"/>
          <w:color w:val="auto"/>
          <w:sz w:val="24"/>
        </w:rPr>
        <w:t>мультикоров</w:t>
      </w:r>
      <w:proofErr w:type="spellEnd"/>
      <w:r w:rsidRPr="00D7557A">
        <w:rPr>
          <w:rFonts w:ascii="Times New Roman" w:hAnsi="Times New Roman"/>
          <w:color w:val="auto"/>
          <w:sz w:val="24"/>
        </w:rPr>
        <w:t>.</w:t>
      </w:r>
    </w:p>
    <w:p w14:paraId="7F813844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1B58829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 xml:space="preserve">FOH </w:t>
      </w:r>
      <w:proofErr w:type="spellStart"/>
      <w:r w:rsidRPr="00D7557A">
        <w:rPr>
          <w:rFonts w:ascii="Times New Roman" w:hAnsi="Times New Roman"/>
          <w:b/>
          <w:color w:val="auto"/>
          <w:sz w:val="24"/>
        </w:rPr>
        <w:t>Rack</w:t>
      </w:r>
      <w:proofErr w:type="spellEnd"/>
      <w:r w:rsidRPr="00D7557A">
        <w:rPr>
          <w:rFonts w:ascii="Times New Roman" w:hAnsi="Times New Roman"/>
          <w:b/>
          <w:color w:val="auto"/>
          <w:sz w:val="24"/>
        </w:rPr>
        <w:t xml:space="preserve"> (Стойка обработки):</w:t>
      </w:r>
      <w:r w:rsidRPr="00D7557A">
        <w:rPr>
          <w:rFonts w:ascii="Times New Roman" w:hAnsi="Times New Roman"/>
          <w:color w:val="auto"/>
          <w:sz w:val="24"/>
        </w:rPr>
        <w:t xml:space="preserve"> 1 шт.</w:t>
      </w:r>
    </w:p>
    <w:p w14:paraId="2D9788E5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Стойка (19-дюймовый </w:t>
      </w:r>
      <w:proofErr w:type="spellStart"/>
      <w:r w:rsidRPr="00D7557A">
        <w:rPr>
          <w:rFonts w:ascii="Times New Roman" w:hAnsi="Times New Roman"/>
          <w:color w:val="auto"/>
          <w:sz w:val="24"/>
        </w:rPr>
        <w:t>рэковый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кейс) для размещения и коммутации оборудования звукорежиссёра на позиции FOH. В составе стойки предусмотрено размещение микшерного пульта, карты расширения </w:t>
      </w:r>
      <w:proofErr w:type="spellStart"/>
      <w:r w:rsidRPr="00D7557A">
        <w:rPr>
          <w:rFonts w:ascii="Times New Roman" w:hAnsi="Times New Roman"/>
          <w:color w:val="auto"/>
          <w:sz w:val="24"/>
        </w:rPr>
        <w:t>Dante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, коммутационных панелей, директ-бокса и блоков питания. Обработка аудиосигналов (эффекты, </w:t>
      </w:r>
      <w:proofErr w:type="spellStart"/>
      <w:r w:rsidRPr="00D7557A">
        <w:rPr>
          <w:rFonts w:ascii="Times New Roman" w:hAnsi="Times New Roman"/>
          <w:color w:val="auto"/>
          <w:sz w:val="24"/>
        </w:rPr>
        <w:t>эквализация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, динамическая обработка, подавление обратной связи) осуществляется встроенными процессорами микшерного пульта, управляемыми с единого интерфейса. Стойка обеспечивает удобный доступ ко всем элементам коммутации, организованный монтаж кабелей и вентиляцию. </w:t>
      </w:r>
    </w:p>
    <w:p w14:paraId="296B7416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1A5140FE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Пассивный двухканальный директ-бокс:</w:t>
      </w:r>
      <w:r w:rsidRPr="00D7557A">
        <w:rPr>
          <w:rFonts w:ascii="Times New Roman" w:hAnsi="Times New Roman"/>
          <w:color w:val="auto"/>
          <w:sz w:val="24"/>
        </w:rPr>
        <w:t xml:space="preserve"> 1 шт.</w:t>
      </w:r>
    </w:p>
    <w:p w14:paraId="3A371150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Пассивный трансформаторный DI-бокс, предназначенный для подключения инструментов с высоким выходным импедансом (электрогитара, бас-гитара, клавишные, синтезаторы) к балансным входам микшерного пульта.</w:t>
      </w:r>
    </w:p>
    <w:p w14:paraId="6D9FF703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2CD41CD6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b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2.2. Микрофоны и радиосистемы</w:t>
      </w:r>
    </w:p>
    <w:p w14:paraId="60630333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517EA3FA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Радиосистемы с ручным передатчиком:</w:t>
      </w:r>
      <w:r w:rsidRPr="00D7557A">
        <w:rPr>
          <w:rFonts w:ascii="Times New Roman" w:hAnsi="Times New Roman"/>
          <w:color w:val="auto"/>
          <w:sz w:val="24"/>
        </w:rPr>
        <w:t xml:space="preserve"> 4 шт.</w:t>
      </w:r>
    </w:p>
    <w:p w14:paraId="02658F9B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Комплект цифровой радиосистемы, состоящий из одноканального портативного приёмника и ручного передатчика с динамическим </w:t>
      </w:r>
      <w:proofErr w:type="spellStart"/>
      <w:r w:rsidRPr="00D7557A">
        <w:rPr>
          <w:rFonts w:ascii="Times New Roman" w:hAnsi="Times New Roman"/>
          <w:color w:val="auto"/>
          <w:sz w:val="24"/>
        </w:rPr>
        <w:t>кардиоидным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капсюлем.</w:t>
      </w:r>
    </w:p>
    <w:p w14:paraId="0D42E25C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Тип: цифровая UHF-радиосистема, 24-битное / 48 кГц аудио, без </w:t>
      </w:r>
      <w:proofErr w:type="spellStart"/>
      <w:r w:rsidRPr="00D7557A">
        <w:rPr>
          <w:rFonts w:ascii="Times New Roman" w:hAnsi="Times New Roman"/>
          <w:color w:val="auto"/>
          <w:sz w:val="24"/>
        </w:rPr>
        <w:t>компандирования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; </w:t>
      </w:r>
    </w:p>
    <w:p w14:paraId="59F2ADFA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Динамический диапазон: не менее 118 дБ (A-взвешенный); </w:t>
      </w:r>
    </w:p>
    <w:p w14:paraId="4E093663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Частотная характеристика: 20 Гц – 20 кГц; </w:t>
      </w:r>
    </w:p>
    <w:p w14:paraId="52785811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Задержка: не более 3.2 </w:t>
      </w:r>
      <w:proofErr w:type="spellStart"/>
      <w:r w:rsidRPr="00D7557A">
        <w:rPr>
          <w:rFonts w:ascii="Times New Roman" w:hAnsi="Times New Roman"/>
          <w:color w:val="auto"/>
          <w:sz w:val="24"/>
        </w:rPr>
        <w:t>мс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; </w:t>
      </w:r>
    </w:p>
    <w:p w14:paraId="6DD777CA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Капсюль: динамический, </w:t>
      </w:r>
      <w:proofErr w:type="spellStart"/>
      <w:r w:rsidRPr="00D7557A">
        <w:rPr>
          <w:rFonts w:ascii="Times New Roman" w:hAnsi="Times New Roman"/>
          <w:color w:val="auto"/>
          <w:sz w:val="24"/>
        </w:rPr>
        <w:t>кардиоидная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диаграмма направленности; </w:t>
      </w:r>
    </w:p>
    <w:p w14:paraId="7E1B64A2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Приёмник: портативный, с технологией прогнозирующего </w:t>
      </w:r>
      <w:proofErr w:type="spellStart"/>
      <w:r w:rsidRPr="00D7557A">
        <w:rPr>
          <w:rFonts w:ascii="Times New Roman" w:hAnsi="Times New Roman"/>
          <w:color w:val="auto"/>
          <w:sz w:val="24"/>
        </w:rPr>
        <w:t>диверсити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(Digital </w:t>
      </w:r>
      <w:proofErr w:type="spellStart"/>
      <w:r w:rsidRPr="00D7557A">
        <w:rPr>
          <w:rFonts w:ascii="Times New Roman" w:hAnsi="Times New Roman"/>
          <w:color w:val="auto"/>
          <w:sz w:val="24"/>
        </w:rPr>
        <w:t>Predictive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D7557A">
        <w:rPr>
          <w:rFonts w:ascii="Times New Roman" w:hAnsi="Times New Roman"/>
          <w:color w:val="auto"/>
          <w:sz w:val="24"/>
        </w:rPr>
        <w:t>Switching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D7557A">
        <w:rPr>
          <w:rFonts w:ascii="Times New Roman" w:hAnsi="Times New Roman"/>
          <w:color w:val="auto"/>
          <w:sz w:val="24"/>
        </w:rPr>
        <w:t>Diversity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) для стабильного приёма; </w:t>
      </w:r>
    </w:p>
    <w:p w14:paraId="7BF09C8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Передатчик: ручной, с возможностью ИК-синхронизации с приёмником; </w:t>
      </w:r>
    </w:p>
    <w:p w14:paraId="58B2B73F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Шифрование: AES-256 для защиты сигнала; </w:t>
      </w:r>
    </w:p>
    <w:p w14:paraId="5B2CC6A0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Дальность действия: не менее 100 м (в прямой видимости); </w:t>
      </w:r>
    </w:p>
    <w:p w14:paraId="5FCCC0B0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Питание: от 2 батарей типа AA (время работы до 8 часов) или опционального аккумулятора </w:t>
      </w:r>
      <w:proofErr w:type="spellStart"/>
      <w:r w:rsidRPr="00D7557A">
        <w:rPr>
          <w:rFonts w:ascii="Times New Roman" w:hAnsi="Times New Roman"/>
          <w:color w:val="auto"/>
          <w:sz w:val="24"/>
        </w:rPr>
        <w:t>Shure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SB903.</w:t>
      </w:r>
    </w:p>
    <w:p w14:paraId="4D09149A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 </w:t>
      </w:r>
    </w:p>
    <w:p w14:paraId="70682AAA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lastRenderedPageBreak/>
        <w:t>Антенный сплиттер:</w:t>
      </w:r>
      <w:r w:rsidRPr="00D7557A">
        <w:rPr>
          <w:rFonts w:ascii="Times New Roman" w:hAnsi="Times New Roman"/>
          <w:color w:val="auto"/>
          <w:sz w:val="24"/>
        </w:rPr>
        <w:t xml:space="preserve"> 1 шт.</w:t>
      </w:r>
    </w:p>
    <w:p w14:paraId="6739A9FA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Устройство распределения антенного сигнала для обеспечения работы нескольких беспроводных приёмников от одной пары антенн. Допускается использование встроенных функций распределения сигнала, реализованных в аппаратной части приёмников радиосистем, при условии обеспечения стабильного приёма всех радиоканалов без взаимных помех.</w:t>
      </w:r>
    </w:p>
    <w:p w14:paraId="2A3ABD27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2A775923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Пассивная антенна:</w:t>
      </w:r>
      <w:r w:rsidRPr="00D7557A">
        <w:rPr>
          <w:rFonts w:ascii="Times New Roman" w:hAnsi="Times New Roman"/>
          <w:color w:val="auto"/>
          <w:sz w:val="24"/>
        </w:rPr>
        <w:t xml:space="preserve"> 2 шт.</w:t>
      </w:r>
    </w:p>
    <w:p w14:paraId="3FA350A2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Широкополосная пассивная антенна для удалённого размещения с целью улучшения приёма сигнала. Допускается использование штатных антенн, входящих в комплект поставки радиосистем, при условии обеспечения устойчивого приёма сигнала на всей зоне покрытия (не менее 50 м в прямой видимости).</w:t>
      </w:r>
    </w:p>
    <w:p w14:paraId="7759242D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31CDBD92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РЧ-анализатор спектра:</w:t>
      </w:r>
      <w:r w:rsidRPr="00D7557A">
        <w:rPr>
          <w:rFonts w:ascii="Times New Roman" w:hAnsi="Times New Roman"/>
          <w:color w:val="auto"/>
          <w:sz w:val="24"/>
        </w:rPr>
        <w:t xml:space="preserve"> 1 шт.</w:t>
      </w:r>
    </w:p>
    <w:p w14:paraId="3CEE612E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Средство контроля радиочастотного спектра для сканирования эфира, обнаружения свободных каналов и координации частот радиосистем. Может быть реализовано встроенными средствами радиосистем и программным обеспечением производителя, обеспечивающим сканирование спектра, автоматический расчёт совместимых частот, мониторинг уровня РЧ-сигнала, состояния батарей и качества приёма.</w:t>
      </w:r>
    </w:p>
    <w:p w14:paraId="20130511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14B63179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Микрофон проводной:</w:t>
      </w:r>
      <w:r w:rsidRPr="00D7557A">
        <w:rPr>
          <w:rFonts w:ascii="Times New Roman" w:hAnsi="Times New Roman"/>
          <w:color w:val="auto"/>
          <w:sz w:val="24"/>
        </w:rPr>
        <w:t xml:space="preserve"> 2 шт. </w:t>
      </w:r>
    </w:p>
    <w:p w14:paraId="2C94AFB2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Профессиональный динамический вокальный микрофон.</w:t>
      </w:r>
    </w:p>
    <w:p w14:paraId="5F25171B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Тип: динамический, с подвижной катушкой; </w:t>
      </w:r>
    </w:p>
    <w:p w14:paraId="2CF43FA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Диаграмма направленности: </w:t>
      </w:r>
      <w:proofErr w:type="spellStart"/>
      <w:r w:rsidRPr="00D7557A">
        <w:rPr>
          <w:rFonts w:ascii="Times New Roman" w:hAnsi="Times New Roman"/>
          <w:color w:val="auto"/>
          <w:sz w:val="24"/>
        </w:rPr>
        <w:t>кардиоидная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(однонаправленная);</w:t>
      </w:r>
    </w:p>
    <w:p w14:paraId="313B93A9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Частотный диапазон: 50 Гц – 15 000 Гц; </w:t>
      </w:r>
    </w:p>
    <w:p w14:paraId="559C7CA1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Выходной импеданс: 300 Ом; </w:t>
      </w:r>
    </w:p>
    <w:p w14:paraId="6F661C34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Особенности: встроенный поп-фильтр, пневматический амортизатор для снижения вибраций, прочный металлический корпус.</w:t>
      </w:r>
    </w:p>
    <w:p w14:paraId="3B54F06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 </w:t>
      </w:r>
    </w:p>
    <w:p w14:paraId="4498510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Микрофонная стойка («журавль»):</w:t>
      </w:r>
      <w:r w:rsidRPr="00D7557A">
        <w:rPr>
          <w:rFonts w:ascii="Times New Roman" w:hAnsi="Times New Roman"/>
          <w:color w:val="auto"/>
          <w:sz w:val="24"/>
        </w:rPr>
        <w:t xml:space="preserve"> 4 шт.</w:t>
      </w:r>
    </w:p>
    <w:p w14:paraId="226A3631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Профессиональная напольная микрофонная стойка с выносной стрелой (журавлём) для гибкого позиционирования микрофона.</w:t>
      </w:r>
    </w:p>
    <w:p w14:paraId="5FADC0C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Тип: стойка-журавль (с выносной стрелой) на треножном или круглом основании; </w:t>
      </w:r>
    </w:p>
    <w:p w14:paraId="27CA71DC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Диапазон высоты: не менее 92–163 см; </w:t>
      </w:r>
    </w:p>
    <w:p w14:paraId="1C7EC24A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Длина стрелы (журавля): не менее 80 см; </w:t>
      </w:r>
    </w:p>
    <w:p w14:paraId="45F061A8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Резьба крепления микрофона: 3/8"; </w:t>
      </w:r>
    </w:p>
    <w:p w14:paraId="31DF3C87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Основание: устойчивое, с возможностью складывания для транспортировки.</w:t>
      </w:r>
    </w:p>
    <w:p w14:paraId="5C21E05B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1AA8F0AE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b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2.3. Коммутация и электропитание</w:t>
      </w:r>
    </w:p>
    <w:p w14:paraId="5E261315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75B6FE98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Комплект коммутации (аудио):</w:t>
      </w:r>
      <w:r w:rsidRPr="00D7557A">
        <w:rPr>
          <w:rFonts w:ascii="Times New Roman" w:hAnsi="Times New Roman"/>
          <w:color w:val="auto"/>
          <w:sz w:val="24"/>
        </w:rPr>
        <w:t xml:space="preserve"> 1 шт.</w:t>
      </w:r>
    </w:p>
    <w:p w14:paraId="0851F1A0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Комплект пассивных </w:t>
      </w:r>
      <w:proofErr w:type="spellStart"/>
      <w:r w:rsidRPr="00D7557A">
        <w:rPr>
          <w:rFonts w:ascii="Times New Roman" w:hAnsi="Times New Roman"/>
          <w:color w:val="auto"/>
          <w:sz w:val="24"/>
        </w:rPr>
        <w:t>аудиокабелей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и коммутационных элементов для обеспечения подключения всех источников сигнала к микшерному пульту и мониторной системе. Включает </w:t>
      </w:r>
      <w:proofErr w:type="spellStart"/>
      <w:r w:rsidRPr="00D7557A">
        <w:rPr>
          <w:rFonts w:ascii="Times New Roman" w:hAnsi="Times New Roman"/>
          <w:color w:val="auto"/>
          <w:sz w:val="24"/>
        </w:rPr>
        <w:t>мультикоры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для передачи групповых сигналов, микрофонные кабели XLR (мужской-женский) различной длины для подключения микрофонов и DI-боксов, </w:t>
      </w:r>
      <w:proofErr w:type="spellStart"/>
      <w:r w:rsidRPr="00D7557A">
        <w:rPr>
          <w:rFonts w:ascii="Times New Roman" w:hAnsi="Times New Roman"/>
          <w:color w:val="auto"/>
          <w:sz w:val="24"/>
        </w:rPr>
        <w:t>джек-джек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(Jack-Jack) кабели для подключения инструментов и линейных источников, а также сплиттер-корды (Y-кабели) для разветвления сигналов. Длина кабелей должна обеспечивать удобное размещение оборудования на сцене и в зоне FOH. </w:t>
      </w:r>
    </w:p>
    <w:p w14:paraId="4AAF49E3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41B25D3C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 xml:space="preserve">Устройство распределения мощности (PDU / Power </w:t>
      </w:r>
      <w:proofErr w:type="spellStart"/>
      <w:r w:rsidRPr="00D7557A">
        <w:rPr>
          <w:rFonts w:ascii="Times New Roman" w:hAnsi="Times New Roman"/>
          <w:b/>
          <w:color w:val="auto"/>
          <w:sz w:val="24"/>
        </w:rPr>
        <w:t>Bar</w:t>
      </w:r>
      <w:proofErr w:type="spellEnd"/>
      <w:r w:rsidRPr="00D7557A">
        <w:rPr>
          <w:rFonts w:ascii="Times New Roman" w:hAnsi="Times New Roman"/>
          <w:b/>
          <w:color w:val="auto"/>
          <w:sz w:val="24"/>
        </w:rPr>
        <w:t>):</w:t>
      </w:r>
      <w:r w:rsidRPr="00D7557A">
        <w:rPr>
          <w:rFonts w:ascii="Times New Roman" w:hAnsi="Times New Roman"/>
          <w:color w:val="auto"/>
          <w:sz w:val="24"/>
        </w:rPr>
        <w:t xml:space="preserve"> 1 шт.</w:t>
      </w:r>
    </w:p>
    <w:p w14:paraId="72AFA37B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Многоразъёмное распределительное устройство питания для централизованного подключения всего звукового оборудования к источнику электропитания. Обеспечивает не </w:t>
      </w:r>
      <w:r w:rsidRPr="00D7557A">
        <w:rPr>
          <w:rFonts w:ascii="Times New Roman" w:hAnsi="Times New Roman"/>
          <w:color w:val="auto"/>
          <w:sz w:val="24"/>
        </w:rPr>
        <w:lastRenderedPageBreak/>
        <w:t>менее 8 розеток, оснащено защитой от перегрузки, перенапряжения и короткого замыкания. Корпус — прочный металлический, с возможностью монтажа в 19-дюймовую стойку или размещения на полу. Наличие световых индикаторов наличия питания на каждой розетке и общего состояния сети. Длина кабеля подключения к сети — не менее 2 м.</w:t>
      </w:r>
    </w:p>
    <w:p w14:paraId="571F99F9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7262BBB2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Сетевая раздача (</w:t>
      </w:r>
      <w:proofErr w:type="spellStart"/>
      <w:r w:rsidRPr="00D7557A">
        <w:rPr>
          <w:rFonts w:ascii="Times New Roman" w:hAnsi="Times New Roman"/>
          <w:b/>
          <w:color w:val="auto"/>
          <w:sz w:val="24"/>
        </w:rPr>
        <w:t>NetBox</w:t>
      </w:r>
      <w:proofErr w:type="spellEnd"/>
      <w:r w:rsidRPr="00D7557A">
        <w:rPr>
          <w:rFonts w:ascii="Times New Roman" w:hAnsi="Times New Roman"/>
          <w:b/>
          <w:color w:val="auto"/>
          <w:sz w:val="24"/>
        </w:rPr>
        <w:t xml:space="preserve"> / </w:t>
      </w:r>
      <w:proofErr w:type="spellStart"/>
      <w:r w:rsidRPr="00D7557A">
        <w:rPr>
          <w:rFonts w:ascii="Times New Roman" w:hAnsi="Times New Roman"/>
          <w:b/>
          <w:color w:val="auto"/>
          <w:sz w:val="24"/>
        </w:rPr>
        <w:t>NetSwitch</w:t>
      </w:r>
      <w:proofErr w:type="spellEnd"/>
      <w:r w:rsidRPr="00D7557A">
        <w:rPr>
          <w:rFonts w:ascii="Times New Roman" w:hAnsi="Times New Roman"/>
          <w:b/>
          <w:color w:val="auto"/>
          <w:sz w:val="24"/>
        </w:rPr>
        <w:t>):</w:t>
      </w:r>
      <w:r w:rsidRPr="00D7557A">
        <w:rPr>
          <w:rFonts w:ascii="Times New Roman" w:hAnsi="Times New Roman"/>
          <w:color w:val="auto"/>
          <w:sz w:val="24"/>
        </w:rPr>
        <w:t xml:space="preserve"> 2 шт.</w:t>
      </w:r>
    </w:p>
    <w:p w14:paraId="50C79E7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Устройство для организации локальной сети между цифровым звуковым оборудованием (микшерный пульт, </w:t>
      </w:r>
      <w:proofErr w:type="spellStart"/>
      <w:r w:rsidRPr="00D7557A">
        <w:rPr>
          <w:rFonts w:ascii="Times New Roman" w:hAnsi="Times New Roman"/>
          <w:color w:val="auto"/>
          <w:sz w:val="24"/>
        </w:rPr>
        <w:t>мультикор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, усилители, радиосистемы). Коммутатор Ethernet с поддержкой протоколов </w:t>
      </w:r>
      <w:proofErr w:type="spellStart"/>
      <w:r w:rsidRPr="00D7557A">
        <w:rPr>
          <w:rFonts w:ascii="Times New Roman" w:hAnsi="Times New Roman"/>
          <w:color w:val="auto"/>
          <w:sz w:val="24"/>
        </w:rPr>
        <w:t>Dante</w:t>
      </w:r>
      <w:proofErr w:type="spellEnd"/>
      <w:r w:rsidRPr="00D7557A">
        <w:rPr>
          <w:rFonts w:ascii="Times New Roman" w:hAnsi="Times New Roman"/>
          <w:color w:val="auto"/>
          <w:sz w:val="24"/>
        </w:rPr>
        <w:t>/AES50, обеспечивающий передачу аудиосигнала и управляющих команд по протоколу TCP/IP. Количество портов — не менее 8, скорость — 10/100/1000 Мбит/с (Gigabit). Металлический корпус, питание от сети 100–240 В, возможность монтажа в стойку. Обеспечивает надёжную маршрутизацию цифровых потоков в соответствии с конфигурацией оборудования.</w:t>
      </w:r>
    </w:p>
    <w:p w14:paraId="151800F2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54E90E18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Кабельная капа (защита):</w:t>
      </w:r>
      <w:r w:rsidRPr="00D7557A">
        <w:rPr>
          <w:rFonts w:ascii="Times New Roman" w:hAnsi="Times New Roman"/>
          <w:color w:val="auto"/>
          <w:sz w:val="24"/>
        </w:rPr>
        <w:t xml:space="preserve"> 30 м.</w:t>
      </w:r>
    </w:p>
    <w:p w14:paraId="0BCE81D1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Кабельные защитные покрытия (напольные каналы-переходы) для защиты кабелей от механических повреждений, перегибов и случайного </w:t>
      </w:r>
      <w:proofErr w:type="spellStart"/>
      <w:r w:rsidRPr="00D7557A">
        <w:rPr>
          <w:rFonts w:ascii="Times New Roman" w:hAnsi="Times New Roman"/>
          <w:color w:val="auto"/>
          <w:sz w:val="24"/>
        </w:rPr>
        <w:t>наступания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в местах прохода персонала и зрителей. Обеспечивают безопасное пересечение кабелями пешеходных зон, выполнены из износостойкого нескользящего материала. Конструкция состоит из верхней и нижней частей, соединённых между собой, внутреннее пространство позволяет уложить до 3–5 кабелей диаметром до 10 мм. Цвет — нейтральный (жёлтый или чёрный), общая длина — 30 м.</w:t>
      </w:r>
    </w:p>
    <w:p w14:paraId="0C56F344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7EBF1DF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Комплект силовой коммуникации:</w:t>
      </w:r>
      <w:r w:rsidRPr="00D7557A">
        <w:rPr>
          <w:rFonts w:ascii="Times New Roman" w:hAnsi="Times New Roman"/>
          <w:color w:val="auto"/>
          <w:sz w:val="24"/>
        </w:rPr>
        <w:t xml:space="preserve"> 1 шт.</w:t>
      </w:r>
    </w:p>
    <w:p w14:paraId="04EE6C26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Комплект силовых кабелей (кабелей питания) для подключения всего звукового оборудования к распределительному устройству мощности. Включает кабели с разъёмами типа IEC C13/C14 и C19/C20 (в зависимости от типа оборудования) для питания микшерного пульта, усилителей, радиосистем, мониторов, коммутаторов и другого оборудования. Длина кабелей подбирается исходя из конфигурации оборудования. Сечение кабелей — не менее 1,5 мм², изоляция — двойная, рассчитана на ток до 16А, рабочее напряжение — 220 В, 50 Гц.</w:t>
      </w:r>
    </w:p>
    <w:p w14:paraId="49B79D62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241D9F8E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b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2.4. Световое оборудование и сценические конструкции</w:t>
      </w:r>
    </w:p>
    <w:p w14:paraId="1F7ED418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5F9B5776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Экран светодиодный (LED Wall):</w:t>
      </w:r>
      <w:r w:rsidRPr="00D7557A">
        <w:rPr>
          <w:rFonts w:ascii="Times New Roman" w:hAnsi="Times New Roman"/>
          <w:color w:val="auto"/>
          <w:sz w:val="24"/>
        </w:rPr>
        <w:t xml:space="preserve"> 24 кв. м. (или эквивалент по модулю).</w:t>
      </w:r>
    </w:p>
    <w:p w14:paraId="6577334A" w14:textId="77777777" w:rsidR="00D46CF6" w:rsidRPr="00D7557A" w:rsidRDefault="009F04E1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Тип: светодиодный экран для уличного применения;</w:t>
      </w:r>
    </w:p>
    <w:p w14:paraId="28F78D87" w14:textId="77777777" w:rsidR="00D46CF6" w:rsidRPr="00D7557A" w:rsidRDefault="009F04E1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Формируемое изображение: бесшовное полотно размером (</w:t>
      </w:r>
      <w:proofErr w:type="spellStart"/>
      <w:r w:rsidRPr="00D7557A">
        <w:rPr>
          <w:rFonts w:ascii="Times New Roman" w:hAnsi="Times New Roman"/>
          <w:color w:val="auto"/>
          <w:sz w:val="24"/>
        </w:rPr>
        <w:t>ШхВ</w:t>
      </w:r>
      <w:proofErr w:type="spellEnd"/>
      <w:r w:rsidRPr="00D7557A">
        <w:rPr>
          <w:rFonts w:ascii="Times New Roman" w:hAnsi="Times New Roman"/>
          <w:color w:val="auto"/>
          <w:sz w:val="24"/>
        </w:rPr>
        <w:t>) 6х4 м.;</w:t>
      </w:r>
    </w:p>
    <w:p w14:paraId="3BFD403F" w14:textId="77777777" w:rsidR="00D46CF6" w:rsidRPr="00D7557A" w:rsidRDefault="009F04E1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Яркость: 5000 </w:t>
      </w:r>
      <w:proofErr w:type="spellStart"/>
      <w:r w:rsidRPr="00D7557A">
        <w:rPr>
          <w:rFonts w:ascii="Times New Roman" w:hAnsi="Times New Roman"/>
          <w:color w:val="auto"/>
          <w:sz w:val="24"/>
        </w:rPr>
        <w:t>nit</w:t>
      </w:r>
      <w:proofErr w:type="spellEnd"/>
      <w:r w:rsidRPr="00D7557A">
        <w:rPr>
          <w:rFonts w:ascii="Times New Roman" w:hAnsi="Times New Roman"/>
          <w:color w:val="auto"/>
          <w:sz w:val="24"/>
        </w:rPr>
        <w:t>;</w:t>
      </w:r>
    </w:p>
    <w:p w14:paraId="7D96804F" w14:textId="77777777" w:rsidR="00D46CF6" w:rsidRPr="00D7557A" w:rsidRDefault="009F04E1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Состоит из модулей: размер модуля 1000х500 мм, вес модуля – не более 9 кг.;</w:t>
      </w:r>
    </w:p>
    <w:p w14:paraId="11C54539" w14:textId="77777777" w:rsidR="00D46CF6" w:rsidRPr="00D7557A" w:rsidRDefault="009F04E1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Комплект: включает приемные карты для сопряжения с видеопроцессором;</w:t>
      </w:r>
    </w:p>
    <w:p w14:paraId="57FD4C2F" w14:textId="77777777" w:rsidR="00D46CF6" w:rsidRPr="00D7557A" w:rsidRDefault="009F04E1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Шаг пикселя: 3,9 мм;</w:t>
      </w:r>
    </w:p>
    <w:p w14:paraId="2B6094EC" w14:textId="77777777" w:rsidR="00D46CF6" w:rsidRPr="00D7557A" w:rsidRDefault="009F04E1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Регулирование яркости: 256 класса автоматического, 8 класса ручного;</w:t>
      </w:r>
    </w:p>
    <w:p w14:paraId="333DE027" w14:textId="77777777" w:rsidR="00D46CF6" w:rsidRPr="00D7557A" w:rsidRDefault="009F04E1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Дистанция обзора: 3‒30 м.;</w:t>
      </w:r>
    </w:p>
    <w:p w14:paraId="67CCF768" w14:textId="77777777" w:rsidR="00D46CF6" w:rsidRPr="00D7557A" w:rsidRDefault="009F04E1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Угол обзора: 160°/160°(В/Г);</w:t>
      </w:r>
    </w:p>
    <w:p w14:paraId="3D3C364F" w14:textId="77777777" w:rsidR="00D46CF6" w:rsidRPr="00D7557A" w:rsidRDefault="009F04E1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proofErr w:type="spellStart"/>
      <w:r w:rsidRPr="00D7557A">
        <w:rPr>
          <w:rFonts w:ascii="Times New Roman" w:hAnsi="Times New Roman"/>
          <w:color w:val="auto"/>
          <w:sz w:val="24"/>
        </w:rPr>
        <w:t>Влагозащита</w:t>
      </w:r>
      <w:proofErr w:type="spellEnd"/>
      <w:r w:rsidRPr="00D7557A">
        <w:rPr>
          <w:rFonts w:ascii="Times New Roman" w:hAnsi="Times New Roman"/>
          <w:color w:val="auto"/>
          <w:sz w:val="24"/>
        </w:rPr>
        <w:t>: класс IP65 (защита от пыли и воды).</w:t>
      </w:r>
    </w:p>
    <w:p w14:paraId="49FC5342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7012EDA8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Видеопроцессор:</w:t>
      </w:r>
      <w:r w:rsidRPr="00D7557A">
        <w:rPr>
          <w:rFonts w:ascii="Times New Roman" w:hAnsi="Times New Roman"/>
          <w:color w:val="auto"/>
          <w:sz w:val="24"/>
        </w:rPr>
        <w:t xml:space="preserve"> 1 шт.</w:t>
      </w:r>
    </w:p>
    <w:p w14:paraId="21342857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Профессиональный видеопроцессор для управления светодиодным экраном. Поддержка до 6,5 млн пикселей с 10-ю портами Ethernet. Пользовательское разрешение шириной до 10240 пикселей, высотой 8192 пикселей. Входные интерфейсы: 1xHDMI 1.4, 1xHDMI 1.4, 1xDVI, 1xDVI, 1x3G-SDI, 1x10G </w:t>
      </w:r>
      <w:proofErr w:type="spellStart"/>
      <w:r w:rsidRPr="00D7557A">
        <w:rPr>
          <w:rFonts w:ascii="Times New Roman" w:hAnsi="Times New Roman"/>
          <w:color w:val="auto"/>
          <w:sz w:val="24"/>
        </w:rPr>
        <w:t>optical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D7557A">
        <w:rPr>
          <w:rFonts w:ascii="Times New Roman" w:hAnsi="Times New Roman"/>
          <w:color w:val="auto"/>
          <w:sz w:val="24"/>
        </w:rPr>
        <w:t>fiber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D7557A">
        <w:rPr>
          <w:rFonts w:ascii="Times New Roman" w:hAnsi="Times New Roman"/>
          <w:color w:val="auto"/>
          <w:sz w:val="24"/>
        </w:rPr>
        <w:t>port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. Выходной интерфейс: </w:t>
      </w:r>
      <w:r w:rsidRPr="00D7557A">
        <w:rPr>
          <w:rFonts w:ascii="Times New Roman" w:hAnsi="Times New Roman"/>
          <w:color w:val="auto"/>
          <w:sz w:val="24"/>
        </w:rPr>
        <w:lastRenderedPageBreak/>
        <w:t xml:space="preserve">10xGigabit Ethernet </w:t>
      </w:r>
      <w:proofErr w:type="spellStart"/>
      <w:r w:rsidRPr="00D7557A">
        <w:rPr>
          <w:rFonts w:ascii="Times New Roman" w:hAnsi="Times New Roman"/>
          <w:color w:val="auto"/>
          <w:sz w:val="24"/>
        </w:rPr>
        <w:t>ports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, 2xFiber </w:t>
      </w:r>
      <w:proofErr w:type="spellStart"/>
      <w:r w:rsidRPr="00D7557A">
        <w:rPr>
          <w:rFonts w:ascii="Times New Roman" w:hAnsi="Times New Roman"/>
          <w:color w:val="auto"/>
          <w:sz w:val="24"/>
        </w:rPr>
        <w:t>outputs</w:t>
      </w:r>
      <w:proofErr w:type="spellEnd"/>
      <w:r w:rsidRPr="00D7557A">
        <w:rPr>
          <w:rFonts w:ascii="Times New Roman" w:hAnsi="Times New Roman"/>
          <w:color w:val="auto"/>
          <w:sz w:val="24"/>
        </w:rPr>
        <w:t>, 1хHDMI 1.3. Контроль: 1xUSB-B, 1xUSB-A, 1xLAN, 1xGenlock. Поддержка входных сигналов разрешением до 4K (Ultra HD).</w:t>
      </w:r>
    </w:p>
    <w:p w14:paraId="68FC5111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32BEF39C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Комплект коммутации (видео):</w:t>
      </w:r>
      <w:r w:rsidRPr="00D7557A">
        <w:rPr>
          <w:rFonts w:ascii="Times New Roman" w:hAnsi="Times New Roman"/>
          <w:color w:val="auto"/>
          <w:sz w:val="24"/>
        </w:rPr>
        <w:t xml:space="preserve"> 1 шт.</w:t>
      </w:r>
    </w:p>
    <w:p w14:paraId="629479DE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Комплект кабелей для подключения всех элементов видеосистемы:</w:t>
      </w:r>
    </w:p>
    <w:p w14:paraId="75141D73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Кабели HDMI/DVI: для соединения видеосервера с видеопроцессором (длина — не менее 5 м).</w:t>
      </w:r>
    </w:p>
    <w:p w14:paraId="1FBAC2E2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Кабели Ethernet (Cat5e/Cat6): для подключения видеопроцессора к приёмным картам светодиодного экрана (длина — в соответствии с конфигурацией).</w:t>
      </w:r>
    </w:p>
    <w:p w14:paraId="5AD3268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Кабели питания: IEC C13/C14 для питания экранных модулей, видеопроцессора и видеосервера.</w:t>
      </w:r>
    </w:p>
    <w:p w14:paraId="717ACFE1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Кабели управления: для соединения видеопроцессора с ПК или ноутбуком.</w:t>
      </w:r>
    </w:p>
    <w:p w14:paraId="0F85D0B8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1BA4DE90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Стенка (ферма/конструкция):</w:t>
      </w:r>
      <w:r w:rsidRPr="00D7557A">
        <w:rPr>
          <w:rFonts w:ascii="Times New Roman" w:hAnsi="Times New Roman"/>
          <w:color w:val="auto"/>
          <w:sz w:val="24"/>
        </w:rPr>
        <w:t xml:space="preserve"> не менее 120 </w:t>
      </w:r>
      <w:proofErr w:type="spellStart"/>
      <w:r w:rsidRPr="00D7557A">
        <w:rPr>
          <w:rFonts w:ascii="Times New Roman" w:hAnsi="Times New Roman"/>
          <w:color w:val="auto"/>
          <w:sz w:val="24"/>
        </w:rPr>
        <w:t>пог.м</w:t>
      </w:r>
      <w:proofErr w:type="spellEnd"/>
      <w:r w:rsidRPr="00D7557A">
        <w:rPr>
          <w:rFonts w:ascii="Times New Roman" w:hAnsi="Times New Roman"/>
          <w:color w:val="auto"/>
          <w:sz w:val="24"/>
        </w:rPr>
        <w:t>. (погонных метров).</w:t>
      </w:r>
    </w:p>
    <w:p w14:paraId="1EFB0B3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Модульная силовая конструкция для подвеса светодиодного экрана, состоящая из алюминиевых ферм (трубчатых или профильных), обеспечивающих жёсткость и надёжность всей системы. В комплект входят все необходимые соединительные элементы, ригели и фиксаторы. Элементы — алюминиевые фермы сечением не менее 290×290 мм, толщина стенки не менее 3 мм. Грузоподъёмность конструкции — не менее 500 кг. Конструкция собирается в размеры: ширина — 4 м, длина — 4 м, высота — 6 м. Обеспечивает подъём и удержание экрана на заданной высоте в течение всего мероприятия. </w:t>
      </w:r>
    </w:p>
    <w:p w14:paraId="1FEADD3B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1035F182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«Партизан» (подвесной захват):</w:t>
      </w:r>
      <w:r w:rsidRPr="00D7557A">
        <w:rPr>
          <w:rFonts w:ascii="Times New Roman" w:hAnsi="Times New Roman"/>
          <w:color w:val="auto"/>
          <w:sz w:val="24"/>
        </w:rPr>
        <w:t xml:space="preserve"> 3 шт.</w:t>
      </w:r>
    </w:p>
    <w:p w14:paraId="007ED03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Специализированные подвесные элементы (захваты/клевера) для крепления силовой конструкции к верхним точкам подвеса (крыша, ферма, балка). Обеспечивают надёжную фиксацию и распределение нагрузки, исключая смещение и раскачивание.</w:t>
      </w:r>
    </w:p>
    <w:p w14:paraId="1C0756A1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6093273E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Балласт (противовес):</w:t>
      </w:r>
      <w:r w:rsidRPr="00D7557A">
        <w:rPr>
          <w:rFonts w:ascii="Times New Roman" w:hAnsi="Times New Roman"/>
          <w:color w:val="auto"/>
          <w:sz w:val="24"/>
        </w:rPr>
        <w:t xml:space="preserve"> 3 шт.</w:t>
      </w:r>
    </w:p>
    <w:p w14:paraId="0855692E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Грузовые элементы не менее 500 кг каждый для стабилизации нижней части силовой конструкции, предотвращающие опрокидывание и смещение. Устанавливаются в основании фермы, обеспечивая устойчивость всей системы.</w:t>
      </w:r>
    </w:p>
    <w:p w14:paraId="4FB0B7DE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498A954B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Лебедка цепная:</w:t>
      </w:r>
      <w:r w:rsidRPr="00D7557A">
        <w:rPr>
          <w:rFonts w:ascii="Times New Roman" w:hAnsi="Times New Roman"/>
          <w:color w:val="auto"/>
          <w:sz w:val="24"/>
        </w:rPr>
        <w:t xml:space="preserve"> 3 шт.</w:t>
      </w:r>
    </w:p>
    <w:p w14:paraId="648E2953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Цепные тали (ручные или электрические) для подъёма и опускания силовой конструкции с экраном. Грузоподъёмность каждой — не менее 1 т, высота подъёма — не менее 6 м. Обеспечивают синхронный подъём всех трёх точек крепления, регулировку угла наклона и фиксацию на заданной высоте.</w:t>
      </w:r>
    </w:p>
    <w:p w14:paraId="2EB8EEA5" w14:textId="07A8073D" w:rsidR="00D7557A" w:rsidRDefault="00D7557A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3A0E2F8D" w14:textId="1F9957D5" w:rsidR="00D7557A" w:rsidRPr="00D7557A" w:rsidRDefault="00D7557A" w:rsidP="00D7557A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bCs/>
          <w:color w:val="auto"/>
          <w:sz w:val="24"/>
        </w:rPr>
        <w:t>Пультовая:</w:t>
      </w:r>
      <w:r w:rsidRPr="00D7557A">
        <w:rPr>
          <w:rFonts w:ascii="Times New Roman" w:hAnsi="Times New Roman"/>
          <w:color w:val="auto"/>
          <w:sz w:val="24"/>
        </w:rPr>
        <w:t xml:space="preserve"> 1 шт.</w:t>
      </w:r>
    </w:p>
    <w:p w14:paraId="542A53B9" w14:textId="4D430811" w:rsidR="00D7557A" w:rsidRDefault="00D7557A" w:rsidP="00D7557A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Мобильное укрытие (шатёр/палатка/тент) для размещения звукооператора, микшерного пульта, стоек с оборудованием и мониторной системы на позиции FOH.</w:t>
      </w:r>
    </w:p>
    <w:p w14:paraId="332157B0" w14:textId="41FD5529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b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2.5. Расходные материалы</w:t>
      </w:r>
    </w:p>
    <w:p w14:paraId="212DCC16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b/>
          <w:color w:val="auto"/>
          <w:sz w:val="24"/>
        </w:rPr>
      </w:pPr>
    </w:p>
    <w:p w14:paraId="74FB36F7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Элемент питания АА:</w:t>
      </w:r>
      <w:r w:rsidRPr="00D7557A">
        <w:rPr>
          <w:rFonts w:ascii="Times New Roman" w:hAnsi="Times New Roman"/>
          <w:color w:val="auto"/>
          <w:sz w:val="24"/>
        </w:rPr>
        <w:t xml:space="preserve"> 8 шт.</w:t>
      </w:r>
    </w:p>
    <w:p w14:paraId="64788CC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Щелочные (или литиевые) батарейки типоразмера AA (LR6, 1,5 В) для питания ручных передатчиков радиосистем и другого портативного оборудования, требующего данного элемента питания. Используются в качестве резервного или основного источника питания.</w:t>
      </w:r>
    </w:p>
    <w:p w14:paraId="7FBE840A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4ADC5F3B" w14:textId="77777777" w:rsidR="00D46CF6" w:rsidRPr="00D7557A" w:rsidRDefault="009F04E1">
      <w:pPr>
        <w:pStyle w:val="a4"/>
        <w:spacing w:after="0" w:line="240" w:lineRule="auto"/>
        <w:jc w:val="both"/>
        <w:rPr>
          <w:rFonts w:ascii="Times New Roman" w:hAnsi="Times New Roman"/>
          <w:b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 xml:space="preserve">  3. Требования к услугам</w:t>
      </w:r>
    </w:p>
    <w:p w14:paraId="033E2DFC" w14:textId="77777777" w:rsidR="00D46CF6" w:rsidRPr="00D7557A" w:rsidRDefault="00D46CF6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</w:p>
    <w:p w14:paraId="0376BDF8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b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3.1. Транспортировка</w:t>
      </w:r>
    </w:p>
    <w:p w14:paraId="7D628705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5"/>
        <w:gridCol w:w="1363"/>
        <w:gridCol w:w="1213"/>
        <w:gridCol w:w="5044"/>
      </w:tblGrid>
      <w:tr w:rsidR="00D7557A" w:rsidRPr="00D7557A" w14:paraId="2C253119" w14:textId="77777777">
        <w:trPr>
          <w:tblHeader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2B6EE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b/>
                <w:color w:val="auto"/>
                <w:sz w:val="24"/>
              </w:rPr>
              <w:t>Вид транспорта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09735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b/>
                <w:color w:val="auto"/>
                <w:sz w:val="24"/>
              </w:rPr>
              <w:t>Количество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5C8C9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b/>
                <w:color w:val="auto"/>
                <w:sz w:val="24"/>
              </w:rPr>
              <w:t>Кол-во смен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49C82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b/>
                <w:color w:val="auto"/>
                <w:sz w:val="24"/>
              </w:rPr>
              <w:t>Примечание</w:t>
            </w:r>
          </w:p>
        </w:tc>
      </w:tr>
      <w:tr w:rsidR="00D7557A" w:rsidRPr="00D7557A" w14:paraId="3B01F4C6" w14:textId="77777777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947F4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color w:val="auto"/>
                <w:sz w:val="24"/>
              </w:rPr>
              <w:t>Манипулятор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A1424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color w:val="auto"/>
                <w:sz w:val="24"/>
              </w:rPr>
              <w:t>1 ед.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D35AE9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color w:val="auto"/>
                <w:sz w:val="24"/>
              </w:rPr>
              <w:t>2 смены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3481A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color w:val="auto"/>
                <w:sz w:val="24"/>
              </w:rPr>
              <w:t>Для перевозки крупногабаритных сценических конструкций</w:t>
            </w:r>
          </w:p>
        </w:tc>
      </w:tr>
      <w:tr w:rsidR="00D7557A" w:rsidRPr="00D7557A" w14:paraId="087DBAC0" w14:textId="77777777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815E9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color w:val="auto"/>
                <w:sz w:val="24"/>
              </w:rPr>
              <w:t>Грузовик MAN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D7E83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color w:val="auto"/>
                <w:sz w:val="24"/>
              </w:rPr>
              <w:t>1 ед.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B2C86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color w:val="auto"/>
                <w:sz w:val="24"/>
              </w:rPr>
              <w:t>2 смены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A7EEB8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color w:val="auto"/>
                <w:sz w:val="24"/>
              </w:rPr>
              <w:t>Для перевозки тяжелого звукового оборудования</w:t>
            </w:r>
          </w:p>
        </w:tc>
      </w:tr>
      <w:tr w:rsidR="00D46CF6" w:rsidRPr="00D7557A" w14:paraId="716807E1" w14:textId="77777777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20A2D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color w:val="auto"/>
                <w:sz w:val="24"/>
              </w:rPr>
              <w:t>Грузовик Газель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D438D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color w:val="auto"/>
                <w:sz w:val="24"/>
              </w:rPr>
              <w:t>1 ед.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564F3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color w:val="auto"/>
                <w:sz w:val="24"/>
              </w:rPr>
              <w:t>2 смены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CE60E4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color w:val="auto"/>
                <w:sz w:val="24"/>
              </w:rPr>
              <w:t>Для перевозки мелкого груза, кабелей, аксессуаров</w:t>
            </w:r>
          </w:p>
        </w:tc>
      </w:tr>
    </w:tbl>
    <w:p w14:paraId="3F034916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b/>
          <w:color w:val="auto"/>
          <w:sz w:val="24"/>
        </w:rPr>
      </w:pPr>
    </w:p>
    <w:p w14:paraId="7C179EB1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3.2. Монтажно-демонтажные работы</w:t>
      </w:r>
    </w:p>
    <w:p w14:paraId="312FD401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Монтаж и демонтаж сценических конструкций:</w:t>
      </w:r>
    </w:p>
    <w:p w14:paraId="12E4ECD4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Кол-во персонала: 3 человека</w:t>
      </w:r>
    </w:p>
    <w:p w14:paraId="735E38E9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Кол-во смен: 2 смены</w:t>
      </w:r>
    </w:p>
    <w:p w14:paraId="00BA2FD2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Работы включают: сборку фермовых конструкций, установку стенок, подъемных механизмов, LED-экранов.</w:t>
      </w:r>
    </w:p>
    <w:p w14:paraId="01C9316F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b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Требования к персоналу для монтажа конструкций:</w:t>
      </w:r>
    </w:p>
    <w:p w14:paraId="1E7A0DE6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Наличие действующего удостоверения по электробезопасности (группа допуска не ниже II).</w:t>
      </w:r>
    </w:p>
    <w:p w14:paraId="4B73F3BA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Наличие действующего удостоверения по работе на высоте (допуск к работам на высоте более 5 м).</w:t>
      </w:r>
    </w:p>
    <w:p w14:paraId="3A59F67B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Наличие действующего удостоверения по пожарно-техническому минимуму (ПТМ).</w:t>
      </w:r>
    </w:p>
    <w:p w14:paraId="2851AEFE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60B305BC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Монтаж и демонтаж оборудования:</w:t>
      </w:r>
    </w:p>
    <w:p w14:paraId="4EEFF7BB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Кол-во персонала: 4 человека</w:t>
      </w:r>
    </w:p>
    <w:p w14:paraId="66FF9321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Кол-во смен: 2 смены</w:t>
      </w:r>
    </w:p>
    <w:p w14:paraId="75BC3CCA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Работы включают: распаковку, инсталляцию звука/света/видео, коммутацию, настройку, упаковку после мероприятия.</w:t>
      </w:r>
    </w:p>
    <w:p w14:paraId="51750F7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b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Требования к персоналу для монтажа оборудования:</w:t>
      </w:r>
    </w:p>
    <w:p w14:paraId="12DFFCD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Наличие действующего удостоверения по электробезопасности (группа допуска не ниже II).</w:t>
      </w:r>
    </w:p>
    <w:p w14:paraId="35F46495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Наличие действующего удостоверения по работе на высоте (если работы ведутся на высоте).</w:t>
      </w:r>
    </w:p>
    <w:p w14:paraId="7BC367B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Наличие действующего удостоверения по пожарно-техническому минимуму (ПТМ).</w:t>
      </w:r>
    </w:p>
    <w:p w14:paraId="126FC608" w14:textId="77777777" w:rsidR="00D46CF6" w:rsidRPr="00D7557A" w:rsidRDefault="00D46CF6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</w:p>
    <w:p w14:paraId="650CEADC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3.3. Технический персонал</w:t>
      </w:r>
    </w:p>
    <w:p w14:paraId="3B9ADE7A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Техник сцены:</w:t>
      </w:r>
      <w:r w:rsidRPr="00D7557A">
        <w:rPr>
          <w:rFonts w:ascii="Times New Roman" w:hAnsi="Times New Roman"/>
          <w:color w:val="auto"/>
          <w:sz w:val="24"/>
        </w:rPr>
        <w:t xml:space="preserve"> 1 чел., на весь период монтажа/демонтажа и проведения мероприятия для оперативного решения технических вопросов.</w:t>
      </w:r>
    </w:p>
    <w:p w14:paraId="3F55BF05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Звукооператор:</w:t>
      </w:r>
      <w:r w:rsidRPr="00D7557A">
        <w:rPr>
          <w:rFonts w:ascii="Times New Roman" w:hAnsi="Times New Roman"/>
          <w:color w:val="auto"/>
          <w:sz w:val="24"/>
        </w:rPr>
        <w:t xml:space="preserve"> 1 чел., на весь период проведения мероприятия для управления звуком в реальном времени (FOH).</w:t>
      </w:r>
    </w:p>
    <w:p w14:paraId="578DEE58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7AFD8367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4. Требования к состоянию оборудования и документации</w:t>
      </w:r>
    </w:p>
    <w:p w14:paraId="6AA6F3A9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4.1. Все оборудование должно быть технически исправным, чистым, без видимых повреждений корпуса и разъемов. Внешний вид должен соответствовать профессиональному уровню мероприятия высокого класса.</w:t>
      </w:r>
    </w:p>
    <w:p w14:paraId="21DE944E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4.2. Оборудование должно быть предоставлено в полном объеме согласно спецификации за сутки до начала монтажа для проверки работоспособности.</w:t>
      </w:r>
    </w:p>
    <w:p w14:paraId="72EC3C1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4.3. Оборудование, поставляемое Исполнителем, должно полностью соответствовать всем техническим характеристикам, указанным в разделе 2 настоящего </w:t>
      </w:r>
      <w:r w:rsidRPr="00D7557A">
        <w:rPr>
          <w:rFonts w:ascii="Times New Roman" w:hAnsi="Times New Roman"/>
          <w:color w:val="auto"/>
          <w:sz w:val="24"/>
        </w:rPr>
        <w:lastRenderedPageBreak/>
        <w:t>технического задания. Исполнитель самостоятельно определяет производителя и модель оборудования при условии, что оно обеспечивает заявленные параметры.</w:t>
      </w:r>
    </w:p>
    <w:p w14:paraId="6BCB252F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4.4. Исполнитель обязан предоставить по запросу Заказчика инструкции по эксплуатации (руководства пользователя / мануалы) на все ключевые единицы оборудования (линейный массив, сабвуферы, усилители, мониторы, радиосистемы, видеопроцессор, LED-экран). Документы могут быть предоставлены как в бумажном, так и в электронном виде.</w:t>
      </w:r>
    </w:p>
    <w:p w14:paraId="6B5E77A1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4.5. Исполнитель несет полную материальную ответственность за сохранность оборудования с момента передачи до момента возврата по акту приема-передачи. В случае порчи или утери — замена за счет Исполнителя по рыночной стоимости нового аналога.</w:t>
      </w:r>
    </w:p>
    <w:p w14:paraId="2220498F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4.6. По окончании мероприятия Исполнитель обязан провести полную уборку площадки от строительного мусора, остатков упаковки и кабельных стяжек («сдача объекта в чистоте»).</w:t>
      </w:r>
    </w:p>
    <w:p w14:paraId="4BB2C658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4.7. Весь персонал Исполнителя, задействованный в монтаже, настройке и обслуживании оборудования, должен иметь действующие удостоверения по:</w:t>
      </w:r>
    </w:p>
    <w:p w14:paraId="246FFE2E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- электробезопасности (группа допуска не ниже II);</w:t>
      </w:r>
    </w:p>
    <w:p w14:paraId="7776E6E0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- работе на высоте (для работ свыше 5 м);</w:t>
      </w:r>
    </w:p>
    <w:p w14:paraId="27841A1C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- пожарно-техническому минимуму.</w:t>
      </w:r>
    </w:p>
    <w:p w14:paraId="11EA6C08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Копии удостоверений предоставляются Заказчику до начала монтажа по его запросу.</w:t>
      </w:r>
    </w:p>
    <w:p w14:paraId="693F29CC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37336E79" w14:textId="77777777" w:rsidR="00D46CF6" w:rsidRPr="00D7557A" w:rsidRDefault="00D46CF6">
      <w:pPr>
        <w:tabs>
          <w:tab w:val="left" w:pos="284"/>
        </w:tabs>
        <w:ind w:firstLine="851"/>
        <w:jc w:val="both"/>
        <w:rPr>
          <w:rFonts w:ascii="Times New Roman" w:hAnsi="Times New Roman"/>
          <w:color w:val="auto"/>
        </w:rPr>
      </w:pPr>
    </w:p>
    <w:p w14:paraId="4B21D8FF" w14:textId="77777777" w:rsidR="00D46CF6" w:rsidRPr="00D7557A" w:rsidRDefault="00D46CF6">
      <w:pPr>
        <w:tabs>
          <w:tab w:val="left" w:pos="284"/>
        </w:tabs>
        <w:ind w:firstLine="851"/>
        <w:jc w:val="both"/>
        <w:rPr>
          <w:rFonts w:ascii="Times New Roman" w:hAnsi="Times New Roman"/>
          <w:color w:val="auto"/>
        </w:rPr>
      </w:pPr>
    </w:p>
    <w:p w14:paraId="6C8E7B96" w14:textId="77777777" w:rsidR="00D46CF6" w:rsidRPr="00D7557A" w:rsidRDefault="00D46CF6">
      <w:pPr>
        <w:rPr>
          <w:color w:val="auto"/>
        </w:rPr>
      </w:pPr>
    </w:p>
    <w:sectPr w:rsidR="00D46CF6" w:rsidRPr="00D7557A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CF6"/>
    <w:rsid w:val="000F4CBE"/>
    <w:rsid w:val="008A5092"/>
    <w:rsid w:val="009F04E1"/>
    <w:rsid w:val="00D46CF6"/>
    <w:rsid w:val="00D7557A"/>
    <w:rsid w:val="00EC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6F09D"/>
  <w15:docId w15:val="{707D044E-04AB-4B9E-A2F4-0D3D68F3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color w:val="00000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  <w:rPr>
      <w:color w:val="00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2475</Words>
  <Characters>14113</Characters>
  <Application>Microsoft Office Word</Application>
  <DocSecurity>0</DocSecurity>
  <Lines>117</Lines>
  <Paragraphs>33</Paragraphs>
  <ScaleCrop>false</ScaleCrop>
  <Company/>
  <LinksUpToDate>false</LinksUpToDate>
  <CharactersWithSpaces>16555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Алешина</dc:creator>
  <cp:lastModifiedBy>Марина Пыко</cp:lastModifiedBy>
  <cp:revision>5</cp:revision>
  <dcterms:created xsi:type="dcterms:W3CDTF">2026-08-28T14:24:00Z</dcterms:created>
  <dcterms:modified xsi:type="dcterms:W3CDTF">2026-08-31T11:18:00Z</dcterms:modified>
</cp:coreProperties>
</file>