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9"/>
        <w:jc w:val="center"/>
        <w:rPr>
          <w:rFonts w:ascii="Times New Roman" w:hAnsi="Times New Roman" w:cs="Times New Roman"/>
          <w:b/>
          <w:color w:val="00000a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bookmarkStart w:id="0" w:name="_Hlk109917626"/>
      <w:r>
        <w:rPr>
          <w:rFonts w:ascii="Times New Roman" w:hAnsi="Times New Roman" w:eastAsia="Times New Roman" w:cs="Times New Roman"/>
          <w:highlight w:val="none"/>
        </w:rPr>
      </w:r>
      <w:bookmarkEnd w:id="0"/>
      <w:r>
        <w:rPr>
          <w:rFonts w:ascii="Times New Roman" w:hAnsi="Times New Roman" w:eastAsia="Times New Roman" w:cs="Times New Roman"/>
          <w:b/>
          <w:color w:val="00000a"/>
          <w:sz w:val="28"/>
          <w:szCs w:val="28"/>
          <w:highlight w:val="none"/>
          <w:lang w:bidi="en-US"/>
        </w:rPr>
        <w:t xml:space="preserve">ТЕХНИЧЕСКОЕ ЗАДАНИЕ</w:t>
      </w:r>
      <w:r>
        <w:rPr>
          <w:rFonts w:ascii="Times New Roman" w:hAnsi="Times New Roman" w:cs="Times New Roman"/>
          <w:b/>
          <w:color w:val="00000a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00000a"/>
          <w:sz w:val="28"/>
          <w:szCs w:val="28"/>
          <w:highlight w:val="none"/>
        </w:rPr>
      </w:r>
    </w:p>
    <w:p>
      <w:pPr>
        <w:pStyle w:val="969"/>
        <w:jc w:val="center"/>
        <w:rPr>
          <w:rFonts w:ascii="Times New Roman" w:hAnsi="Times New Roman" w:eastAsia="Times New Roman" w:cs="Times New Roman"/>
          <w:b/>
          <w:bCs/>
          <w:iCs/>
          <w:color w:val="40404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404040"/>
          <w:sz w:val="28"/>
          <w:szCs w:val="28"/>
          <w:highlight w:val="none"/>
          <w:lang w:eastAsia="ru-RU"/>
        </w:rPr>
        <w:t xml:space="preserve">на изготовление и пост</w:t>
      </w:r>
      <w:r>
        <w:rPr>
          <w:rFonts w:ascii="Times New Roman" w:hAnsi="Times New Roman" w:eastAsia="Times New Roman" w:cs="Times New Roman"/>
          <w:b/>
          <w:color w:val="404040"/>
          <w:sz w:val="28"/>
          <w:szCs w:val="28"/>
          <w:highlight w:val="none"/>
          <w:lang w:eastAsia="ru-RU"/>
        </w:rPr>
        <w:t xml:space="preserve">авку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готовых текстильных изделий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color w:val="404040"/>
          <w:sz w:val="28"/>
          <w:szCs w:val="28"/>
          <w:highlight w:val="none"/>
          <w:lang w:eastAsia="ru-RU"/>
        </w:rPr>
        <w:t xml:space="preserve">для нужд </w:t>
        <w:br/>
        <w:t xml:space="preserve">Министерства культуры Российской Федерации</w:t>
      </w:r>
      <w:r>
        <w:rPr>
          <w:rFonts w:ascii="Times New Roman" w:hAnsi="Times New Roman" w:eastAsia="Times New Roman" w:cs="Times New Roman"/>
          <w:b/>
          <w:bCs/>
          <w:iCs/>
          <w:color w:val="40404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color w:val="404040"/>
          <w:sz w:val="28"/>
          <w:szCs w:val="28"/>
          <w:highlight w:val="none"/>
        </w:rPr>
      </w:r>
    </w:p>
    <w:p>
      <w:pPr>
        <w:pStyle w:val="969"/>
        <w:jc w:val="center"/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404040"/>
          <w:sz w:val="28"/>
          <w:szCs w:val="28"/>
          <w:highlight w:val="none"/>
          <w:lang w:eastAsia="ru-RU"/>
        </w:rPr>
        <w:t xml:space="preserve">ОКПД 2 - 13.99.11.110 «Полотно тюлевое»</w:t>
      </w:r>
      <w:r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  <w:highlight w:val="none"/>
        </w:rPr>
      </w:r>
    </w:p>
    <w:p>
      <w:pPr>
        <w:pStyle w:val="9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404040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043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622"/>
        <w:gridCol w:w="6947"/>
        <w:gridCol w:w="13"/>
      </w:tblGrid>
      <w:tr>
        <w:tblPrEx/>
        <w:trPr>
          <w:gridAfter w:val="1"/>
          <w:trHeight w:val="202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vAlign w:val="center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ru-RU"/>
              </w:rPr>
              <w:t xml:space="preserve">№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ru-RU"/>
              </w:rPr>
              <w:t xml:space="preserve">п/п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vAlign w:val="center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ru-RU"/>
              </w:rPr>
              <w:t xml:space="preserve">Перечень основных требований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color w:val="00000a"/>
                <w:sz w:val="26"/>
                <w:szCs w:val="26"/>
                <w:lang w:val="ru-RU"/>
              </w:rPr>
              <w:t xml:space="preserve">Содержание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/>
        <w:trPr>
          <w:trHeight w:val="379"/>
        </w:trPr>
        <w:tc>
          <w:tcPr>
            <w:gridSpan w:val="4"/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36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color w:val="00000a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b/>
                <w:bCs/>
                <w:color w:val="00000a"/>
                <w:sz w:val="26"/>
                <w:szCs w:val="26"/>
                <w:lang w:val="ru-RU"/>
              </w:rPr>
              <w:t xml:space="preserve"> Общие положения о закупке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1.1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Основание для поставки товара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</w:t>
            </w:r>
            <w:r>
              <w:rPr>
                <w:sz w:val="26"/>
                <w:szCs w:val="26"/>
              </w:rPr>
              <w:t xml:space="preserve">нужд Министерства Культуры Российской Федерации.</w:t>
            </w:r>
            <w:r>
              <w:rPr>
                <w:i/>
                <w:iCs/>
                <w:sz w:val="26"/>
                <w:szCs w:val="26"/>
              </w:rPr>
            </w:r>
            <w:r>
              <w:rPr>
                <w:i/>
                <w:iCs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7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1.2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Наименование Зака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зчика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Министерство культуры Российской Федерации 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7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1.3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Место нахождения 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З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аказчика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52"/>
              <w:contextualSpacing w:val="0"/>
              <w:ind w:left="0"/>
              <w:spacing w:after="0" w:line="240" w:lineRule="auto"/>
              <w:shd w:val="clear" w:color="auto" w:fill="ffffff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Российская Федерация, 125993, г. Москва,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ул. Малый Гнездниковский переулок, д. 7/6, стр.1,2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color w:val="00000a"/>
                <w:sz w:val="26"/>
                <w:szCs w:val="26"/>
              </w:rPr>
            </w:pPr>
            <w:r>
              <w:rPr>
                <w:color w:val="00000a"/>
                <w:sz w:val="26"/>
                <w:szCs w:val="26"/>
              </w:rPr>
            </w:r>
            <w:r>
              <w:rPr>
                <w:color w:val="00000a"/>
                <w:sz w:val="26"/>
                <w:szCs w:val="26"/>
              </w:rPr>
            </w:r>
            <w:r>
              <w:rPr>
                <w:color w:val="00000a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83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1.4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Наименование объекта закупки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rPr>
                <w:color w:val="00000a"/>
                <w:sz w:val="26"/>
                <w:szCs w:val="26"/>
                <w:highlight w:val="none"/>
              </w:rPr>
            </w:pPr>
            <w:r>
              <w:rPr>
                <w:color w:val="00000a"/>
                <w:sz w:val="26"/>
                <w:szCs w:val="26"/>
                <w:highlight w:val="none"/>
              </w:rPr>
              <w:t xml:space="preserve">Изготовление и п</w:t>
            </w:r>
            <w:r>
              <w:rPr>
                <w:color w:val="00000a"/>
                <w:sz w:val="26"/>
                <w:szCs w:val="26"/>
                <w:highlight w:val="none"/>
              </w:rPr>
              <w:t xml:space="preserve">оставка готовых текстильных изделий для нужд Министерства Культуры Российской Федерации</w:t>
            </w:r>
            <w:r>
              <w:rPr>
                <w:color w:val="00000a"/>
                <w:sz w:val="26"/>
                <w:szCs w:val="26"/>
                <w:highlight w:val="none"/>
              </w:rPr>
            </w:r>
            <w:r>
              <w:rPr>
                <w:color w:val="00000a"/>
                <w:sz w:val="26"/>
                <w:szCs w:val="26"/>
                <w:highlight w:val="none"/>
              </w:rPr>
            </w:r>
          </w:p>
        </w:tc>
      </w:tr>
      <w:tr>
        <w:tblPrEx/>
        <w:trPr>
          <w:gridAfter w:val="1"/>
          <w:trHeight w:val="37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5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Условия и сроки оплаты товара 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1"/>
              <w:jc w:val="both"/>
              <w:rPr>
                <w:color w:val="00000a"/>
                <w:sz w:val="26"/>
                <w:szCs w:val="26"/>
              </w:rPr>
            </w:pP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Цена </w:t>
            </w: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Контракта</w:t>
            </w: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 включает в себя стоимость товара, все расходы по</w:t>
            </w: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 изготовлению, доставке </w:t>
            </w: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и навешиванию готовых изделий</w:t>
            </w:r>
            <w:r>
              <w:rPr>
                <w:rFonts w:eastAsia="Times New Roman" w:cs="Times New Roman"/>
                <w:color w:val="00000a"/>
                <w:sz w:val="26"/>
                <w:szCs w:val="26"/>
                <w:lang w:val="ru-RU"/>
              </w:rPr>
              <w:t xml:space="preserve">. 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Оплата за 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товар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 осуществляется Заказчиком путем перечисления денежных средств в рублях Российской Федерации на расчетный счет 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Поставщика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, указанный в Контракте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.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Заказчик обязуется перечислить денежные средства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в размере 100 %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в течение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7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 рабочих дней с даты подписания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товарной накладной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/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универсального передаточного документа</w:t>
            </w:r>
            <w:r>
              <w:rPr>
                <w:rFonts w:cs="Times New Roman"/>
                <w:color w:val="4f81bd" w:themeColor="accent1"/>
                <w:sz w:val="26"/>
                <w:szCs w:val="26"/>
                <w:lang w:val="ru-RU"/>
              </w:rPr>
              <w:t xml:space="preserve">.</w:t>
            </w:r>
            <w:r>
              <w:rPr>
                <w:color w:val="00000a"/>
                <w:sz w:val="26"/>
                <w:szCs w:val="26"/>
              </w:rPr>
            </w:r>
            <w:r>
              <w:rPr>
                <w:color w:val="00000a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37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6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Срок 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и условия 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поставки товара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Поставка и навешивание изготовленного товара осуществляется в </w:t>
            </w:r>
            <w:r>
              <w:rPr>
                <w:color w:val="000000" w:themeColor="text1"/>
                <w:sz w:val="26"/>
                <w:szCs w:val="26"/>
              </w:rPr>
              <w:t xml:space="preserve">единовременном порядке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Способ доставки товара </w:t>
            </w:r>
            <w:r>
              <w:rPr>
                <w:sz w:val="26"/>
                <w:szCs w:val="26"/>
              </w:rPr>
              <w:t xml:space="preserve">до </w:t>
            </w:r>
            <w:r>
              <w:rPr>
                <w:bCs/>
                <w:iCs/>
                <w:sz w:val="26"/>
                <w:szCs w:val="26"/>
              </w:rPr>
              <w:t xml:space="preserve">Государственного з</w:t>
            </w:r>
            <w:r>
              <w:rPr>
                <w:sz w:val="26"/>
                <w:szCs w:val="26"/>
              </w:rPr>
              <w:t xml:space="preserve">аказчика определяется Поставщиком самостоятельно. </w:t>
            </w:r>
            <w:r>
              <w:rPr>
                <w:bCs/>
                <w:iCs/>
                <w:sz w:val="26"/>
                <w:szCs w:val="26"/>
              </w:rPr>
              <w:t xml:space="preserve">Государственным з</w:t>
            </w:r>
            <w:r>
              <w:rPr>
                <w:sz w:val="26"/>
                <w:szCs w:val="26"/>
              </w:rPr>
              <w:t xml:space="preserve">аказчиком не возмещаются</w:t>
            </w:r>
            <w:r>
              <w:rPr>
                <w:sz w:val="26"/>
                <w:szCs w:val="26"/>
              </w:rPr>
              <w:t xml:space="preserve"> расходы по доставке</w:t>
            </w:r>
            <w:r>
              <w:rPr>
                <w:sz w:val="26"/>
                <w:szCs w:val="26"/>
              </w:rPr>
              <w:t xml:space="preserve"> товара.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поставки товара: с</w:t>
            </w:r>
            <w:r>
              <w:rPr>
                <w:sz w:val="26"/>
                <w:szCs w:val="26"/>
              </w:rPr>
              <w:t xml:space="preserve"> да</w:t>
            </w:r>
            <w:r>
              <w:rPr>
                <w:sz w:val="26"/>
                <w:szCs w:val="26"/>
              </w:rPr>
              <w:t xml:space="preserve">ты заключения контракта </w:t>
              <w:br/>
              <w:t xml:space="preserve">15</w:t>
            </w:r>
            <w:r>
              <w:rPr>
                <w:sz w:val="26"/>
                <w:szCs w:val="26"/>
              </w:rPr>
              <w:t xml:space="preserve"> рабочих дней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color w:val="4f81bd" w:themeColor="accent1"/>
                <w:sz w:val="26"/>
                <w:szCs w:val="26"/>
              </w:rPr>
            </w:pPr>
            <w:r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7</w:t>
            </w:r>
            <w:r>
              <w:rPr>
                <w:rFonts w:cs="Times New Roman"/>
                <w:color w:val="4f81bd" w:themeColor="accent1"/>
                <w:sz w:val="26"/>
                <w:szCs w:val="26"/>
              </w:rPr>
            </w:r>
            <w:r>
              <w:rPr>
                <w:rFonts w:cs="Times New Roman"/>
                <w:color w:val="4f81bd" w:themeColor="accen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cs="Times New Roman"/>
                <w:color w:val="4f81bd" w:themeColor="accent1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auto"/>
                <w:sz w:val="26"/>
                <w:szCs w:val="26"/>
                <w:lang w:val="ru-RU"/>
              </w:rPr>
              <w:t xml:space="preserve">Источник финансирован</w:t>
            </w:r>
            <w:r>
              <w:rPr>
                <w:rFonts w:eastAsia="Times New Roman" w:cs="Times New Roman"/>
                <w:b/>
                <w:color w:val="auto"/>
                <w:sz w:val="26"/>
                <w:szCs w:val="26"/>
              </w:rPr>
              <w:t xml:space="preserve">ия</w:t>
            </w:r>
            <w:r>
              <w:rPr>
                <w:rFonts w:cs="Times New Roman"/>
                <w:color w:val="4f81bd" w:themeColor="accent1"/>
                <w:sz w:val="26"/>
                <w:szCs w:val="26"/>
              </w:rPr>
            </w:r>
            <w:r>
              <w:rPr>
                <w:rFonts w:cs="Times New Roman"/>
                <w:color w:val="4f81bd" w:themeColor="accen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jc w:val="both"/>
              <w:rPr>
                <w:color w:val="4f81bd" w:themeColor="accen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Средства федерального бюджета</w:t>
            </w:r>
            <w:r>
              <w:rPr>
                <w:color w:val="4f81bd" w:themeColor="accent1"/>
                <w:sz w:val="26"/>
                <w:szCs w:val="26"/>
              </w:rPr>
            </w:r>
            <w:r>
              <w:rPr>
                <w:color w:val="4f81bd" w:themeColor="accent1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8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Количественные, качественные и т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ехнические характеристики 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товара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Тюль - 8 комплектов</w:t>
            </w:r>
            <w:r>
              <w:rPr>
                <w:sz w:val="22"/>
                <w:szCs w:val="22"/>
              </w:rPr>
            </w:r>
          </w:p>
          <w:p>
            <w:pPr>
              <w:pStyle w:val="971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Изделия (тюль) не должны выделять запахов, должны иметь повышенную влагост</w:t>
            </w:r>
            <w:r>
              <w:rPr>
                <w:sz w:val="26"/>
                <w:szCs w:val="26"/>
              </w:rPr>
              <w:t xml:space="preserve">ойкость, выполнены из материала устойчивого </w:t>
            </w:r>
            <w:r>
              <w:rPr>
                <w:sz w:val="26"/>
                <w:szCs w:val="26"/>
              </w:rPr>
              <w:t xml:space="preserve">к выгоранию, усадке и деформации</w:t>
            </w:r>
            <w:r>
              <w:rPr>
                <w:sz w:val="26"/>
                <w:szCs w:val="26"/>
              </w:rPr>
              <w:t xml:space="preserve">. </w:t>
              <w:br/>
              <w:t xml:space="preserve">Ширина 150-160 см., Высота 308-310</w:t>
            </w:r>
            <w:r>
              <w:rPr>
                <w:sz w:val="26"/>
                <w:szCs w:val="26"/>
              </w:rPr>
              <w:t xml:space="preserve"> см.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971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сновным сырьем в производстве тюли должны быть химические нити (полиамидные и полиэфирные) и смесовая пряжа: полиамидные, полиэфирные и полипропиленовые нити. Полиамидные нити должны придавать тюлевому полотну прочность, упругость и должны позволить добить</w:t>
            </w:r>
            <w:r>
              <w:rPr>
                <w:sz w:val="26"/>
                <w:szCs w:val="26"/>
              </w:rPr>
              <w:t xml:space="preserve">ся производства плотностью от 6</w:t>
            </w:r>
            <w:r>
              <w:rPr>
                <w:sz w:val="26"/>
                <w:szCs w:val="26"/>
              </w:rPr>
              <w:t xml:space="preserve">5 до 85 ячеек на 1 см</w:t>
            </w:r>
            <w:r>
              <w:rPr>
                <w:sz w:val="26"/>
                <w:szCs w:val="26"/>
                <w:vertAlign w:val="superscript"/>
              </w:rPr>
              <w:t xml:space="preserve">2</w:t>
            </w:r>
            <w:r>
              <w:rPr>
                <w:sz w:val="26"/>
                <w:szCs w:val="26"/>
              </w:rPr>
              <w:t xml:space="preserve"> Полиэфирные нити должны </w:t>
            </w:r>
            <w:r>
              <w:rPr>
                <w:sz w:val="26"/>
                <w:szCs w:val="26"/>
              </w:rPr>
              <w:t xml:space="preserve">быть комплексными обычной крутки и нити повышенной линейной плотности. Тюль должна быть изготовлена с учетом коэффициента сборки не хуже 2,5 м ткани на 1 м карниза. Плотность полотна должна обеспечивать формоустойчивость. При промере не должно допускаться </w:t>
            </w:r>
            <w:r>
              <w:rPr>
                <w:sz w:val="26"/>
                <w:szCs w:val="26"/>
              </w:rPr>
              <w:t xml:space="preserve">натягивание полотна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 Состав должен быть: не более 95% полиэстер, не менее 5% хлопок, вес менее 4</w:t>
            </w:r>
            <w:r>
              <w:rPr>
                <w:sz w:val="26"/>
                <w:szCs w:val="26"/>
              </w:rPr>
              <w:t xml:space="preserve">5, но не более 60 г/м</w:t>
            </w:r>
            <w:r>
              <w:rPr>
                <w:sz w:val="26"/>
                <w:szCs w:val="26"/>
                <w:vertAlign w:val="superscript"/>
              </w:rPr>
              <w:t xml:space="preserve">2</w:t>
            </w:r>
            <w:r>
              <w:rPr>
                <w:sz w:val="26"/>
                <w:szCs w:val="26"/>
              </w:rPr>
              <w:t xml:space="preserve">. Содержание в одном сантиметре не мене</w:t>
            </w:r>
            <w:r>
              <w:rPr>
                <w:sz w:val="26"/>
                <w:szCs w:val="26"/>
              </w:rPr>
              <w:t xml:space="preserve">е 60 на 30 нитей по утку и основе, направление кромок нужно горизонтальное. Ткань должна быть: прочная и долговечная применения, износостойкость (тест по Мартиндейлу – более 15000 циклов); устойчивость к пилингообразованию не ниже 5 класса; должны быть вод</w:t>
            </w:r>
            <w:r>
              <w:rPr>
                <w:sz w:val="26"/>
                <w:szCs w:val="26"/>
              </w:rPr>
              <w:t xml:space="preserve">оотталкивающие, а так же должны </w:t>
            </w:r>
            <w:r>
              <w:rPr>
                <w:sz w:val="26"/>
                <w:szCs w:val="26"/>
              </w:rPr>
              <w:t xml:space="preserve">быть грязеотталкивающие свойства; цветоустойчивость (не выгорает на свету, не линяет), устойчивость к свету не ниже 5-6 класса; устойчивость к деформации при чистке и стирке при температуре воды прохладнее сорока градусо</w:t>
            </w:r>
            <w:r>
              <w:rPr>
                <w:sz w:val="26"/>
                <w:szCs w:val="26"/>
              </w:rPr>
              <w:t xml:space="preserve">в. Усадка ткани не более 0,1%. Полотно должно быть выполнено по технологии кручения, должно быть устойчивое к смещению нити в ткани. Для изготовления изделия должна использоваться ткань чистая, без производственных дефектов и повреждений поверхности ткани.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Каждая единица готового изделия должна быть упакована в отдельную упаковку из полипропиленовой пленки.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Поставщик должен произвести контрольные замеры и согласовать: цвет, дизайн</w:t>
            </w:r>
            <w:r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по образцам).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hd w:val="clear" w:color="auto" w:fill="ffffff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</w:r>
            <w:r>
              <w:rPr>
                <w:rFonts w:eastAsiaTheme="minorHAnsi"/>
                <w:sz w:val="26"/>
                <w:szCs w:val="26"/>
              </w:rPr>
            </w:r>
            <w:r>
              <w:rPr>
                <w:rFonts w:eastAsiaTheme="minorHAnsi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9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Функциональные характеристики 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товар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Обеспечение безопасности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: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val="ru-RU"/>
              </w:rPr>
              <w:t xml:space="preserve">Изделие должно быть безопасно и не пр</w:t>
            </w:r>
            <w:r>
              <w:rPr>
                <w:rFonts w:eastAsiaTheme="minorHAnsi"/>
                <w:sz w:val="26"/>
                <w:szCs w:val="26"/>
                <w:lang w:val="ru-RU"/>
              </w:rPr>
              <w:t xml:space="preserve">иносить травмы при эксплуатации и соответствовать заявленным характеристикам.</w:t>
            </w:r>
            <w:r>
              <w:rPr>
                <w:rFonts w:eastAsiaTheme="minorHAnsi"/>
                <w:sz w:val="26"/>
                <w:szCs w:val="26"/>
                <w:lang w:val="ru-RU"/>
              </w:rPr>
              <w:t xml:space="preserve"> Гарантийные</w:t>
            </w:r>
            <w:r>
              <w:rPr>
                <w:rFonts w:eastAsiaTheme="minorHAnsi"/>
                <w:sz w:val="26"/>
                <w:szCs w:val="26"/>
              </w:rPr>
              <w:t xml:space="preserve"> обязательства</w:t>
            </w:r>
            <w:r>
              <w:rPr>
                <w:rFonts w:eastAsiaTheme="minorHAnsi"/>
                <w:sz w:val="26"/>
                <w:szCs w:val="26"/>
              </w:rPr>
              <w:t xml:space="preserve">,</w:t>
            </w:r>
            <w:r>
              <w:rPr>
                <w:rFonts w:eastAsiaTheme="minorHAnsi"/>
                <w:sz w:val="26"/>
                <w:szCs w:val="26"/>
              </w:rPr>
              <w:t xml:space="preserve"> на </w:t>
            </w:r>
            <w:r>
              <w:rPr>
                <w:rFonts w:eastAsiaTheme="minorHAnsi"/>
                <w:sz w:val="26"/>
                <w:szCs w:val="26"/>
              </w:rPr>
              <w:t xml:space="preserve">поставляемый товар составляют 12</w:t>
            </w:r>
            <w:r>
              <w:rPr>
                <w:rFonts w:eastAsiaTheme="minorHAnsi"/>
                <w:sz w:val="26"/>
                <w:szCs w:val="26"/>
              </w:rPr>
              <w:t xml:space="preserve"> месяцев. 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vMerge w:val="restart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1.10</w:t>
            </w:r>
            <w:r>
              <w:rPr>
                <w:rFonts w:cs="Times New Roman"/>
                <w:sz w:val="26"/>
                <w:szCs w:val="26"/>
                <w:lang w:val="ru-RU"/>
              </w:rPr>
            </w:r>
            <w:r>
              <w:rPr>
                <w:rFonts w:cs="Times New Roman"/>
                <w:sz w:val="26"/>
                <w:szCs w:val="26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Обязательные условия</w:t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</w: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vMerge w:val="restart"/>
            <w:textDirection w:val="lrTb"/>
            <w:noWrap w:val="false"/>
          </w:tcPr>
          <w:p>
            <w:pPr>
              <w:pStyle w:val="971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При поставке готовые текстильные изделия сопровождается копией действующего сертификата (или гарантийным письмом подрядчика) на предмет отсутствия опасных для человека веществ.</w:t>
            </w:r>
            <w:r>
              <w:rPr>
                <w:sz w:val="26"/>
                <w:szCs w:val="26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1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Модел</w:t>
            </w:r>
            <w:r>
              <w:rPr>
                <w:sz w:val="26"/>
                <w:szCs w:val="26"/>
              </w:rPr>
              <w:t xml:space="preserve">ирование силуэта тюли</w:t>
            </w:r>
            <w:r>
              <w:rPr>
                <w:sz w:val="26"/>
                <w:szCs w:val="26"/>
              </w:rPr>
              <w:t xml:space="preserve">, комбинация видов ткани, цветовая композиция ткани - согласовывается с Заказчиком по каждому оконному проему с учетом дизайна и цветового баланса помещения на этапе линейных замеров.</w:t>
            </w:r>
            <w:r>
              <w:rPr>
                <w:sz w:val="26"/>
                <w:szCs w:val="26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1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Выполнение обмера световых проемов производится собственными силами и средствами Подрядчика.</w:t>
            </w:r>
            <w:r>
              <w:rPr>
                <w:sz w:val="26"/>
                <w:szCs w:val="26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1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Обязательное предоставление Подрядчиком эскизов и образцов ткани для согласования и утверждения Заказчиком.</w:t>
            </w:r>
            <w:r>
              <w:rPr>
                <w:sz w:val="26"/>
                <w:szCs w:val="26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71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Выполнение работ по </w:t>
            </w:r>
            <w:r>
              <w:rPr>
                <w:sz w:val="26"/>
                <w:szCs w:val="26"/>
              </w:rPr>
              <w:t xml:space="preserve">пошиву, демонтажу, </w:t>
            </w:r>
            <w:r>
              <w:rPr>
                <w:sz w:val="26"/>
                <w:szCs w:val="26"/>
              </w:rPr>
              <w:t xml:space="preserve">навешиванию, гла</w:t>
            </w:r>
            <w:r>
              <w:rPr>
                <w:sz w:val="26"/>
                <w:szCs w:val="26"/>
              </w:rPr>
              <w:t xml:space="preserve">жке готовых текстильных изделия</w:t>
            </w:r>
            <w:r>
              <w:rPr>
                <w:sz w:val="26"/>
                <w:szCs w:val="26"/>
              </w:rPr>
              <w:t xml:space="preserve"> производится силами и средствами Подрядчика в помещениях Заказчика.</w:t>
            </w:r>
            <w:r>
              <w:rPr>
                <w:sz w:val="26"/>
                <w:szCs w:val="26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1.1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1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Ответственное должностное лицо заказчика, контакты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1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+7-495-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629-10-10 доб. 1502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ru-RU"/>
              </w:rPr>
            </w:r>
            <w:r>
              <w:rPr>
                <w:rFonts w:cs="Times New Roman"/>
                <w:sz w:val="26"/>
                <w:szCs w:val="26"/>
                <w:lang w:val="ru-RU"/>
              </w:rPr>
            </w:r>
          </w:p>
          <w:p>
            <w:pPr>
              <w:pStyle w:val="97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Тряпочкин Александр Сергеевич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  <w:p>
            <w:pPr>
              <w:pStyle w:val="971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a.tryapochkin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@culture.gov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ru-RU"/>
              </w:rPr>
              <w:t xml:space="preserve">.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ru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20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1.1</w:t>
            </w:r>
            <w:r>
              <w:rPr>
                <w:rFonts w:cs="Times New Roman"/>
                <w:sz w:val="26"/>
                <w:szCs w:val="26"/>
                <w:lang w:val="ru-RU"/>
              </w:rPr>
              <w:t xml:space="preserve">2</w:t>
            </w:r>
            <w:r>
              <w:rPr>
                <w:rFonts w:cs="Times New Roman"/>
                <w:sz w:val="26"/>
                <w:szCs w:val="26"/>
              </w:rPr>
            </w: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1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ru-RU"/>
              </w:rPr>
              <w:t xml:space="preserve">Место поставки товара</w:t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  <w:r>
              <w:rPr>
                <w:rFonts w:eastAsia="Times New Roman" w:cs="Times New Roman"/>
                <w:b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52"/>
              <w:contextualSpacing w:val="0"/>
              <w:ind w:left="0"/>
              <w:spacing w:after="0" w:line="240" w:lineRule="auto"/>
              <w:shd w:val="clear" w:color="auto" w:fill="ffffff"/>
              <w:tabs>
                <w:tab w:val="left" w:pos="1134" w:leader="none"/>
              </w:tabs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Российская Федерация, 125993, г. Москва,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ул. Малый Гнездниковский переулок, д. 7/6, стр.1,2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gridAfter w:val="1"/>
          <w:trHeight w:val="621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423" w:type="dxa"/>
            <w:textDirection w:val="lrTb"/>
            <w:noWrap w:val="false"/>
          </w:tcPr>
          <w:p>
            <w:pPr>
              <w:pStyle w:val="973"/>
              <w:jc w:val="center"/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973"/>
              <w:numPr>
                <w:ilvl w:val="0"/>
                <w:numId w:val="38"/>
              </w:numPr>
              <w:jc w:val="center"/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Порядок сдачи приемки </w:t>
            </w:r>
            <w:r>
              <w:rPr>
                <w:b/>
                <w:bCs/>
                <w:sz w:val="26"/>
                <w:szCs w:val="26"/>
              </w:rPr>
              <w:t xml:space="preserve">товара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973"/>
              <w:ind w:left="720"/>
              <w:jc w:val="center"/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>
          <w:gridAfter w:val="1"/>
          <w:trHeight w:val="1479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4" w:type="dxa"/>
            <w:textDirection w:val="lrTb"/>
            <w:noWrap w:val="false"/>
          </w:tcPr>
          <w:p>
            <w:pPr>
              <w:pStyle w:val="972"/>
              <w:jc w:val="center"/>
              <w:rPr>
                <w:rFonts w:cs="Times New Roman"/>
                <w:bCs/>
                <w:color w:val="auto"/>
                <w:sz w:val="26"/>
                <w:szCs w:val="26"/>
              </w:rPr>
            </w:pPr>
            <w:r>
              <w:rPr>
                <w:rFonts w:cs="Times New Roman"/>
                <w:bCs/>
                <w:color w:val="auto"/>
                <w:sz w:val="26"/>
                <w:szCs w:val="26"/>
                <w:lang w:val="ru-RU"/>
              </w:rPr>
              <w:t xml:space="preserve">4</w:t>
            </w:r>
            <w:r>
              <w:rPr>
                <w:rFonts w:cs="Times New Roman"/>
                <w:bCs/>
                <w:color w:val="auto"/>
                <w:sz w:val="26"/>
                <w:szCs w:val="26"/>
                <w:lang w:val="ru-RU"/>
              </w:rPr>
              <w:t xml:space="preserve">.1</w:t>
            </w:r>
            <w:r>
              <w:rPr>
                <w:rFonts w:cs="Times New Roman"/>
                <w:bCs/>
                <w:color w:val="auto"/>
                <w:sz w:val="26"/>
                <w:szCs w:val="26"/>
              </w:rPr>
            </w:r>
            <w:r>
              <w:rPr>
                <w:rFonts w:cs="Times New Roman"/>
                <w:bCs/>
                <w:color w:val="auto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22" w:type="dxa"/>
            <w:textDirection w:val="lrTb"/>
            <w:noWrap w:val="false"/>
          </w:tcPr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  <w:t xml:space="preserve">Сдача товара</w:t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  <w:p>
            <w:pPr>
              <w:pStyle w:val="972"/>
              <w:rPr>
                <w:rFonts w:cs="Times New Roman"/>
                <w:b/>
                <w:color w:val="auto"/>
                <w:sz w:val="26"/>
                <w:szCs w:val="26"/>
              </w:rPr>
            </w:pP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  <w:t xml:space="preserve">П</w:t>
            </w:r>
            <w:r>
              <w:rPr>
                <w:rFonts w:cs="Times New Roman"/>
                <w:b/>
                <w:color w:val="auto"/>
                <w:sz w:val="26"/>
                <w:szCs w:val="26"/>
                <w:lang w:val="ru-RU"/>
              </w:rPr>
              <w:t xml:space="preserve">риемка товара</w:t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  <w:r>
              <w:rPr>
                <w:rFonts w:cs="Times New Roman"/>
                <w:b/>
                <w:color w:val="auto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47" w:type="dxa"/>
            <w:textDirection w:val="lrTb"/>
            <w:noWrap w:val="false"/>
          </w:tcPr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Приемка Товара проводится Заказчиком в следующем порядке: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проверка соответствия информации, указанной в товарной накладной или УПД, условиям договора;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проверка наличия и правильности оформления документов, подтверждающих качество и безопасность поставленного Товара;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проверка соответствия количества Товара, указанного в товарной накладной или УПД и фактически доставленного Заказчику;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проверка целостности упаковки, температурного режима и влажности перевозки, качества Товара, срока его годности.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Товар, не соответствующий требованиям настоящего Технического задания, считается не по</w:t>
            </w:r>
            <w:r>
              <w:rPr>
                <w:sz w:val="26"/>
                <w:szCs w:val="26"/>
              </w:rPr>
              <w:t xml:space="preserve">ставленным. Заказчик в течение 2</w:t>
            </w:r>
            <w:r>
              <w:rPr>
                <w:sz w:val="26"/>
                <w:szCs w:val="26"/>
              </w:rPr>
              <w:t xml:space="preserve"> рабочих дней с даты поставки направляет мотивированный отказ от приемки некачественного (несоответствующего) товара.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Поставщик обязан за свой счет вывезти Товар и заменить его на Товар надлежащего качества в срок, соглас</w:t>
            </w:r>
            <w:r>
              <w:rPr>
                <w:sz w:val="26"/>
                <w:szCs w:val="26"/>
              </w:rPr>
              <w:t xml:space="preserve">ованный Сторонами, но не более 2</w:t>
            </w:r>
            <w:r>
              <w:rPr>
                <w:sz w:val="26"/>
                <w:szCs w:val="26"/>
              </w:rPr>
              <w:t xml:space="preserve"> рабочих дней с даты получения соответствующего требования Заказчика.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73"/>
              <w:jc w:val="both"/>
              <w:spacing w:before="0" w:after="0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Приемка Товара Заказчиком производится в рабочие дни с понедельника по </w:t>
            </w:r>
            <w:r>
              <w:rPr>
                <w:sz w:val="26"/>
                <w:szCs w:val="26"/>
              </w:rPr>
              <w:t xml:space="preserve">пятницу с 09-00 часов до 17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00 часов, обеденный перерыв с 12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  <w:t xml:space="preserve">30 до 13-30 (время московское)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color w:val="000000" w:themeColor="text1"/>
                <w:sz w:val="26"/>
                <w:szCs w:val="26"/>
              </w:rPr>
              <w:t xml:space="preserve">Датой приемки товара считается дата подписания товарной накладной</w:t>
            </w:r>
            <w:r>
              <w:rPr>
                <w:color w:val="000000" w:themeColor="text1"/>
                <w:sz w:val="26"/>
                <w:szCs w:val="26"/>
              </w:rPr>
              <w:t xml:space="preserve"> или </w:t>
            </w:r>
            <w:r>
              <w:rPr>
                <w:color w:val="000000" w:themeColor="text1"/>
                <w:sz w:val="26"/>
                <w:szCs w:val="26"/>
              </w:rPr>
              <w:t xml:space="preserve">универсального передаточного </w:t>
            </w:r>
            <w:r>
              <w:rPr>
                <w:color w:val="000000" w:themeColor="text1"/>
                <w:sz w:val="26"/>
                <w:szCs w:val="26"/>
              </w:rPr>
              <w:t xml:space="preserve">документа</w:t>
            </w:r>
            <w:r>
              <w:rPr>
                <w:color w:val="000000" w:themeColor="text1"/>
                <w:sz w:val="26"/>
                <w:szCs w:val="26"/>
              </w:rPr>
              <w:t xml:space="preserve">.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</w:r>
            <w:r>
              <w:rPr>
                <w:i/>
                <w:iCs/>
                <w:sz w:val="26"/>
                <w:szCs w:val="26"/>
              </w:rPr>
            </w:r>
            <w:r>
              <w:rPr>
                <w:i/>
                <w:iCs/>
                <w:sz w:val="26"/>
                <w:szCs w:val="26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536" w:right="426" w:bottom="284" w:left="568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ucida Sans Unicode">
    <w:panose1 w:val="020B0502040504020204"/>
  </w:font>
  <w:font w:name="Tahoma">
    <w:panose1 w:val="020B0604030504040204"/>
  </w:font>
  <w:font w:name="Calibri">
    <w:panose1 w:val="020F0502020204030204"/>
  </w:font>
  <w:font w:name="Wingdings 2">
    <w:panose1 w:val="050401020108070707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rPr>
        <w:rStyle w:val="951"/>
      </w:rPr>
      <w:framePr w:wrap="around" w:vAnchor="text" w:hAnchor="margin" w:xAlign="center" w:y="1"/>
    </w:pPr>
    <w:r>
      <w:rPr>
        <w:rStyle w:val="951"/>
      </w:rPr>
      <w:fldChar w:fldCharType="begin"/>
    </w:r>
    <w:r>
      <w:rPr>
        <w:rStyle w:val="951"/>
      </w:rPr>
      <w:instrText xml:space="preserve">PAGE  </w:instrText>
    </w:r>
    <w:r>
      <w:rPr>
        <w:rStyle w:val="951"/>
      </w:rPr>
      <w:fldChar w:fldCharType="separate"/>
    </w:r>
    <w:r>
      <w:rPr>
        <w:rStyle w:val="951"/>
      </w:rPr>
      <w:t xml:space="preserve">4</w:t>
    </w:r>
    <w:r>
      <w:rPr>
        <w:rStyle w:val="951"/>
      </w:rPr>
      <w:fldChar w:fldCharType="end"/>
    </w:r>
    <w:r>
      <w:rPr>
        <w:rStyle w:val="951"/>
      </w:rPr>
    </w:r>
    <w:r>
      <w:rPr>
        <w:rStyle w:val="951"/>
      </w:rPr>
    </w:r>
  </w:p>
  <w:p>
    <w:pPr>
      <w:pStyle w:val="94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rPr>
        <w:rStyle w:val="951"/>
      </w:rPr>
      <w:framePr w:wrap="around" w:vAnchor="text" w:hAnchor="margin" w:xAlign="center" w:y="1"/>
    </w:pPr>
    <w:r>
      <w:rPr>
        <w:rStyle w:val="951"/>
      </w:rPr>
      <w:fldChar w:fldCharType="begin"/>
    </w:r>
    <w:r>
      <w:rPr>
        <w:rStyle w:val="951"/>
      </w:rPr>
      <w:instrText xml:space="preserve">PAGE  </w:instrText>
    </w:r>
    <w:r>
      <w:rPr>
        <w:rStyle w:val="951"/>
      </w:rPr>
      <w:fldChar w:fldCharType="separate"/>
    </w:r>
    <w:r>
      <w:rPr>
        <w:rStyle w:val="951"/>
      </w:rPr>
      <w:t xml:space="preserve">2</w:t>
    </w:r>
    <w:r>
      <w:rPr>
        <w:rStyle w:val="951"/>
      </w:rPr>
      <w:fldChar w:fldCharType="end"/>
    </w:r>
    <w:r>
      <w:rPr>
        <w:rStyle w:val="951"/>
      </w:rPr>
    </w:r>
    <w:r>
      <w:rPr>
        <w:rStyle w:val="951"/>
      </w:rPr>
    </w:r>
  </w:p>
  <w:p>
    <w:pPr>
      <w:pStyle w:val="94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394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5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1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7"/>
      <w:numFmt w:val="upperRoman"/>
      <w:isLgl w:val="false"/>
      <w:suff w:val="tab"/>
      <w:lvlText w:val="%1."/>
      <w:lvlJc w:val="left"/>
      <w:pPr>
        <w:ind w:left="3414" w:hanging="720"/>
      </w:pPr>
      <w:rPr>
        <w:rFonts w:hint="default"/>
      </w:rPr>
    </w:lvl>
    <w:lvl w:ilvl="1">
      <w:start w:val="3"/>
      <w:numFmt w:val="decimal"/>
      <w:isLgl/>
      <w:suff w:val="tab"/>
      <w:lvlText w:val="%1.%2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"/>
      <w:lvlJc w:val="left"/>
      <w:pPr>
        <w:ind w:left="3774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"/>
      <w:lvlJc w:val="left"/>
      <w:pPr>
        <w:ind w:left="3774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"/>
      <w:lvlJc w:val="left"/>
      <w:pPr>
        <w:ind w:left="4134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134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494" w:hanging="1800"/>
      </w:pPr>
      <w:rPr>
        <w:rFonts w:hint="default"/>
        <w:b w:val="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10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multiLevelType w:val="hybridMultilevel"/>
    <w:lvl w:ilvl="0">
      <w:start w:val="6"/>
      <w:numFmt w:val="upperRoman"/>
      <w:isLgl w:val="false"/>
      <w:suff w:val="tab"/>
      <w:lvlText w:val="%1."/>
      <w:lvlJc w:val="left"/>
      <w:pPr>
        <w:ind w:left="3774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77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77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13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13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49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85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854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90" w:hanging="510"/>
        <w:tabs>
          <w:tab w:val="num" w:pos="1590" w:leader="none"/>
        </w:tabs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  <w:tabs>
          <w:tab w:val="num" w:pos="39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  <w:tabs>
          <w:tab w:val="num" w:pos="54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  <w:tabs>
          <w:tab w:val="num" w:pos="64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  <w:tabs>
          <w:tab w:val="num" w:pos="79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  <w:tabs>
          <w:tab w:val="num" w:pos="90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  <w:tabs>
          <w:tab w:val="num" w:pos="10440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5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4" w:hanging="180"/>
      </w:pPr>
    </w:lvl>
  </w:abstractNum>
  <w:abstractNum w:abstractNumId="13">
    <w:multiLevelType w:val="hybridMultilevel"/>
    <w:lvl w:ilvl="0">
      <w:start w:val="7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960" w:hanging="600"/>
      </w:pPr>
      <w:rPr>
        <w:rFonts w:hint="default"/>
      </w:rPr>
    </w:lvl>
    <w:lvl w:ilvl="2">
      <w:start w:val="8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32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3054" w:hanging="360"/>
      </w:pPr>
    </w:lvl>
    <w:lvl w:ilvl="1">
      <w:start w:val="3"/>
      <w:numFmt w:val="decimal"/>
      <w:isLgl/>
      <w:suff w:val="tab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3054" w:hanging="360"/>
      </w:pPr>
    </w:lvl>
    <w:lvl w:ilvl="1">
      <w:start w:val="3"/>
      <w:numFmt w:val="decimal"/>
      <w:isLgl/>
      <w:suff w:val="tab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4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5"/>
  </w:num>
  <w:num w:numId="4">
    <w:abstractNumId w:val="6"/>
  </w:num>
  <w:num w:numId="5">
    <w:abstractNumId w:val="9"/>
  </w:num>
  <w:num w:numId="6">
    <w:abstractNumId w:val="19"/>
  </w:num>
  <w:num w:numId="7">
    <w:abstractNumId w:val="30"/>
  </w:num>
  <w:num w:numId="8">
    <w:abstractNumId w:val="24"/>
  </w:num>
  <w:num w:numId="9">
    <w:abstractNumId w:val="23"/>
  </w:num>
  <w:num w:numId="10">
    <w:abstractNumId w:val="11"/>
  </w:num>
  <w:num w:numId="11">
    <w:abstractNumId w:val="17"/>
  </w:num>
  <w:num w:numId="12">
    <w:abstractNumId w:val="5"/>
  </w:num>
  <w:num w:numId="13">
    <w:abstractNumId w:val="12"/>
  </w:num>
  <w:num w:numId="14">
    <w:abstractNumId w:val="1"/>
  </w:num>
  <w:num w:numId="15">
    <w:abstractNumId w:val="28"/>
  </w:num>
  <w:num w:numId="16">
    <w:abstractNumId w:val="31"/>
  </w:num>
  <w:num w:numId="17">
    <w:abstractNumId w:val="2"/>
  </w:num>
  <w:num w:numId="18">
    <w:abstractNumId w:val="14"/>
  </w:num>
  <w:num w:numId="19">
    <w:abstractNumId w:val="8"/>
  </w:num>
  <w:num w:numId="20">
    <w:abstractNumId w:val="13"/>
  </w:num>
  <w:num w:numId="21">
    <w:abstractNumId w:val="25"/>
  </w:num>
  <w:num w:numId="22">
    <w:abstractNumId w:val="38"/>
  </w:num>
  <w:num w:numId="23">
    <w:abstractNumId w:val="4"/>
  </w:num>
  <w:num w:numId="24">
    <w:abstractNumId w:val="36"/>
  </w:num>
  <w:num w:numId="25">
    <w:abstractNumId w:val="39"/>
  </w:num>
  <w:num w:numId="26">
    <w:abstractNumId w:val="0"/>
  </w:num>
  <w:num w:numId="27">
    <w:abstractNumId w:val="33"/>
  </w:num>
  <w:num w:numId="28">
    <w:abstractNumId w:val="7"/>
  </w:num>
  <w:num w:numId="29">
    <w:abstractNumId w:val="34"/>
  </w:num>
  <w:num w:numId="30">
    <w:abstractNumId w:val="26"/>
  </w:num>
  <w:num w:numId="31">
    <w:abstractNumId w:val="3"/>
  </w:num>
  <w:num w:numId="32">
    <w:abstractNumId w:val="20"/>
  </w:num>
  <w:num w:numId="33">
    <w:abstractNumId w:val="32"/>
  </w:num>
  <w:num w:numId="34">
    <w:abstractNumId w:val="18"/>
  </w:num>
  <w:num w:numId="35">
    <w:abstractNumId w:val="16"/>
  </w:num>
  <w:num w:numId="36">
    <w:abstractNumId w:val="22"/>
  </w:num>
  <w:num w:numId="37">
    <w:abstractNumId w:val="27"/>
  </w:num>
  <w:num w:numId="38">
    <w:abstractNumId w:val="40"/>
  </w:num>
  <w:num w:numId="39">
    <w:abstractNumId w:val="37"/>
  </w:num>
  <w:num w:numId="40">
    <w:abstractNumId w:val="29"/>
  </w:num>
  <w:num w:numId="41">
    <w:abstractNumId w:val="1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6">
    <w:name w:val="Heading 1 Char"/>
    <w:basedOn w:val="946"/>
    <w:link w:val="944"/>
    <w:uiPriority w:val="9"/>
    <w:rPr>
      <w:rFonts w:ascii="Arial" w:hAnsi="Arial" w:eastAsia="Arial" w:cs="Arial"/>
      <w:sz w:val="40"/>
      <w:szCs w:val="40"/>
    </w:rPr>
  </w:style>
  <w:style w:type="character" w:styleId="777">
    <w:name w:val="Heading 2 Char"/>
    <w:basedOn w:val="946"/>
    <w:link w:val="945"/>
    <w:uiPriority w:val="9"/>
    <w:rPr>
      <w:rFonts w:ascii="Arial" w:hAnsi="Arial" w:eastAsia="Arial" w:cs="Arial"/>
      <w:sz w:val="34"/>
    </w:rPr>
  </w:style>
  <w:style w:type="paragraph" w:styleId="778">
    <w:name w:val="Heading 3"/>
    <w:basedOn w:val="943"/>
    <w:next w:val="943"/>
    <w:link w:val="7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9">
    <w:name w:val="Heading 3 Char"/>
    <w:basedOn w:val="946"/>
    <w:link w:val="778"/>
    <w:uiPriority w:val="9"/>
    <w:rPr>
      <w:rFonts w:ascii="Arial" w:hAnsi="Arial" w:eastAsia="Arial" w:cs="Arial"/>
      <w:sz w:val="30"/>
      <w:szCs w:val="30"/>
    </w:rPr>
  </w:style>
  <w:style w:type="paragraph" w:styleId="780">
    <w:name w:val="Heading 4"/>
    <w:basedOn w:val="943"/>
    <w:next w:val="943"/>
    <w:link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1">
    <w:name w:val="Heading 4 Char"/>
    <w:basedOn w:val="946"/>
    <w:link w:val="780"/>
    <w:uiPriority w:val="9"/>
    <w:rPr>
      <w:rFonts w:ascii="Arial" w:hAnsi="Arial" w:eastAsia="Arial" w:cs="Arial"/>
      <w:b/>
      <w:bCs/>
      <w:sz w:val="26"/>
      <w:szCs w:val="26"/>
    </w:rPr>
  </w:style>
  <w:style w:type="paragraph" w:styleId="782">
    <w:name w:val="Heading 5"/>
    <w:basedOn w:val="943"/>
    <w:next w:val="943"/>
    <w:link w:val="7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3">
    <w:name w:val="Heading 5 Char"/>
    <w:basedOn w:val="946"/>
    <w:link w:val="782"/>
    <w:uiPriority w:val="9"/>
    <w:rPr>
      <w:rFonts w:ascii="Arial" w:hAnsi="Arial" w:eastAsia="Arial" w:cs="Arial"/>
      <w:b/>
      <w:bCs/>
      <w:sz w:val="24"/>
      <w:szCs w:val="24"/>
    </w:rPr>
  </w:style>
  <w:style w:type="paragraph" w:styleId="784">
    <w:name w:val="Heading 6"/>
    <w:basedOn w:val="943"/>
    <w:next w:val="943"/>
    <w:link w:val="7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5">
    <w:name w:val="Heading 6 Char"/>
    <w:basedOn w:val="946"/>
    <w:link w:val="784"/>
    <w:uiPriority w:val="9"/>
    <w:rPr>
      <w:rFonts w:ascii="Arial" w:hAnsi="Arial" w:eastAsia="Arial" w:cs="Arial"/>
      <w:b/>
      <w:bCs/>
      <w:sz w:val="22"/>
      <w:szCs w:val="22"/>
    </w:rPr>
  </w:style>
  <w:style w:type="paragraph" w:styleId="786">
    <w:name w:val="Heading 7"/>
    <w:basedOn w:val="943"/>
    <w:next w:val="943"/>
    <w:link w:val="7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7">
    <w:name w:val="Heading 7 Char"/>
    <w:basedOn w:val="946"/>
    <w:link w:val="7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943"/>
    <w:next w:val="943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9">
    <w:name w:val="Heading 8 Char"/>
    <w:basedOn w:val="946"/>
    <w:link w:val="788"/>
    <w:uiPriority w:val="9"/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943"/>
    <w:next w:val="943"/>
    <w:link w:val="7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9 Char"/>
    <w:basedOn w:val="946"/>
    <w:link w:val="790"/>
    <w:uiPriority w:val="9"/>
    <w:rPr>
      <w:rFonts w:ascii="Arial" w:hAnsi="Arial" w:eastAsia="Arial" w:cs="Arial"/>
      <w:i/>
      <w:iCs/>
      <w:sz w:val="21"/>
      <w:szCs w:val="21"/>
    </w:rPr>
  </w:style>
  <w:style w:type="paragraph" w:styleId="792">
    <w:name w:val="Title"/>
    <w:basedOn w:val="943"/>
    <w:next w:val="943"/>
    <w:link w:val="7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3">
    <w:name w:val="Title Char"/>
    <w:basedOn w:val="946"/>
    <w:link w:val="792"/>
    <w:uiPriority w:val="10"/>
    <w:rPr>
      <w:sz w:val="48"/>
      <w:szCs w:val="48"/>
    </w:rPr>
  </w:style>
  <w:style w:type="paragraph" w:styleId="794">
    <w:name w:val="Subtitle"/>
    <w:basedOn w:val="943"/>
    <w:next w:val="943"/>
    <w:link w:val="795"/>
    <w:uiPriority w:val="11"/>
    <w:qFormat/>
    <w:pPr>
      <w:spacing w:before="200" w:after="200"/>
    </w:pPr>
    <w:rPr>
      <w:sz w:val="24"/>
      <w:szCs w:val="24"/>
    </w:rPr>
  </w:style>
  <w:style w:type="character" w:styleId="795">
    <w:name w:val="Subtitle Char"/>
    <w:basedOn w:val="946"/>
    <w:link w:val="794"/>
    <w:uiPriority w:val="11"/>
    <w:rPr>
      <w:sz w:val="24"/>
      <w:szCs w:val="24"/>
    </w:rPr>
  </w:style>
  <w:style w:type="paragraph" w:styleId="796">
    <w:name w:val="Quote"/>
    <w:basedOn w:val="943"/>
    <w:next w:val="943"/>
    <w:link w:val="797"/>
    <w:uiPriority w:val="29"/>
    <w:qFormat/>
    <w:pPr>
      <w:ind w:left="720" w:right="720"/>
    </w:pPr>
    <w:rPr>
      <w:i/>
    </w:rPr>
  </w:style>
  <w:style w:type="character" w:styleId="797">
    <w:name w:val="Quote Char"/>
    <w:link w:val="796"/>
    <w:uiPriority w:val="29"/>
    <w:rPr>
      <w:i/>
    </w:rPr>
  </w:style>
  <w:style w:type="paragraph" w:styleId="798">
    <w:name w:val="Intense Quote"/>
    <w:basedOn w:val="943"/>
    <w:next w:val="943"/>
    <w:link w:val="7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9">
    <w:name w:val="Intense Quote Char"/>
    <w:link w:val="798"/>
    <w:uiPriority w:val="30"/>
    <w:rPr>
      <w:i/>
    </w:rPr>
  </w:style>
  <w:style w:type="character" w:styleId="800">
    <w:name w:val="Header Char"/>
    <w:basedOn w:val="946"/>
    <w:link w:val="949"/>
    <w:uiPriority w:val="99"/>
  </w:style>
  <w:style w:type="paragraph" w:styleId="801">
    <w:name w:val="Footer"/>
    <w:basedOn w:val="943"/>
    <w:link w:val="8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2">
    <w:name w:val="Footer Char"/>
    <w:basedOn w:val="946"/>
    <w:link w:val="801"/>
    <w:uiPriority w:val="99"/>
  </w:style>
  <w:style w:type="paragraph" w:styleId="803">
    <w:name w:val="Caption"/>
    <w:basedOn w:val="943"/>
    <w:next w:val="943"/>
    <w:link w:val="8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4">
    <w:name w:val="Caption Char"/>
    <w:basedOn w:val="946"/>
    <w:link w:val="803"/>
    <w:uiPriority w:val="35"/>
    <w:rPr>
      <w:b/>
      <w:bCs/>
      <w:color w:val="4f81bd" w:themeColor="accent1"/>
      <w:sz w:val="18"/>
      <w:szCs w:val="18"/>
    </w:rPr>
  </w:style>
  <w:style w:type="table" w:styleId="805">
    <w:name w:val="Table Grid Light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1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>
    <w:name w:val="Grid Table 4 - Accent 1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4">
    <w:name w:val="Grid Table 4 - Accent 2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Grid Table 4 - Accent 3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6">
    <w:name w:val="Grid Table 4 - Accent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Grid Table 4 - Accent 5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8">
    <w:name w:val="Grid Table 4 - Accent 6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9">
    <w:name w:val="Grid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6">
    <w:name w:val="Grid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7">
    <w:name w:val="Grid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8">
    <w:name w:val="Grid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9">
    <w:name w:val="Grid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0">
    <w:name w:val="Grid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1">
    <w:name w:val="Grid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3">
    <w:name w:val="Grid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8">
    <w:name w:val="List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9">
    <w:name w:val="List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0">
    <w:name w:val="List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1">
    <w:name w:val="List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2">
    <w:name w:val="List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3">
    <w:name w:val="List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6">
    <w:name w:val="List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7">
    <w:name w:val="List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8">
    <w:name w:val="List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9">
    <w:name w:val="List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0">
    <w:name w:val="List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1">
    <w:name w:val="List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2">
    <w:name w:val="List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3">
    <w:name w:val="List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4">
    <w:name w:val="List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5">
    <w:name w:val="List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6">
    <w:name w:val="List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7">
    <w:name w:val="List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8">
    <w:name w:val="List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9">
    <w:name w:val="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0">
    <w:name w:val="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1">
    <w:name w:val="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2">
    <w:name w:val="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3">
    <w:name w:val="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4">
    <w:name w:val="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5">
    <w:name w:val="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6">
    <w:name w:val="Bordered &amp; 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7">
    <w:name w:val="Bordered &amp; 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8">
    <w:name w:val="Bordered &amp; 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9">
    <w:name w:val="Bordered &amp; 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0">
    <w:name w:val="Bordered &amp; 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1">
    <w:name w:val="Bordered &amp; 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2">
    <w:name w:val="Bordered &amp; 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3">
    <w:name w:val="Bordered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4">
    <w:name w:val="Bordered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5">
    <w:name w:val="Bordered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6">
    <w:name w:val="Bordered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7">
    <w:name w:val="Bordered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8">
    <w:name w:val="Bordered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9">
    <w:name w:val="Bordered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0">
    <w:name w:val="Footnote Text Char"/>
    <w:link w:val="974"/>
    <w:uiPriority w:val="99"/>
    <w:rPr>
      <w:sz w:val="18"/>
    </w:rPr>
  </w:style>
  <w:style w:type="character" w:styleId="931">
    <w:name w:val="Endnote Text Char"/>
    <w:link w:val="977"/>
    <w:uiPriority w:val="99"/>
    <w:rPr>
      <w:sz w:val="20"/>
    </w:rPr>
  </w:style>
  <w:style w:type="paragraph" w:styleId="932">
    <w:name w:val="toc 1"/>
    <w:basedOn w:val="943"/>
    <w:next w:val="943"/>
    <w:uiPriority w:val="39"/>
    <w:unhideWhenUsed/>
    <w:pPr>
      <w:ind w:left="0" w:right="0" w:firstLine="0"/>
      <w:spacing w:after="57"/>
    </w:pPr>
  </w:style>
  <w:style w:type="paragraph" w:styleId="933">
    <w:name w:val="toc 2"/>
    <w:basedOn w:val="943"/>
    <w:next w:val="943"/>
    <w:uiPriority w:val="39"/>
    <w:unhideWhenUsed/>
    <w:pPr>
      <w:ind w:left="283" w:right="0" w:firstLine="0"/>
      <w:spacing w:after="57"/>
    </w:pPr>
  </w:style>
  <w:style w:type="paragraph" w:styleId="934">
    <w:name w:val="toc 3"/>
    <w:basedOn w:val="943"/>
    <w:next w:val="943"/>
    <w:uiPriority w:val="39"/>
    <w:unhideWhenUsed/>
    <w:pPr>
      <w:ind w:left="567" w:right="0" w:firstLine="0"/>
      <w:spacing w:after="57"/>
    </w:pPr>
  </w:style>
  <w:style w:type="paragraph" w:styleId="935">
    <w:name w:val="toc 4"/>
    <w:basedOn w:val="943"/>
    <w:next w:val="943"/>
    <w:uiPriority w:val="39"/>
    <w:unhideWhenUsed/>
    <w:pPr>
      <w:ind w:left="850" w:right="0" w:firstLine="0"/>
      <w:spacing w:after="57"/>
    </w:pPr>
  </w:style>
  <w:style w:type="paragraph" w:styleId="936">
    <w:name w:val="toc 5"/>
    <w:basedOn w:val="943"/>
    <w:next w:val="943"/>
    <w:uiPriority w:val="39"/>
    <w:unhideWhenUsed/>
    <w:pPr>
      <w:ind w:left="1134" w:right="0" w:firstLine="0"/>
      <w:spacing w:after="57"/>
    </w:pPr>
  </w:style>
  <w:style w:type="paragraph" w:styleId="937">
    <w:name w:val="toc 6"/>
    <w:basedOn w:val="943"/>
    <w:next w:val="943"/>
    <w:uiPriority w:val="39"/>
    <w:unhideWhenUsed/>
    <w:pPr>
      <w:ind w:left="1417" w:right="0" w:firstLine="0"/>
      <w:spacing w:after="57"/>
    </w:pPr>
  </w:style>
  <w:style w:type="paragraph" w:styleId="938">
    <w:name w:val="toc 7"/>
    <w:basedOn w:val="943"/>
    <w:next w:val="943"/>
    <w:uiPriority w:val="39"/>
    <w:unhideWhenUsed/>
    <w:pPr>
      <w:ind w:left="1701" w:right="0" w:firstLine="0"/>
      <w:spacing w:after="57"/>
    </w:pPr>
  </w:style>
  <w:style w:type="paragraph" w:styleId="939">
    <w:name w:val="toc 8"/>
    <w:basedOn w:val="943"/>
    <w:next w:val="943"/>
    <w:uiPriority w:val="39"/>
    <w:unhideWhenUsed/>
    <w:pPr>
      <w:ind w:left="1984" w:right="0" w:firstLine="0"/>
      <w:spacing w:after="57"/>
    </w:pPr>
  </w:style>
  <w:style w:type="paragraph" w:styleId="940">
    <w:name w:val="toc 9"/>
    <w:basedOn w:val="943"/>
    <w:next w:val="943"/>
    <w:uiPriority w:val="39"/>
    <w:unhideWhenUsed/>
    <w:pPr>
      <w:ind w:left="2268" w:right="0" w:firstLine="0"/>
      <w:spacing w:after="57"/>
    </w:pPr>
  </w:style>
  <w:style w:type="paragraph" w:styleId="941">
    <w:name w:val="TOC Heading"/>
    <w:uiPriority w:val="39"/>
    <w:unhideWhenUsed/>
  </w:style>
  <w:style w:type="paragraph" w:styleId="942">
    <w:name w:val="table of figures"/>
    <w:basedOn w:val="943"/>
    <w:next w:val="943"/>
    <w:uiPriority w:val="99"/>
    <w:unhideWhenUsed/>
    <w:pPr>
      <w:spacing w:after="0" w:afterAutospacing="0"/>
    </w:pPr>
  </w:style>
  <w:style w:type="paragraph" w:styleId="94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Heading 1"/>
    <w:basedOn w:val="943"/>
    <w:next w:val="943"/>
    <w:link w:val="982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945">
    <w:name w:val="Heading 2"/>
    <w:basedOn w:val="943"/>
    <w:next w:val="943"/>
    <w:link w:val="968"/>
    <w:uiPriority w:val="99"/>
    <w:qFormat/>
    <w:pPr>
      <w:keepNext/>
      <w:outlineLvl w:val="1"/>
    </w:pPr>
    <w:rPr>
      <w:rFonts w:eastAsia="Calibri"/>
      <w:sz w:val="20"/>
      <w:szCs w:val="20"/>
    </w:rPr>
  </w:style>
  <w:style w:type="character" w:styleId="946" w:default="1">
    <w:name w:val="Default Paragraph Font"/>
    <w:uiPriority w:val="1"/>
    <w:semiHidden/>
    <w:unhideWhenUsed/>
  </w:style>
  <w:style w:type="table" w:styleId="9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8" w:default="1">
    <w:name w:val="No List"/>
    <w:uiPriority w:val="99"/>
    <w:semiHidden/>
    <w:unhideWhenUsed/>
  </w:style>
  <w:style w:type="paragraph" w:styleId="949">
    <w:name w:val="Header"/>
    <w:basedOn w:val="943"/>
    <w:link w:val="950"/>
    <w:uiPriority w:val="99"/>
    <w:pPr>
      <w:tabs>
        <w:tab w:val="center" w:pos="4677" w:leader="none"/>
        <w:tab w:val="right" w:pos="9355" w:leader="none"/>
      </w:tabs>
    </w:pPr>
  </w:style>
  <w:style w:type="character" w:styleId="950" w:customStyle="1">
    <w:name w:val="Верхний колонтитул Знак"/>
    <w:basedOn w:val="946"/>
    <w:link w:val="9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1">
    <w:name w:val="page number"/>
    <w:basedOn w:val="946"/>
  </w:style>
  <w:style w:type="paragraph" w:styleId="952">
    <w:name w:val="List Paragraph"/>
    <w:basedOn w:val="943"/>
    <w:link w:val="98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53">
    <w:name w:val="Hyperlink"/>
    <w:basedOn w:val="946"/>
    <w:uiPriority w:val="99"/>
    <w:unhideWhenUsed/>
    <w:rPr>
      <w:color w:val="0000ff"/>
      <w:u w:val="single"/>
    </w:rPr>
  </w:style>
  <w:style w:type="character" w:styleId="954" w:customStyle="1">
    <w:name w:val="b-serp-url__item1"/>
    <w:basedOn w:val="946"/>
  </w:style>
  <w:style w:type="character" w:styleId="955" w:customStyle="1">
    <w:name w:val="Body text_"/>
    <w:basedOn w:val="946"/>
    <w:link w:val="956"/>
    <w:rPr>
      <w:sz w:val="26"/>
      <w:szCs w:val="26"/>
      <w:shd w:val="clear" w:color="auto" w:fill="ffffff"/>
    </w:rPr>
  </w:style>
  <w:style w:type="paragraph" w:styleId="956" w:customStyle="1">
    <w:name w:val="Основной текст1"/>
    <w:basedOn w:val="943"/>
    <w:link w:val="955"/>
    <w:pPr>
      <w:spacing w:after="4500" w:line="324" w:lineRule="exact"/>
      <w:shd w:val="clear" w:color="auto" w:fill="ffffff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character" w:styleId="957" w:customStyle="1">
    <w:name w:val="Heading #2_"/>
    <w:basedOn w:val="946"/>
    <w:link w:val="958"/>
    <w:rPr>
      <w:sz w:val="26"/>
      <w:szCs w:val="26"/>
      <w:shd w:val="clear" w:color="auto" w:fill="ffffff"/>
    </w:rPr>
  </w:style>
  <w:style w:type="paragraph" w:styleId="958" w:customStyle="1">
    <w:name w:val="Heading #2"/>
    <w:basedOn w:val="943"/>
    <w:link w:val="957"/>
    <w:pPr>
      <w:spacing w:after="420" w:line="0" w:lineRule="atLeast"/>
      <w:shd w:val="clear" w:color="auto" w:fill="ffffff"/>
      <w:outlineLvl w:val="1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959">
    <w:name w:val="Balloon Text"/>
    <w:basedOn w:val="943"/>
    <w:link w:val="960"/>
    <w:uiPriority w:val="99"/>
    <w:semiHidden/>
    <w:unhideWhenUsed/>
    <w:rPr>
      <w:rFonts w:ascii="Arial" w:hAnsi="Arial" w:cs="Arial"/>
      <w:sz w:val="18"/>
      <w:szCs w:val="18"/>
    </w:rPr>
  </w:style>
  <w:style w:type="character" w:styleId="960" w:customStyle="1">
    <w:name w:val="Текст выноски Знак"/>
    <w:basedOn w:val="946"/>
    <w:link w:val="959"/>
    <w:uiPriority w:val="99"/>
    <w:semiHidden/>
    <w:rPr>
      <w:rFonts w:ascii="Arial" w:hAnsi="Arial" w:eastAsia="Times New Roman" w:cs="Arial"/>
      <w:sz w:val="18"/>
      <w:szCs w:val="18"/>
      <w:lang w:eastAsia="ru-RU"/>
    </w:rPr>
  </w:style>
  <w:style w:type="character" w:styleId="961">
    <w:name w:val="annotation reference"/>
    <w:basedOn w:val="946"/>
    <w:uiPriority w:val="99"/>
    <w:semiHidden/>
    <w:unhideWhenUsed/>
    <w:rPr>
      <w:sz w:val="16"/>
      <w:szCs w:val="16"/>
    </w:rPr>
  </w:style>
  <w:style w:type="paragraph" w:styleId="962">
    <w:name w:val="annotation text"/>
    <w:basedOn w:val="943"/>
    <w:link w:val="963"/>
    <w:uiPriority w:val="99"/>
    <w:semiHidden/>
    <w:unhideWhenUsed/>
    <w:rPr>
      <w:sz w:val="20"/>
      <w:szCs w:val="20"/>
    </w:rPr>
  </w:style>
  <w:style w:type="character" w:styleId="963" w:customStyle="1">
    <w:name w:val="Текст примечания Знак"/>
    <w:basedOn w:val="946"/>
    <w:link w:val="96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4">
    <w:name w:val="annotation subject"/>
    <w:basedOn w:val="962"/>
    <w:next w:val="962"/>
    <w:link w:val="965"/>
    <w:uiPriority w:val="99"/>
    <w:semiHidden/>
    <w:unhideWhenUsed/>
    <w:rPr>
      <w:b/>
      <w:bCs/>
    </w:rPr>
  </w:style>
  <w:style w:type="character" w:styleId="965" w:customStyle="1">
    <w:name w:val="Тема примечания Знак"/>
    <w:basedOn w:val="963"/>
    <w:link w:val="964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966">
    <w:name w:val="Table Grid"/>
    <w:basedOn w:val="947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ConsPlus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68" w:customStyle="1">
    <w:name w:val="Заголовок 2 Знак"/>
    <w:basedOn w:val="946"/>
    <w:link w:val="945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969">
    <w:name w:val="No Spacing"/>
    <w:link w:val="970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970" w:customStyle="1">
    <w:name w:val="Без интервала Знак"/>
    <w:link w:val="969"/>
    <w:uiPriority w:val="1"/>
    <w:rPr>
      <w:rFonts w:ascii="Calibri" w:hAnsi="Calibri" w:eastAsia="Calibri" w:cs="Times New Roman"/>
    </w:rPr>
  </w:style>
  <w:style w:type="paragraph" w:styleId="971" w:customStyle="1">
    <w:name w:val="Standard"/>
    <w:pPr>
      <w:spacing w:after="0" w:line="240" w:lineRule="auto"/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bidi="en-US"/>
    </w:rPr>
  </w:style>
  <w:style w:type="paragraph" w:styleId="972" w:customStyle="1">
    <w:name w:val="Table Contents"/>
    <w:basedOn w:val="971"/>
    <w:pPr>
      <w:suppressLineNumbers/>
    </w:pPr>
  </w:style>
  <w:style w:type="paragraph" w:styleId="973" w:customStyle="1">
    <w:name w:val="pboth"/>
    <w:basedOn w:val="943"/>
    <w:pPr>
      <w:spacing w:before="100" w:after="100"/>
    </w:pPr>
  </w:style>
  <w:style w:type="paragraph" w:styleId="974">
    <w:name w:val="footnote text"/>
    <w:basedOn w:val="943"/>
    <w:link w:val="975"/>
    <w:uiPriority w:val="99"/>
    <w:semiHidden/>
    <w:unhideWhenUsed/>
    <w:rPr>
      <w:sz w:val="20"/>
      <w:szCs w:val="20"/>
    </w:rPr>
  </w:style>
  <w:style w:type="character" w:styleId="975" w:customStyle="1">
    <w:name w:val="Текст сноски Знак"/>
    <w:basedOn w:val="946"/>
    <w:link w:val="97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6">
    <w:name w:val="footnote reference"/>
    <w:basedOn w:val="946"/>
    <w:uiPriority w:val="99"/>
    <w:semiHidden/>
    <w:unhideWhenUsed/>
    <w:rPr>
      <w:vertAlign w:val="superscript"/>
    </w:rPr>
  </w:style>
  <w:style w:type="paragraph" w:styleId="977">
    <w:name w:val="endnote text"/>
    <w:basedOn w:val="943"/>
    <w:link w:val="978"/>
    <w:uiPriority w:val="99"/>
    <w:semiHidden/>
    <w:unhideWhenUsed/>
    <w:rPr>
      <w:sz w:val="20"/>
      <w:szCs w:val="20"/>
    </w:rPr>
  </w:style>
  <w:style w:type="character" w:styleId="978" w:customStyle="1">
    <w:name w:val="Текст концевой сноски Знак"/>
    <w:basedOn w:val="946"/>
    <w:link w:val="97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9">
    <w:name w:val="endnote reference"/>
    <w:basedOn w:val="946"/>
    <w:uiPriority w:val="99"/>
    <w:semiHidden/>
    <w:unhideWhenUsed/>
    <w:rPr>
      <w:vertAlign w:val="superscript"/>
    </w:rPr>
  </w:style>
  <w:style w:type="character" w:styleId="980" w:customStyle="1">
    <w:name w:val="Абзац списка Знак"/>
    <w:basedOn w:val="946"/>
    <w:link w:val="952"/>
    <w:uiPriority w:val="34"/>
    <w:rPr>
      <w:rFonts w:ascii="Calibri" w:hAnsi="Calibri" w:eastAsia="Calibri" w:cs="Times New Roman"/>
    </w:rPr>
  </w:style>
  <w:style w:type="character" w:styleId="981">
    <w:name w:val="Strong"/>
    <w:basedOn w:val="946"/>
    <w:uiPriority w:val="22"/>
    <w:qFormat/>
    <w:rPr>
      <w:b/>
      <w:bCs/>
    </w:rPr>
  </w:style>
  <w:style w:type="character" w:styleId="982" w:customStyle="1">
    <w:name w:val="Заголовок 1 Знак"/>
    <w:basedOn w:val="946"/>
    <w:link w:val="944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character" w:styleId="983" w:customStyle="1">
    <w:name w:val="product-features__name"/>
    <w:basedOn w:val="946"/>
  </w:style>
  <w:style w:type="character" w:styleId="984" w:customStyle="1">
    <w:name w:val="product-features__text-lowcase"/>
    <w:basedOn w:val="946"/>
  </w:style>
  <w:style w:type="paragraph" w:styleId="985">
    <w:name w:val="Normal (Web)"/>
    <w:basedOn w:val="943"/>
    <w:uiPriority w:val="99"/>
    <w:unhideWhenUsed/>
    <w:pPr>
      <w:spacing w:before="100" w:beforeAutospacing="1" w:after="100" w:afterAutospacing="1"/>
    </w:pPr>
  </w:style>
  <w:style w:type="character" w:styleId="986" w:customStyle="1">
    <w:name w:val="char-item__details-icon"/>
    <w:basedOn w:val="94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41A6-DA72-4057-9A97-B9FB768B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Варламов</dc:creator>
  <cp:lastModifiedBy>a.tryapochkin</cp:lastModifiedBy>
  <cp:revision>6</cp:revision>
  <dcterms:created xsi:type="dcterms:W3CDTF">2025-11-21T09:43:00Z</dcterms:created>
  <dcterms:modified xsi:type="dcterms:W3CDTF">2026-08-24T09:18:34Z</dcterms:modified>
</cp:coreProperties>
</file>