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КОНТРАКТ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№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__________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r>
    </w:p>
    <w:p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Хабаровск                                                                                                       «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26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43"/>
        <w:jc w:val="both"/>
        <w:spacing w:before="0" w:beforeAutospacing="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____________________________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 xml:space="preserve">«Исполнитель</w:t>
      </w:r>
      <w:r>
        <w:rPr>
          <w:sz w:val="22"/>
          <w:szCs w:val="22"/>
        </w:rPr>
        <w:t xml:space="preserve">», в лице </w:t>
      </w: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 xml:space="preserve">_______________________</w:t>
      </w:r>
      <w:r>
        <w:rPr>
          <w:sz w:val="22"/>
          <w:szCs w:val="22"/>
        </w:rPr>
        <w:t xml:space="preserve">, с одной стор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ны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Федеральное казенное учреждение «Главное бюро медико-социальной экспертизы по Хабаровскому краю» Министерства труда и социальной защиты Российской Федерации, </w:t>
      </w:r>
      <w:r>
        <w:rPr>
          <w:sz w:val="22"/>
          <w:szCs w:val="22"/>
        </w:rPr>
        <w:t xml:space="preserve">де</w:t>
      </w:r>
      <w:r>
        <w:rPr>
          <w:sz w:val="22"/>
          <w:szCs w:val="22"/>
        </w:rPr>
        <w:t xml:space="preserve">й</w:t>
      </w:r>
      <w:r>
        <w:rPr>
          <w:sz w:val="22"/>
          <w:szCs w:val="22"/>
        </w:rPr>
        <w:t xml:space="preserve">ств</w:t>
      </w:r>
      <w:r>
        <w:rPr>
          <w:sz w:val="22"/>
          <w:szCs w:val="22"/>
        </w:rPr>
        <w:t xml:space="preserve">у</w:t>
      </w:r>
      <w:r>
        <w:rPr>
          <w:sz w:val="22"/>
          <w:szCs w:val="22"/>
        </w:rPr>
        <w:t xml:space="preserve">ющее от имени Российской Федерации</w:t>
      </w:r>
      <w:r>
        <w:rPr>
          <w:b/>
          <w:sz w:val="22"/>
          <w:szCs w:val="22"/>
        </w:rPr>
        <w:t xml:space="preserve"> (ФКУ «ГБ МСЭ по Хабаровскому краю» Минтруда России), </w:t>
      </w:r>
      <w:r>
        <w:rPr>
          <w:sz w:val="22"/>
          <w:szCs w:val="22"/>
        </w:rPr>
        <w:t xml:space="preserve">именуемое в дальнейшем</w:t>
      </w:r>
      <w:r>
        <w:rPr>
          <w:b/>
          <w:sz w:val="22"/>
          <w:szCs w:val="22"/>
        </w:rPr>
        <w:t xml:space="preserve"> «Заказчик», </w:t>
      </w:r>
      <w:r>
        <w:rPr>
          <w:sz w:val="22"/>
          <w:szCs w:val="22"/>
        </w:rPr>
        <w:t xml:space="preserve">в лице исполняющего обязанности руководителя – главного эксперта по мед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ко-социальной экспертизе</w:t>
      </w:r>
      <w:r>
        <w:rPr>
          <w:b/>
          <w:sz w:val="22"/>
          <w:szCs w:val="22"/>
        </w:rPr>
        <w:t xml:space="preserve"> Иваненко Елены  Геннадьевны, </w:t>
      </w:r>
      <w:r>
        <w:rPr>
          <w:sz w:val="22"/>
          <w:szCs w:val="22"/>
        </w:rPr>
        <w:t xml:space="preserve">действующего 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основании приказа 318-к от 19.05.206 и Устава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другой стороны, </w:t>
      </w:r>
      <w:r>
        <w:rPr>
          <w:sz w:val="22"/>
          <w:szCs w:val="22"/>
        </w:rPr>
        <w:t xml:space="preserve">совместно именуемые «Стороны», п. 4 ст. 95 </w:t>
      </w:r>
      <w:r>
        <w:rPr>
          <w:sz w:val="22"/>
          <w:szCs w:val="22"/>
        </w:rPr>
        <w:t xml:space="preserve">Федерального закона от 05 апреля 2013г. № 44-ФЗ «О Контрактной системе в сфере закупок товаров, услуг, услуг для обеспечения государственных и муниципальных нужд» (далее - Федеральный закон № 44-ФЗ) з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ключили </w:t>
      </w:r>
      <w:r>
        <w:rPr>
          <w:sz w:val="22"/>
          <w:szCs w:val="22"/>
        </w:rPr>
        <w:t xml:space="preserve">Договор</w:t>
      </w:r>
      <w:r>
        <w:rPr>
          <w:sz w:val="22"/>
          <w:szCs w:val="22"/>
        </w:rPr>
        <w:t xml:space="preserve"> о нижеследу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щем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sz w:val="22"/>
          <w:szCs w:val="22"/>
        </w:rPr>
      </w:r>
    </w:p>
    <w:p>
      <w:pPr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ПРЕДМЕТ ДОГОВОРА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927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highlight w:val="none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1.1.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Предмет договора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Оказание услуг по поверке тонометров механических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(далее Услуги). Заказчик поручает, а Исполнитель принимает на себя обязательства оказать Услуги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соответствии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Спецификаци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ей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(приложение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№1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являющейся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неотъемлемой частью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оговора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а Заказчик обязуется принять оказанные Услуги и оплатить их в порядке и на условиях, предусмотренных договором.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5"/>
        </w:numPr>
        <w:ind w:lef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СТОИМОСТЬ И ПОРЯДОК РАСЧЕТОВ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0" w:firstLine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highlight w:val="none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2.1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   Стоимость услуг составляет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_________________________руб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лей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 _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 в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т.ч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 НДС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 рубл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ей</w:t>
      </w:r>
      <w:r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.</w:t>
      </w:r>
      <w:r>
        <w:rPr>
          <w:rFonts w:ascii="Times New Roman" w:hAnsi="Times New Roman" w:cs="Times New Roman"/>
          <w:sz w:val="22"/>
          <w:szCs w:val="22"/>
          <w:u w:val="single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2.2.</w:t>
      </w:r>
      <w:r>
        <w:rPr>
          <w:rFonts w:cs="Times New Roman"/>
          <w:sz w:val="22"/>
          <w:szCs w:val="22"/>
          <w:lang w:val="ru-RU"/>
        </w:rPr>
        <w:t xml:space="preserve">    Цена </w:t>
      </w:r>
      <w:r>
        <w:rPr>
          <w:rFonts w:cs="Times New Roman"/>
          <w:sz w:val="22"/>
          <w:szCs w:val="22"/>
          <w:lang w:val="ru-RU"/>
        </w:rPr>
        <w:t xml:space="preserve">Договор</w:t>
      </w:r>
      <w:r>
        <w:rPr>
          <w:rFonts w:cs="Times New Roman"/>
          <w:sz w:val="22"/>
          <w:szCs w:val="22"/>
          <w:lang w:val="ru-RU"/>
        </w:rPr>
        <w:t xml:space="preserve">а включает в себя все расходы Исполнителя, связанные с оказанием услуг, а также налоги, сборы и другие обязательные платежи в соответствии с законодательством Российской Федерации.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2.3.</w:t>
      </w:r>
      <w:r>
        <w:rPr>
          <w:rFonts w:cs="Times New Roman"/>
          <w:sz w:val="22"/>
          <w:szCs w:val="22"/>
          <w:lang w:val="ru-RU"/>
        </w:rPr>
        <w:t xml:space="preserve">    Цена </w:t>
      </w:r>
      <w:r>
        <w:rPr>
          <w:rFonts w:cs="Times New Roman"/>
          <w:sz w:val="22"/>
          <w:szCs w:val="22"/>
          <w:lang w:val="ru-RU"/>
        </w:rPr>
        <w:t xml:space="preserve">Договор</w:t>
      </w:r>
      <w:r>
        <w:rPr>
          <w:rFonts w:cs="Times New Roman"/>
          <w:sz w:val="22"/>
          <w:szCs w:val="22"/>
          <w:lang w:val="ru-RU"/>
        </w:rPr>
        <w:t xml:space="preserve">а устанавливается в рублях РФ, остается твёрдой на протяжении всего срока исполнения </w:t>
      </w:r>
      <w:r>
        <w:rPr>
          <w:rFonts w:cs="Times New Roman"/>
          <w:sz w:val="22"/>
          <w:szCs w:val="22"/>
          <w:lang w:val="ru-RU"/>
        </w:rPr>
        <w:t xml:space="preserve">Договор</w:t>
      </w:r>
      <w:r>
        <w:rPr>
          <w:rFonts w:cs="Times New Roman"/>
          <w:sz w:val="22"/>
          <w:szCs w:val="22"/>
          <w:lang w:val="ru-RU"/>
        </w:rPr>
        <w:t xml:space="preserve">а и не может быть изменена Исполнителем в одностороннем порядке.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2.4.</w:t>
      </w:r>
      <w:r>
        <w:rPr>
          <w:rFonts w:cs="Times New Roman"/>
          <w:sz w:val="22"/>
          <w:szCs w:val="22"/>
          <w:lang w:val="ru-RU"/>
        </w:rPr>
        <w:t xml:space="preserve">  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Основанием для оплаты оказанных услуг является счет, подтвержденный «Актом выполненных услуг» и подписанный Сторонами Акт приемки </w:t>
      </w:r>
      <w:r>
        <w:rPr>
          <w:rFonts w:cs="Times New Roman"/>
          <w:sz w:val="22"/>
          <w:szCs w:val="22"/>
          <w:lang w:val="ru-RU"/>
        </w:rPr>
        <w:t xml:space="preserve">оказанных </w:t>
      </w:r>
      <w:r>
        <w:rPr>
          <w:rFonts w:cs="Times New Roman"/>
          <w:sz w:val="22"/>
          <w:szCs w:val="22"/>
          <w:lang w:val="ru-RU"/>
        </w:rPr>
        <w:t xml:space="preserve">услуг (ф. 0510452).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shd w:val="clear" w:color="auto" w:fill="ffffff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2.5.</w:t>
      </w:r>
      <w:r>
        <w:rPr>
          <w:rFonts w:cs="Times New Roman"/>
          <w:sz w:val="22"/>
          <w:szCs w:val="22"/>
          <w:lang w:val="ru-RU"/>
        </w:rPr>
        <w:t xml:space="preserve">    Заказчик осуществляет оплату за фактически оказанные услуги в безналичной форме в течение 7 (</w:t>
      </w:r>
      <w:r>
        <w:rPr>
          <w:rFonts w:cs="Times New Roman"/>
          <w:sz w:val="22"/>
          <w:szCs w:val="22"/>
          <w:lang w:val="ru-RU"/>
        </w:rPr>
        <w:t xml:space="preserve">се</w:t>
      </w:r>
      <w:r>
        <w:rPr>
          <w:rFonts w:cs="Times New Roman"/>
          <w:sz w:val="22"/>
          <w:szCs w:val="22"/>
          <w:lang w:val="ru-RU"/>
        </w:rPr>
        <w:t xml:space="preserve">ми) рабочих дней после подписания Сторонами акта оказанных услуг и предоставления Исполнителем счета, счета-фактуры (при наличии). Обязанность Заказчика по оплате считается исполненной в момент списания денежных сре</w:t>
      </w:r>
      <w:r>
        <w:rPr>
          <w:rFonts w:cs="Times New Roman"/>
          <w:sz w:val="22"/>
          <w:szCs w:val="22"/>
          <w:lang w:val="ru-RU"/>
        </w:rPr>
        <w:t xml:space="preserve">дств с р</w:t>
      </w:r>
      <w:r>
        <w:rPr>
          <w:rFonts w:cs="Times New Roman"/>
          <w:sz w:val="22"/>
          <w:szCs w:val="22"/>
          <w:lang w:val="ru-RU"/>
        </w:rPr>
        <w:t xml:space="preserve">асчетного счета Заказчика</w:t>
      </w:r>
      <w:r>
        <w:rPr>
          <w:rFonts w:cs="Times New Roman"/>
          <w:sz w:val="22"/>
          <w:szCs w:val="22"/>
          <w:lang w:val="ru-RU"/>
        </w:rPr>
        <w:t xml:space="preserve">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2.6.      Источник финансирования: средства федерального бюджета.</w:t>
      </w:r>
      <w:r>
        <w:rPr>
          <w:rFonts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142" w:hanging="56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ОБЯЗАННОСТИ СТОРОН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927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highlight w:val="none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highlight w:val="none"/>
          <w:lang w:val="ru-RU"/>
        </w:rPr>
      </w:r>
    </w:p>
    <w:p>
      <w:pPr>
        <w:numPr>
          <w:ilvl w:val="1"/>
          <w:numId w:val="15"/>
        </w:numPr>
        <w:ind w:left="284" w:hanging="284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Заказчик обязуется: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предоставить на время выполнения услуг рабочие места специалистам Исполнителя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том числе помещение для хранения инструментов и материалов Исполнителя, обеспечив их сохранность.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принять и оплатить Исполнителю выполненные услуги в размерах, порядке и в сроки, обусловленные настоящим договором.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предоставить техническую документацию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свидетельства о внесении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аппаратов (приборов),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представленных на поверку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Единый Государственный Реестр средств измерений.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1"/>
          <w:numId w:val="15"/>
        </w:numPr>
        <w:ind w:hanging="92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Исполнитель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обязуется: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выполнить порученную услугу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до 31.10.2026.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качественно и в пределах срока договора в соответствии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: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-АТТЕСТАТОМ АККРЕДИТАЦИИ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СВИДЕТЕЛЬСТВОМ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ЛИЦЕНЗИЕЙ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3.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Выполненную услугу сдать Заказчику по акту приема – сдачи выполненных услуг, который должен быть подписан руководителем лечебно-профилактического учреждения. 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numPr>
          <w:ilvl w:val="0"/>
          <w:numId w:val="15"/>
        </w:numPr>
        <w:jc w:val="center"/>
        <w:spacing w:after="0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Порядок сдачи и приемки оказанных услуг</w:t>
      </w:r>
      <w:r>
        <w:rPr>
          <w:rFonts w:cs="Times New Roman"/>
          <w:b/>
          <w:sz w:val="22"/>
          <w:szCs w:val="22"/>
          <w:lang w:val="ru-RU"/>
        </w:rPr>
      </w:r>
    </w:p>
    <w:p>
      <w:pPr>
        <w:pStyle w:val="751"/>
        <w:ind w:left="927"/>
        <w:spacing w:after="0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</w:r>
      <w:r>
        <w:rPr>
          <w:rFonts w:cs="Times New Roman"/>
          <w:b/>
          <w:sz w:val="22"/>
          <w:szCs w:val="22"/>
          <w:lang w:val="ru-RU"/>
        </w:rPr>
      </w:r>
    </w:p>
    <w:p>
      <w:pPr>
        <w:pStyle w:val="751"/>
        <w:jc w:val="both"/>
        <w:spacing w:after="0"/>
        <w:shd w:val="clear" w:color="auto" w:fill="ffffff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4.1.</w:t>
      </w:r>
      <w:r>
        <w:rPr>
          <w:rFonts w:cs="Times New Roman"/>
          <w:sz w:val="22"/>
          <w:szCs w:val="22"/>
          <w:lang w:val="ru-RU"/>
        </w:rPr>
        <w:t xml:space="preserve"> Обязательство Исполнителя по оказанию услуг по </w:t>
      </w:r>
      <w:r>
        <w:rPr>
          <w:rFonts w:cs="Times New Roman"/>
          <w:sz w:val="22"/>
          <w:szCs w:val="22"/>
          <w:lang w:val="ru-RU"/>
        </w:rPr>
        <w:t xml:space="preserve">Договор</w:t>
      </w:r>
      <w:r>
        <w:rPr>
          <w:rFonts w:cs="Times New Roman"/>
          <w:sz w:val="22"/>
          <w:szCs w:val="22"/>
          <w:lang w:val="ru-RU"/>
        </w:rPr>
        <w:t xml:space="preserve">у считается исполненным с момента подписания Заказчиком без замечаний акта оказанных услуг.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4.2.</w:t>
      </w:r>
      <w:r>
        <w:rPr>
          <w:rFonts w:cs="Times New Roman"/>
          <w:sz w:val="22"/>
          <w:szCs w:val="22"/>
          <w:lang w:val="ru-RU"/>
        </w:rPr>
        <w:t xml:space="preserve"> В течение 5 (Пяти) календарных дней после приемки оказанных услуг Заказчиком без замечаний, Исполнитель представляет Заказчику счет, счет-фактуру (при наличии) для оплаты.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4.3.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В случае замечаний со стороны Заказчика, Исполнителю в течение 3 (Трех) календарных дней после приемки оказанных услуг, направляется в письменной форме мотивированный отказ от подписания акта оказанных услуг.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4.4.</w:t>
      </w:r>
      <w:r>
        <w:rPr>
          <w:rFonts w:cs="Times New Roman"/>
          <w:sz w:val="22"/>
          <w:szCs w:val="22"/>
          <w:lang w:val="ru-RU"/>
        </w:rPr>
        <w:t xml:space="preserve"> По итогам приемки оказанных услуг Заказчик оформляет Акт приемки, услуг (ф. 0510452). Акт формируется на основании документов, предоставленных Исполнител</w:t>
      </w:r>
      <w:r>
        <w:rPr>
          <w:rFonts w:cs="Times New Roman"/>
          <w:sz w:val="22"/>
          <w:szCs w:val="22"/>
          <w:lang w:val="ru-RU"/>
        </w:rPr>
        <w:t xml:space="preserve">ем и подтверждающих оказание</w:t>
      </w:r>
      <w:r>
        <w:rPr>
          <w:rFonts w:cs="Times New Roman"/>
          <w:sz w:val="22"/>
          <w:szCs w:val="22"/>
          <w:lang w:val="ru-RU"/>
        </w:rPr>
        <w:t xml:space="preserve"> слуг.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numPr>
          <w:ilvl w:val="1"/>
          <w:numId w:val="18"/>
        </w:numPr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Оплата за </w:t>
      </w:r>
      <w:r>
        <w:rPr>
          <w:rFonts w:cs="Times New Roman"/>
          <w:sz w:val="22"/>
          <w:szCs w:val="22"/>
          <w:lang w:val="ru-RU"/>
        </w:rPr>
        <w:t xml:space="preserve">оказанную</w:t>
      </w:r>
      <w:r>
        <w:rPr>
          <w:rFonts w:cs="Times New Roman"/>
          <w:sz w:val="22"/>
          <w:szCs w:val="22"/>
          <w:lang w:val="ru-RU"/>
        </w:rPr>
        <w:t xml:space="preserve"> слугу производиться после подписания Акта приемки услуг (ф. 0510452).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4.6.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rFonts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4.7.</w:t>
      </w:r>
      <w:r>
        <w:rPr>
          <w:rFonts w:cs="Times New Roman"/>
          <w:sz w:val="22"/>
          <w:szCs w:val="22"/>
          <w:lang w:val="ru-RU"/>
        </w:rPr>
        <w:t xml:space="preserve"> В отсутствие организационно-технической возможности составления Акта приемки (ф. 0510452) в электронной форме Акт формируется на бумажном носителе и подписывается Заказчиком и «Исполнителем».</w:t>
      </w:r>
      <w:r>
        <w:rPr>
          <w:rFonts w:cs="Times New Roman"/>
          <w:sz w:val="22"/>
          <w:szCs w:val="22"/>
          <w:lang w:val="ru-RU"/>
        </w:rPr>
      </w:r>
    </w:p>
    <w:p>
      <w:pPr>
        <w:pStyle w:val="751"/>
        <w:jc w:val="both"/>
        <w:spacing w:after="0"/>
        <w:tabs>
          <w:tab w:val="left" w:pos="426" w:leader="none"/>
        </w:tabs>
        <w:rPr>
          <w:sz w:val="22"/>
          <w:szCs w:val="22"/>
        </w:rPr>
      </w:pPr>
      <w:r>
        <w:rPr>
          <w:rFonts w:cs="Times New Roman"/>
          <w:b/>
          <w:sz w:val="22"/>
          <w:szCs w:val="22"/>
          <w:lang w:val="ru-RU"/>
        </w:rPr>
        <w:t xml:space="preserve">4.8.</w:t>
      </w:r>
      <w:r>
        <w:rPr>
          <w:rFonts w:cs="Times New Roman"/>
          <w:sz w:val="22"/>
          <w:szCs w:val="22"/>
          <w:lang w:val="ru-RU"/>
        </w:rPr>
        <w:t xml:space="preserve"> Предварительно Акт приемки (ф. 0510452) может быть направлен Исполнителю электронной почтой</w:t>
      </w:r>
      <w:r>
        <w:rPr>
          <w:sz w:val="22"/>
          <w:szCs w:val="22"/>
        </w:rPr>
        <w:t xml:space="preserve">, с </w:t>
      </w:r>
      <w:r>
        <w:rPr>
          <w:sz w:val="22"/>
          <w:szCs w:val="22"/>
          <w:lang w:val="ru-RU"/>
        </w:rPr>
        <w:t xml:space="preserve">досылкой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оригинала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письмом</w:t>
      </w:r>
      <w:r>
        <w:rPr>
          <w:sz w:val="22"/>
          <w:szCs w:val="22"/>
        </w:rPr>
        <w:t xml:space="preserve">. </w:t>
      </w:r>
      <w:r>
        <w:rPr>
          <w:sz w:val="22"/>
          <w:szCs w:val="22"/>
          <w:lang w:val="ru-RU"/>
        </w:rPr>
        <w:t xml:space="preserve">Оригинал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Акта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приемки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Исполнитель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обязан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вернуть</w:t>
      </w:r>
      <w:r>
        <w:rPr>
          <w:sz w:val="22"/>
          <w:szCs w:val="22"/>
        </w:rPr>
        <w:t xml:space="preserve"> в </w:t>
      </w:r>
      <w:r>
        <w:rPr>
          <w:sz w:val="22"/>
          <w:szCs w:val="22"/>
          <w:lang w:val="ru-RU"/>
        </w:rPr>
        <w:t xml:space="preserve">адрес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 Заказчик</w:t>
      </w:r>
      <w:r>
        <w:rPr>
          <w:sz w:val="22"/>
          <w:szCs w:val="22"/>
          <w:lang w:val="ru-RU"/>
        </w:rPr>
        <w:t xml:space="preserve">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>
      <w:pPr>
        <w:pStyle w:val="752"/>
        <w:jc w:val="both"/>
        <w:keepLines/>
        <w:spacing w:after="0" w:line="240" w:lineRule="auto"/>
        <w:widowControl/>
        <w:tabs>
          <w:tab w:val="left" w:pos="284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4.9.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Оформление документов о приемке осуществляется в порядке и на условиях, которые опред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лены в приказе Минфина от 15.04.2021 № 61н «Об утверждении унифицированных форм электро</w:t>
      </w:r>
      <w:r>
        <w:rPr>
          <w:sz w:val="22"/>
          <w:szCs w:val="22"/>
        </w:rPr>
        <w:t xml:space="preserve">н</w:t>
      </w:r>
      <w:r>
        <w:rPr>
          <w:sz w:val="22"/>
          <w:szCs w:val="22"/>
        </w:rPr>
        <w:t xml:space="preserve">ных документов бухгалтерского учета, применяемых при ведении бюджетного учета, бухгалтерск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го учета государственных (муниципальных) учреждений, и Методических указаний по их формир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ванию и применению» и учетной политике по бухгалтерскому учету учреждения.</w:t>
      </w:r>
      <w:r>
        <w:rPr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39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ОТВЕТСТВЕННОСТЬ СТОРОН</w:t>
      </w:r>
      <w:r>
        <w:rPr>
          <w:b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Исполнитель несет ответственность за качество выполненных услуг и устраняет выявленные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неполадки за свой счет.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Заказчик несет ответственность за своевременную оплату выполненных услуг согласно п. 2.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5.3.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случае неисполнения обязательств, предусмотренных настоящим договором, виновная сторона возмещает другой стороне причиненные убытки в виде реального ущерба.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39"/>
        <w:numPr>
          <w:ilvl w:val="0"/>
          <w:numId w:val="1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 ДЕЙСТВИЯ ДОГОВОРА</w:t>
      </w:r>
      <w:r>
        <w:rPr>
          <w:b/>
          <w:sz w:val="22"/>
          <w:szCs w:val="22"/>
        </w:rPr>
      </w:r>
    </w:p>
    <w:p>
      <w:pPr>
        <w:ind w:left="8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6.1.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Срок действия договора устанавливается с момента подписания сторонами и действует до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«25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декабря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2026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а в части принятых сторонами обязательств до полного их исполнения.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ИЗМЕНЕНИЯ, ДОПОЛНЕНИЯ И РАСТОРЖЕНИЕ ДОГОВОРА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8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7.1.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Все изменения, дополнения к настоящему договору вносятся и имеют юридическую силу, если они совершены в письменной форме и по соглашению сторон.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39"/>
        <w:numPr>
          <w:ilvl w:val="1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 xml:space="preserve">До истечения срока договора </w:t>
      </w:r>
      <w:r>
        <w:rPr>
          <w:sz w:val="22"/>
          <w:szCs w:val="22"/>
        </w:rPr>
        <w:t xml:space="preserve">он</w:t>
      </w:r>
      <w:r>
        <w:rPr>
          <w:sz w:val="22"/>
          <w:szCs w:val="22"/>
        </w:rPr>
        <w:t xml:space="preserve"> может быть расторгнут по письменному соглашению сторон.</w:t>
      </w:r>
      <w:r>
        <w:rPr>
          <w:sz w:val="22"/>
          <w:szCs w:val="22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7.3.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случае досрочного расторжения договора расчеты производятся по фактическим затратам, произведенным на момент прекращения договорных обязательств.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283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39"/>
        <w:numPr>
          <w:ilvl w:val="0"/>
          <w:numId w:val="19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ПОРЯДОК РАССМОТРЕНИЯ СПОРОВ</w:t>
      </w:r>
      <w:r>
        <w:rPr>
          <w:b/>
          <w:sz w:val="22"/>
          <w:szCs w:val="22"/>
        </w:rPr>
      </w:r>
    </w:p>
    <w:p>
      <w:pPr>
        <w:ind w:left="85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8.1.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Споры, вытекающие из условий настоящего договора в случае, если стороны не достигли взаимного согласия, рассматриваются в соответствии с действующим законодательством.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ЮРИДИЧЕСКИЕ АДРЕСА СТОРОН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3119" w:hanging="1985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tbl>
      <w:tblPr>
        <w:tblW w:w="5170" w:type="pct"/>
        <w:tblInd w:w="2" w:type="dxa"/>
        <w:tblLook w:val="01E0" w:firstRow="1" w:lastRow="1" w:firstColumn="1" w:lastColumn="1" w:noHBand="0" w:noVBand="0"/>
      </w:tblPr>
      <w:tblGrid>
        <w:gridCol w:w="4913"/>
        <w:gridCol w:w="5120"/>
      </w:tblGrid>
      <w:tr>
        <w:tblPrEx/>
        <w:trPr>
          <w:trHeight w:val="77"/>
        </w:trPr>
        <w:tc>
          <w:tcPr>
            <w:tcW w:w="4913" w:type="dxa"/>
            <w:textDirection w:val="lrTb"/>
            <w:noWrap w:val="false"/>
          </w:tcPr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___/___________/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  »                                        2026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г.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</w:tc>
        <w:tc>
          <w:tcPr>
            <w:tcW w:w="5119" w:type="dxa"/>
            <w:textDirection w:val="lrTb"/>
            <w:noWrap w:val="false"/>
          </w:tcPr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ФКУ «ГБ МСЭ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Хабаровскому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краю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Минтруда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России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680000,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Хабаровский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край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Хабаровск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Фрунзе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д. 67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.: 8 (4212) 31 29 38, 31-49-83, 32-53-94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E-mail: </w:t>
            </w:r>
            <w:hyperlink r:id="rId10" w:tooltip="mailto:urist@mse27.ru" w:history="1">
              <w:r>
                <w:rPr>
                  <w:rStyle w:val="737"/>
                  <w:rFonts w:ascii="Times New Roman" w:hAnsi="Times New Roman"/>
                  <w:color w:val="auto"/>
                  <w:sz w:val="22"/>
                  <w:szCs w:val="22"/>
                </w:rPr>
                <w:t xml:space="preserve">urist@mse27.ru</w:t>
              </w:r>
            </w:hyperlink>
            <w:r>
              <w:rPr>
                <w:rStyle w:val="737"/>
                <w:rFonts w:ascii="Times New Roman" w:hAnsi="Times New Roman"/>
                <w:color w:val="auto"/>
                <w:sz w:val="22"/>
                <w:szCs w:val="22"/>
              </w:rPr>
              <w:t xml:space="preserve">, finans@mse27.ru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ИНН 2721122030   КПП 272101001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ОКПО 74564830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</w:rPr>
              <w:t xml:space="preserve">ОКЦ № 1 ДГУ Банка России//УФК по Приморскому краю г. Владивосток УФК по Приморскому краю</w:t>
            </w:r>
            <w:r>
              <w:rPr>
                <w:rFonts w:ascii="Liberation Serif" w:hAnsi="Liberation Serif" w:eastAsia="Liberation Serif" w:cs="Liberation Serif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</w:rPr>
              <w:t xml:space="preserve">(ФКУ «ГБ МСЭ по Хабаровскому краю» Минтруда России л/с (03221А74300)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</w:rPr>
              <w:t xml:space="preserve">Банковский счет: 40102810545370000012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2"/>
                <w:szCs w:val="22"/>
              </w:rPr>
              <w:t xml:space="preserve">Казначейский счет: 03211643000000012006 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ind w:right="126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БИК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  <w:u w:val="singl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010507002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</w:p>
          <w:p>
            <w:pPr>
              <w:ind w:right="1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743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74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И.о. руководителя – главного эксперта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медико-социальной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экспертизе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10"/>
                <w:szCs w:val="10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Е.Г. Иваненко</w:t>
            </w:r>
            <w:r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/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u w:val="single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u w:val="single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highlight w:val="none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»        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                        2026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г.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</w:tbl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Приложение № 1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firstLine="221"/>
        <w:jc w:val="right"/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к Д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оговору № 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от «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___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» 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____________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 20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26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  <w:t xml:space="preserve"> г.</w:t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  <w:r>
        <w:rPr>
          <w:rFonts w:ascii="Times New Roman" w:hAnsi="Times New Roman" w:cs="Times New Roman"/>
          <w:b/>
          <w:bCs/>
          <w:sz w:val="22"/>
          <w:szCs w:val="22"/>
          <w:lang w:val="ru-RU" w:eastAsia="ru-RU"/>
        </w:rPr>
      </w:r>
    </w:p>
    <w:p>
      <w:pPr>
        <w:ind w:left="3119" w:hanging="1985"/>
        <w:jc w:val="right"/>
        <w:tabs>
          <w:tab w:val="left" w:pos="6460" w:leader="none"/>
        </w:tabs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СПЕЦИФИКАЦИЯ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tbl>
      <w:tblPr>
        <w:tblW w:w="10403" w:type="dxa"/>
        <w:jc w:val="center"/>
        <w:tblInd w:w="-10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28"/>
        <w:gridCol w:w="5510"/>
        <w:gridCol w:w="1047"/>
        <w:gridCol w:w="1559"/>
        <w:gridCol w:w="1559"/>
      </w:tblGrid>
      <w:tr>
        <w:tblPrEx/>
        <w:trPr>
          <w:jc w:val="center"/>
          <w:trHeight w:val="1413"/>
        </w:trPr>
        <w:tc>
          <w:tcPr>
            <w:shd w:val="clear" w:color="auto" w:fill="auto"/>
            <w:tcW w:w="7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55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услуг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1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ед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Цена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2"/>
                <w:lang w:val="ru-RU" w:eastAsia="ru-RU"/>
              </w:rPr>
              <w:t xml:space="preserve">руб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  <w:t xml:space="preserve">(с НДС)</w:t>
            </w:r>
            <w:r>
              <w:rPr>
                <w:rFonts w:ascii="Times New Roman" w:hAnsi="Times New Roman" w:cs="Times New Roman"/>
                <w:b/>
                <w:bCs/>
                <w:sz w:val="22"/>
                <w:lang w:eastAsia="ru-RU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руб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(с НДС)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  <w:trHeight w:val="165"/>
        </w:trPr>
        <w:tc>
          <w:tcPr>
            <w:shd w:val="clear" w:color="auto" w:fill="auto"/>
            <w:tcW w:w="7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551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Услуги по проверке тонометра механического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shd w:val="clear" w:color="auto" w:fill="auto"/>
            <w:tcW w:w="104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gridSpan w:val="4"/>
            <w:shd w:val="clear" w:color="auto" w:fill="auto"/>
            <w:tcW w:w="8844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gridSpan w:val="4"/>
            <w:shd w:val="clear" w:color="auto" w:fill="auto"/>
            <w:tcW w:w="8844" w:type="dxa"/>
            <w:vAlign w:val="center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том 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НДС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ind w:left="3119" w:hanging="198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</w:r>
      <w:r>
        <w:rPr>
          <w:rFonts w:ascii="Times New Roman" w:hAnsi="Times New Roman" w:cs="Times New Roman"/>
          <w:b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tbl>
      <w:tblPr>
        <w:tblW w:w="5170" w:type="pct"/>
        <w:tblInd w:w="2" w:type="dxa"/>
        <w:tblLook w:val="01E0" w:firstRow="1" w:lastRow="1" w:firstColumn="1" w:lastColumn="1" w:noHBand="0" w:noVBand="0"/>
      </w:tblPr>
      <w:tblGrid>
        <w:gridCol w:w="4913"/>
        <w:gridCol w:w="5120"/>
      </w:tblGrid>
      <w:tr>
        <w:tblPrEx/>
        <w:trPr>
          <w:trHeight w:val="77"/>
        </w:trPr>
        <w:tc>
          <w:tcPr>
            <w:tcW w:w="4913" w:type="dxa"/>
            <w:textDirection w:val="lrTb"/>
            <w:noWrap w:val="false"/>
          </w:tcPr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/                     /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  »                                        2026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г.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</w:tc>
        <w:tc>
          <w:tcPr>
            <w:tcW w:w="5119" w:type="dxa"/>
            <w:textDirection w:val="lrTb"/>
            <w:noWrap w:val="false"/>
          </w:tcPr>
          <w:p>
            <w:pPr>
              <w:pStyle w:val="74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</w:t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74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И.о. руководителя – главного эксперта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медико-социальной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экспертизе __________________ Е.Г. Иваненко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spacing w:line="240" w:lineRule="exact"/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jc w:val="right"/>
              <w:spacing w:line="240" w:lineRule="exact"/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«      » 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                                   2026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 г.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u w:val="single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</w:r>
          </w:p>
        </w:tc>
      </w:tr>
    </w:tbl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>
        <w:rPr>
          <w:rFonts w:ascii="Times New Roman" w:hAnsi="Times New Roman" w:cs="Times New Roman"/>
          <w:sz w:val="22"/>
          <w:szCs w:val="22"/>
          <w:lang w:val="ru-RU"/>
        </w:rPr>
      </w:r>
    </w:p>
    <w:p>
      <w:pPr>
        <w:pStyle w:val="739"/>
        <w:ind w:left="0" w:firstLine="709"/>
        <w:jc w:val="center"/>
        <w:tabs>
          <w:tab w:val="left" w:pos="284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2240" w:h="15840" w:orient="portrait"/>
      <w:pgMar w:top="425" w:right="1183" w:bottom="369" w:left="157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ndale Sans UI">
    <w:panose1 w:val="02000603000000000000"/>
  </w:font>
  <w:font w:name="Calibri">
    <w:panose1 w:val="020F0502020204030204"/>
  </w:font>
  <w:font w:name="Tahoma">
    <w:panose1 w:val="020B0604030504040204"/>
  </w:font>
  <w:font w:name="Wingdings">
    <w:panose1 w:val="05010000000000000000"/>
  </w:font>
  <w:font w:name="Mangal">
    <w:panose1 w:val="02040503050306020203"/>
  </w:font>
  <w:font w:name="Courier New">
    <w:panose1 w:val="02070409020205020404"/>
  </w:font>
  <w:font w:name="Symbol">
    <w:panose1 w:val="05010000000000000000"/>
  </w:font>
  <w:font w:name="Microsoft YaHei">
    <w:panose1 w:val="020B0503020203020204"/>
  </w:font>
  <w:font w:name="Times New Roman">
    <w:panose1 w:val="02020603050405020304"/>
  </w:font>
  <w:font w:name="Cambria">
    <w:panose1 w:val="02040503050406030204"/>
  </w:font>
  <w:font w:name="MS Sans Serif">
    <w:panose1 w:val="02000603000000000000"/>
  </w:font>
  <w:font w:name="Arial Unicode MS">
    <w:panose1 w:val="020B0506020203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%1. "/>
      <w:lvlJc w:val="left"/>
      <w:pPr>
        <w:ind w:left="283" w:hanging="283"/>
        <w:tabs>
          <w:tab w:val="num" w:pos="283" w:leader="none"/>
        </w:tabs>
      </w:pPr>
      <w:rPr>
        <w:rFonts w:hint="default"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2.%1. "/>
      <w:lvlJc w:val="left"/>
      <w:pPr>
        <w:ind w:left="283" w:hanging="283"/>
        <w:tabs>
          <w:tab w:val="num" w:pos="283" w:leader="none"/>
        </w:tabs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 w:val="0"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5.%1. "/>
      <w:lvlJc w:val="left"/>
      <w:pPr>
        <w:ind w:left="283" w:hanging="283"/>
        <w:tabs>
          <w:tab w:val="num" w:pos="283" w:leader="none"/>
        </w:tabs>
      </w:pPr>
      <w:rPr>
        <w:rFonts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3" w:hanging="283"/>
        <w:tabs>
          <w:tab w:val="num" w:pos="2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1.%1. "/>
      <w:lvlJc w:val="left"/>
      <w:pPr>
        <w:ind w:left="283" w:hanging="283"/>
        <w:tabs>
          <w:tab w:val="num" w:pos="283" w:leader="none"/>
        </w:tabs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7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 w:val="0"/>
        <w:i w:val="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 "/>
      <w:lvlJc w:val="left"/>
      <w:pPr>
        <w:ind w:left="850" w:hanging="283"/>
        <w:tabs>
          <w:tab w:val="num" w:pos="283" w:leader="none"/>
        </w:tabs>
      </w:pPr>
      <w:rPr>
        <w:rFonts w:cs="Times New Roman"/>
        <w:b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%1. "/>
      <w:lvlJc w:val="left"/>
      <w:pPr>
        <w:ind w:left="283" w:hanging="283"/>
        <w:tabs>
          <w:tab w:val="num" w:pos="283" w:leader="none"/>
        </w:tabs>
      </w:pPr>
      <w:rPr>
        <w:rFonts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6.%1. "/>
      <w:lvlJc w:val="left"/>
      <w:pPr>
        <w:ind w:left="283" w:hanging="283"/>
        <w:tabs>
          <w:tab w:val="num" w:pos="283" w:leader="none"/>
        </w:tabs>
      </w:pPr>
      <w:rPr>
        <w:rFonts w:cs="Times New Roman"/>
        <w:b/>
        <w:i w:val="0"/>
        <w:sz w:val="22"/>
        <w:szCs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3" w:hanging="283"/>
        <w:tabs>
          <w:tab w:val="num" w:pos="2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2.%1 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6"/>
  </w:num>
  <w:num w:numId="15">
    <w:abstractNumId w:val="18"/>
  </w:num>
  <w:num w:numId="16">
    <w:abstractNumId w:val="13"/>
  </w:num>
  <w:num w:numId="17">
    <w:abstractNumId w:val="17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7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3"/>
    <w:link w:val="69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1"/>
    <w:next w:val="69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1"/>
    <w:next w:val="69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1"/>
    <w:next w:val="69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1"/>
    <w:next w:val="69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1"/>
    <w:next w:val="69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1"/>
    <w:next w:val="69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1"/>
    <w:next w:val="69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1"/>
    <w:next w:val="69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3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3"/>
    <w:link w:val="726"/>
    <w:uiPriority w:val="10"/>
    <w:rPr>
      <w:sz w:val="48"/>
      <w:szCs w:val="48"/>
    </w:rPr>
  </w:style>
  <w:style w:type="character" w:styleId="37">
    <w:name w:val="Subtitle Char"/>
    <w:basedOn w:val="693"/>
    <w:link w:val="741"/>
    <w:uiPriority w:val="11"/>
    <w:rPr>
      <w:sz w:val="24"/>
      <w:szCs w:val="24"/>
    </w:rPr>
  </w:style>
  <w:style w:type="paragraph" w:styleId="38">
    <w:name w:val="Quote"/>
    <w:basedOn w:val="691"/>
    <w:next w:val="69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1"/>
    <w:next w:val="69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3"/>
    <w:link w:val="745"/>
    <w:uiPriority w:val="99"/>
  </w:style>
  <w:style w:type="character" w:styleId="45">
    <w:name w:val="Footer Char"/>
    <w:basedOn w:val="693"/>
    <w:link w:val="747"/>
    <w:uiPriority w:val="99"/>
  </w:style>
  <w:style w:type="character" w:styleId="47">
    <w:name w:val="Caption Char"/>
    <w:basedOn w:val="693"/>
    <w:link w:val="731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3"/>
    <w:uiPriority w:val="99"/>
    <w:unhideWhenUsed/>
    <w:rPr>
      <w:vertAlign w:val="superscript"/>
    </w:rPr>
  </w:style>
  <w:style w:type="paragraph" w:styleId="178">
    <w:name w:val="endnote text"/>
    <w:basedOn w:val="69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3"/>
    <w:uiPriority w:val="99"/>
    <w:semiHidden/>
    <w:unhideWhenUsed/>
    <w:rPr>
      <w:vertAlign w:val="superscript"/>
    </w:rPr>
  </w:style>
  <w:style w:type="paragraph" w:styleId="181">
    <w:name w:val="toc 1"/>
    <w:basedOn w:val="691"/>
    <w:next w:val="69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1"/>
    <w:next w:val="69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1"/>
    <w:next w:val="69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1"/>
    <w:next w:val="69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1"/>
    <w:next w:val="69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1"/>
    <w:next w:val="69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1"/>
    <w:next w:val="69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1"/>
    <w:next w:val="69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1"/>
    <w:next w:val="69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1"/>
    <w:next w:val="691"/>
    <w:uiPriority w:val="99"/>
    <w:unhideWhenUsed/>
    <w:pPr>
      <w:spacing w:after="0" w:afterAutospacing="0"/>
    </w:pPr>
  </w:style>
  <w:style w:type="paragraph" w:styleId="691" w:default="1">
    <w:name w:val="Normal"/>
    <w:qFormat/>
    <w:rPr>
      <w:rFonts w:ascii="MS Sans Serif" w:hAnsi="MS Sans Serif" w:cs="MS Sans Serif"/>
      <w:lang w:val="en-US" w:eastAsia="zh-CN"/>
    </w:rPr>
  </w:style>
  <w:style w:type="paragraph" w:styleId="692">
    <w:name w:val="Heading 1"/>
    <w:basedOn w:val="691"/>
    <w:next w:val="691"/>
    <w:link w:val="749"/>
    <w:qFormat/>
    <w:pPr>
      <w:keepNext/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WW8Num2z0"/>
    <w:uiPriority w:val="99"/>
    <w:rPr>
      <w:sz w:val="24"/>
    </w:rPr>
  </w:style>
  <w:style w:type="character" w:styleId="697" w:customStyle="1">
    <w:name w:val="WW8Num3z0"/>
    <w:uiPriority w:val="99"/>
    <w:rPr>
      <w:sz w:val="24"/>
    </w:rPr>
  </w:style>
  <w:style w:type="character" w:styleId="698" w:customStyle="1">
    <w:name w:val="WW8Num4z0"/>
    <w:uiPriority w:val="99"/>
    <w:rPr>
      <w:sz w:val="24"/>
    </w:rPr>
  </w:style>
  <w:style w:type="character" w:styleId="699" w:customStyle="1">
    <w:name w:val="WW8Num5z0"/>
    <w:uiPriority w:val="99"/>
    <w:rPr>
      <w:sz w:val="24"/>
    </w:rPr>
  </w:style>
  <w:style w:type="character" w:styleId="700" w:customStyle="1">
    <w:name w:val="WW8Num6z0"/>
    <w:uiPriority w:val="99"/>
    <w:rPr>
      <w:sz w:val="24"/>
    </w:rPr>
  </w:style>
  <w:style w:type="character" w:styleId="701" w:customStyle="1">
    <w:name w:val="WW8Num7z0"/>
    <w:uiPriority w:val="99"/>
    <w:rPr>
      <w:rFonts w:ascii="Symbol" w:hAnsi="Symbol"/>
    </w:rPr>
  </w:style>
  <w:style w:type="character" w:styleId="702" w:customStyle="1">
    <w:name w:val="WW8Num7z1"/>
    <w:uiPriority w:val="99"/>
    <w:rPr>
      <w:rFonts w:ascii="Courier New" w:hAnsi="Courier New"/>
    </w:rPr>
  </w:style>
  <w:style w:type="character" w:styleId="703" w:customStyle="1">
    <w:name w:val="WW8Num7z2"/>
    <w:uiPriority w:val="99"/>
    <w:rPr>
      <w:rFonts w:ascii="Wingdings" w:hAnsi="Wingdings"/>
    </w:rPr>
  </w:style>
  <w:style w:type="character" w:styleId="704" w:customStyle="1">
    <w:name w:val="WW8Num8z0"/>
    <w:uiPriority w:val="99"/>
    <w:rPr>
      <w:sz w:val="24"/>
    </w:rPr>
  </w:style>
  <w:style w:type="character" w:styleId="705" w:customStyle="1">
    <w:name w:val="WW8Num9z0"/>
    <w:uiPriority w:val="99"/>
    <w:rPr>
      <w:sz w:val="24"/>
    </w:rPr>
  </w:style>
  <w:style w:type="character" w:styleId="706" w:customStyle="1">
    <w:name w:val="WW8Num10z0"/>
    <w:uiPriority w:val="99"/>
    <w:rPr>
      <w:rFonts w:ascii="Times New Roman" w:hAnsi="Times New Roman"/>
    </w:rPr>
  </w:style>
  <w:style w:type="character" w:styleId="707" w:customStyle="1">
    <w:name w:val="WW8Num10z1"/>
    <w:uiPriority w:val="99"/>
    <w:rPr>
      <w:rFonts w:ascii="Courier New" w:hAnsi="Courier New"/>
    </w:rPr>
  </w:style>
  <w:style w:type="character" w:styleId="708" w:customStyle="1">
    <w:name w:val="WW8Num10z2"/>
    <w:uiPriority w:val="99"/>
    <w:rPr>
      <w:rFonts w:ascii="Wingdings" w:hAnsi="Wingdings"/>
    </w:rPr>
  </w:style>
  <w:style w:type="character" w:styleId="709" w:customStyle="1">
    <w:name w:val="WW8Num10z3"/>
    <w:uiPriority w:val="99"/>
    <w:rPr>
      <w:rFonts w:ascii="Symbol" w:hAnsi="Symbol"/>
    </w:rPr>
  </w:style>
  <w:style w:type="character" w:styleId="710" w:customStyle="1">
    <w:name w:val="WW8Num11z0"/>
    <w:uiPriority w:val="99"/>
    <w:rPr>
      <w:sz w:val="24"/>
    </w:rPr>
  </w:style>
  <w:style w:type="character" w:styleId="711" w:customStyle="1">
    <w:name w:val="WW8Num12z0"/>
    <w:uiPriority w:val="99"/>
    <w:rPr>
      <w:sz w:val="24"/>
    </w:rPr>
  </w:style>
  <w:style w:type="character" w:styleId="712" w:customStyle="1">
    <w:name w:val="WW8Num13z0"/>
    <w:uiPriority w:val="99"/>
    <w:rPr>
      <w:sz w:val="24"/>
    </w:rPr>
  </w:style>
  <w:style w:type="character" w:styleId="713" w:customStyle="1">
    <w:name w:val="WW8Num14z0"/>
    <w:uiPriority w:val="99"/>
    <w:rPr>
      <w:sz w:val="24"/>
    </w:rPr>
  </w:style>
  <w:style w:type="character" w:styleId="714" w:customStyle="1">
    <w:name w:val="WW8Num15z0"/>
    <w:uiPriority w:val="99"/>
    <w:rPr>
      <w:sz w:val="24"/>
    </w:rPr>
  </w:style>
  <w:style w:type="character" w:styleId="715" w:customStyle="1">
    <w:name w:val="WW8Num16z0"/>
    <w:uiPriority w:val="99"/>
    <w:rPr>
      <w:sz w:val="24"/>
    </w:rPr>
  </w:style>
  <w:style w:type="character" w:styleId="716" w:customStyle="1">
    <w:name w:val="WW8Num17z0"/>
    <w:uiPriority w:val="99"/>
    <w:rPr>
      <w:rFonts w:ascii="Symbol" w:hAnsi="Symbol"/>
    </w:rPr>
  </w:style>
  <w:style w:type="character" w:styleId="717" w:customStyle="1">
    <w:name w:val="WW8Num17z1"/>
    <w:uiPriority w:val="99"/>
    <w:rPr>
      <w:rFonts w:ascii="Courier New" w:hAnsi="Courier New"/>
    </w:rPr>
  </w:style>
  <w:style w:type="character" w:styleId="718" w:customStyle="1">
    <w:name w:val="WW8Num17z2"/>
    <w:uiPriority w:val="99"/>
    <w:rPr>
      <w:rFonts w:ascii="Wingdings" w:hAnsi="Wingdings"/>
    </w:rPr>
  </w:style>
  <w:style w:type="character" w:styleId="719" w:customStyle="1">
    <w:name w:val="WW8Num18z0"/>
    <w:uiPriority w:val="99"/>
    <w:rPr>
      <w:sz w:val="24"/>
    </w:rPr>
  </w:style>
  <w:style w:type="character" w:styleId="720" w:customStyle="1">
    <w:name w:val="WW8NumSt2z0"/>
    <w:uiPriority w:val="99"/>
    <w:rPr>
      <w:rFonts w:ascii="Symbol" w:hAnsi="Symbol"/>
    </w:rPr>
  </w:style>
  <w:style w:type="character" w:styleId="721" w:customStyle="1">
    <w:name w:val="WW8NumSt2z1"/>
    <w:uiPriority w:val="99"/>
    <w:rPr>
      <w:rFonts w:ascii="Courier New" w:hAnsi="Courier New"/>
    </w:rPr>
  </w:style>
  <w:style w:type="character" w:styleId="722" w:customStyle="1">
    <w:name w:val="WW8NumSt2z2"/>
    <w:uiPriority w:val="99"/>
    <w:rPr>
      <w:rFonts w:ascii="Wingdings" w:hAnsi="Wingdings"/>
    </w:rPr>
  </w:style>
  <w:style w:type="character" w:styleId="723" w:customStyle="1">
    <w:name w:val="WW8NumSt5z0"/>
    <w:uiPriority w:val="99"/>
    <w:rPr>
      <w:rFonts w:ascii="Wingdings" w:hAnsi="Wingdings"/>
      <w:sz w:val="24"/>
    </w:rPr>
  </w:style>
  <w:style w:type="character" w:styleId="724" w:customStyle="1">
    <w:name w:val="WW8NumSt17z0"/>
    <w:uiPriority w:val="99"/>
    <w:rPr>
      <w:sz w:val="24"/>
    </w:rPr>
  </w:style>
  <w:style w:type="character" w:styleId="725" w:customStyle="1">
    <w:name w:val="Основной шрифт абзаца1"/>
    <w:uiPriority w:val="99"/>
  </w:style>
  <w:style w:type="paragraph" w:styleId="726">
    <w:name w:val="Title"/>
    <w:basedOn w:val="691"/>
    <w:next w:val="728"/>
    <w:link w:val="727"/>
    <w:uiPriority w:val="99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27" w:customStyle="1">
    <w:name w:val="Название Знак"/>
    <w:link w:val="726"/>
    <w:uiPriority w:val="99"/>
    <w:rPr>
      <w:rFonts w:ascii="Cambria" w:hAnsi="Cambria" w:cs="Times New Roman"/>
      <w:b/>
      <w:bCs/>
      <w:sz w:val="32"/>
      <w:szCs w:val="32"/>
      <w:lang w:val="en-US" w:eastAsia="zh-CN"/>
    </w:rPr>
  </w:style>
  <w:style w:type="paragraph" w:styleId="728">
    <w:name w:val="Body Text"/>
    <w:basedOn w:val="691"/>
    <w:link w:val="729"/>
    <w:pPr>
      <w:spacing w:after="120"/>
    </w:pPr>
  </w:style>
  <w:style w:type="character" w:styleId="729" w:customStyle="1">
    <w:name w:val="Основной текст Знак"/>
    <w:link w:val="728"/>
    <w:rPr>
      <w:rFonts w:ascii="MS Sans Serif" w:hAnsi="MS Sans Serif" w:cs="MS Sans Serif"/>
      <w:sz w:val="20"/>
      <w:szCs w:val="20"/>
      <w:lang w:val="en-US" w:eastAsia="zh-CN"/>
    </w:rPr>
  </w:style>
  <w:style w:type="paragraph" w:styleId="730">
    <w:name w:val="List"/>
    <w:basedOn w:val="728"/>
    <w:uiPriority w:val="99"/>
    <w:rPr>
      <w:rFonts w:cs="Mangal"/>
    </w:rPr>
  </w:style>
  <w:style w:type="paragraph" w:styleId="731">
    <w:name w:val="Caption"/>
    <w:basedOn w:val="691"/>
    <w:uiPriority w:val="99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2" w:customStyle="1">
    <w:name w:val="Указатель1"/>
    <w:basedOn w:val="691"/>
    <w:uiPriority w:val="99"/>
    <w:pPr>
      <w:suppressLineNumbers/>
    </w:pPr>
    <w:rPr>
      <w:rFonts w:cs="Mangal"/>
    </w:rPr>
  </w:style>
  <w:style w:type="paragraph" w:styleId="733" w:customStyle="1">
    <w:name w:val="Содержимое таблицы"/>
    <w:basedOn w:val="691"/>
    <w:uiPriority w:val="99"/>
    <w:pPr>
      <w:suppressLineNumbers/>
    </w:pPr>
  </w:style>
  <w:style w:type="paragraph" w:styleId="734" w:customStyle="1">
    <w:name w:val="Заголовок таблицы"/>
    <w:basedOn w:val="733"/>
    <w:uiPriority w:val="99"/>
    <w:pPr>
      <w:jc w:val="center"/>
    </w:pPr>
    <w:rPr>
      <w:b/>
      <w:bCs/>
    </w:rPr>
  </w:style>
  <w:style w:type="paragraph" w:styleId="735">
    <w:name w:val="Balloon Text"/>
    <w:basedOn w:val="691"/>
    <w:link w:val="736"/>
    <w:uiPriority w:val="99"/>
    <w:semiHidden/>
    <w:rPr>
      <w:rFonts w:ascii="Tahoma" w:hAnsi="Tahoma" w:cs="Tahoma"/>
      <w:sz w:val="16"/>
      <w:szCs w:val="16"/>
    </w:rPr>
  </w:style>
  <w:style w:type="character" w:styleId="736" w:customStyle="1">
    <w:name w:val="Текст выноски Знак"/>
    <w:link w:val="735"/>
    <w:uiPriority w:val="99"/>
    <w:semiHidden/>
    <w:rPr>
      <w:rFonts w:cs="MS Sans Serif"/>
      <w:sz w:val="2"/>
      <w:lang w:val="en-US" w:eastAsia="zh-CN"/>
    </w:rPr>
  </w:style>
  <w:style w:type="character" w:styleId="737">
    <w:name w:val="Hyperlink"/>
    <w:uiPriority w:val="99"/>
    <w:rPr>
      <w:rFonts w:cs="Times New Roman"/>
      <w:color w:val="0000ff"/>
      <w:u w:val="single"/>
    </w:rPr>
  </w:style>
  <w:style w:type="paragraph" w:styleId="738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paragraph" w:styleId="739">
    <w:name w:val="List Paragraph"/>
    <w:basedOn w:val="691"/>
    <w:uiPriority w:val="99"/>
    <w:qFormat/>
    <w:pPr>
      <w:contextualSpacing/>
      <w:ind w:left="720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740">
    <w:name w:val="Normal (Web)"/>
    <w:basedOn w:val="691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741">
    <w:name w:val="Subtitle"/>
    <w:basedOn w:val="691"/>
    <w:next w:val="691"/>
    <w:link w:val="742"/>
    <w:qFormat/>
    <w:pPr>
      <w:jc w:val="center"/>
      <w:spacing w:after="60"/>
      <w:outlineLvl w:val="1"/>
    </w:pPr>
    <w:rPr>
      <w:rFonts w:ascii="Cambria" w:hAnsi="Cambria" w:cs="Times New Roman"/>
      <w:sz w:val="24"/>
      <w:szCs w:val="24"/>
      <w:lang w:val="ru-RU" w:eastAsia="ru-RU"/>
    </w:rPr>
  </w:style>
  <w:style w:type="character" w:styleId="742" w:customStyle="1">
    <w:name w:val="Подзаголовок Знак"/>
    <w:link w:val="741"/>
    <w:rPr>
      <w:rFonts w:ascii="Cambria" w:hAnsi="Cambria"/>
      <w:sz w:val="24"/>
      <w:szCs w:val="24"/>
    </w:rPr>
  </w:style>
  <w:style w:type="paragraph" w:styleId="743" w:customStyle="1">
    <w:name w:val="msonormal_mailru_css_attribute_postfix"/>
    <w:basedOn w:val="69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744" w:customStyle="1">
    <w:name w:val="copy_target"/>
  </w:style>
  <w:style w:type="paragraph" w:styleId="745">
    <w:name w:val="Header"/>
    <w:basedOn w:val="691"/>
    <w:link w:val="7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6" w:customStyle="1">
    <w:name w:val="Верхний колонтитул Знак"/>
    <w:link w:val="745"/>
    <w:uiPriority w:val="99"/>
    <w:rPr>
      <w:rFonts w:ascii="MS Sans Serif" w:hAnsi="MS Sans Serif" w:cs="MS Sans Serif"/>
      <w:lang w:val="en-US" w:eastAsia="zh-CN"/>
    </w:rPr>
  </w:style>
  <w:style w:type="paragraph" w:styleId="747">
    <w:name w:val="Footer"/>
    <w:basedOn w:val="691"/>
    <w:link w:val="7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8" w:customStyle="1">
    <w:name w:val="Нижний колонтитул Знак"/>
    <w:link w:val="747"/>
    <w:uiPriority w:val="99"/>
    <w:rPr>
      <w:rFonts w:ascii="MS Sans Serif" w:hAnsi="MS Sans Serif" w:cs="MS Sans Serif"/>
      <w:lang w:val="en-US" w:eastAsia="zh-CN"/>
    </w:rPr>
  </w:style>
  <w:style w:type="character" w:styleId="749" w:customStyle="1">
    <w:name w:val="Заголовок 1 Знак"/>
    <w:link w:val="692"/>
    <w:rPr>
      <w:rFonts w:ascii="Cambria" w:hAnsi="Cambria" w:eastAsia="Times New Roman" w:cs="Times New Roman"/>
      <w:b/>
      <w:bCs/>
      <w:sz w:val="32"/>
      <w:szCs w:val="32"/>
      <w:lang w:val="en-US" w:eastAsia="zh-CN"/>
    </w:rPr>
  </w:style>
  <w:style w:type="table" w:styleId="750">
    <w:name w:val="Table Grid"/>
    <w:basedOn w:val="69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51" w:customStyle="1">
    <w:name w:val="Text body"/>
    <w:basedOn w:val="691"/>
    <w:pPr>
      <w:spacing w:after="120"/>
      <w:widowControl w:val="off"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  <w:style w:type="paragraph" w:styleId="752">
    <w:name w:val="Body Text 2"/>
    <w:basedOn w:val="691"/>
    <w:link w:val="753"/>
    <w:uiPriority w:val="99"/>
    <w:semiHidden/>
    <w:unhideWhenUsed/>
    <w:pPr>
      <w:spacing w:after="120" w:line="480" w:lineRule="auto"/>
      <w:widowControl w:val="off"/>
    </w:pPr>
    <w:rPr>
      <w:rFonts w:ascii="Times New Roman" w:hAnsi="Times New Roman" w:eastAsia="Arial Unicode MS" w:cs="Times New Roman"/>
      <w:sz w:val="24"/>
      <w:szCs w:val="24"/>
      <w:lang w:val="ru-RU" w:eastAsia="ru-RU"/>
    </w:rPr>
  </w:style>
  <w:style w:type="character" w:styleId="753" w:customStyle="1">
    <w:name w:val="Основной текст 2 Знак"/>
    <w:basedOn w:val="693"/>
    <w:link w:val="752"/>
    <w:uiPriority w:val="99"/>
    <w:semiHidden/>
    <w:rPr>
      <w:rFonts w:eastAsia="Arial Unicode MS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urist@mse27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7CF75-84E2-49D5-8675-0BAE96D8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Kudryavtseva-EL</cp:lastModifiedBy>
  <cp:revision>4</cp:revision>
  <dcterms:created xsi:type="dcterms:W3CDTF">2025-05-23T01:58:00Z</dcterms:created>
  <dcterms:modified xsi:type="dcterms:W3CDTF">2026-07-30T02:27:13Z</dcterms:modified>
</cp:coreProperties>
</file>