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wmf" ContentType="image/x-wmf"/>
  <Override PartName="/word/media/image2.wmf" ContentType="image/x-wmf"/>
  <Override PartName="/word/media/image3.wmf" ContentType="image/x-wmf"/>
  <Override PartName="/word/media/image4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261" w:leader="none"/>
        </w:tabs>
        <w:spacing w:lineRule="auto" w:line="240" w:before="0" w:after="0"/>
        <w:jc w:val="end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Обоснование начальной (максимальной) цены контракта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Код ОКПД 2: </w:t>
      </w:r>
      <w:r>
        <w:rPr>
          <w:rFonts w:ascii="Times New Roman" w:hAnsi="Times New Roman"/>
          <w:b/>
          <w:bCs/>
          <w:sz w:val="24"/>
          <w:szCs w:val="24"/>
          <w:shd w:fill="FFFF00" w:val="clear"/>
        </w:rPr>
        <w:t xml:space="preserve">26.60.13.140 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5167" w:type="dxa"/>
        <w:jc w:val="start"/>
        <w:tblInd w:w="456" w:type="dxa"/>
        <w:tblLayout w:type="fixed"/>
        <w:tblCellMar>
          <w:top w:w="28" w:type="dxa"/>
          <w:start w:w="10" w:type="dxa"/>
          <w:bottom w:w="28" w:type="dxa"/>
          <w:end w:w="18" w:type="dxa"/>
        </w:tblCellMar>
        <w:tblLook w:val="04a0" w:firstRow="1" w:noVBand="1" w:lastRow="0" w:firstColumn="1" w:lastColumn="0" w:noHBand="0"/>
      </w:tblPr>
      <w:tblGrid>
        <w:gridCol w:w="5528"/>
        <w:gridCol w:w="9639"/>
      </w:tblGrid>
      <w:tr>
        <w:trPr/>
        <w:tc>
          <w:tcPr>
            <w:tcW w:w="5528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17"/>
              <w:ind w:end="57"/>
              <w:jc w:val="center"/>
              <w:rPr>
                <w:b/>
              </w:rPr>
            </w:pPr>
            <w:r>
              <w:rPr>
                <w:b/>
              </w:rPr>
              <w:t>Предмет контракта</w:t>
            </w:r>
          </w:p>
        </w:tc>
        <w:tc>
          <w:tcPr>
            <w:tcW w:w="9639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  <w:end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Поставка оборудования: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Аппарат УВТ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SW-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>
        <w:trPr/>
        <w:tc>
          <w:tcPr>
            <w:tcW w:w="5528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17"/>
              <w:ind w:end="57"/>
              <w:jc w:val="center"/>
              <w:rPr>
                <w:b/>
              </w:rPr>
            </w:pPr>
            <w:r>
              <w:rPr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9639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  <w:end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528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17"/>
              <w:ind w:end="57"/>
              <w:jc w:val="center"/>
              <w:rPr>
                <w:b/>
                <w:bCs/>
              </w:rPr>
            </w:pPr>
            <w:r>
              <w:rPr>
                <w:b/>
              </w:rPr>
              <w:t>Информация о валюте, используемой для формирования цены контракта и расчетов с поставщиками (подрядчиками, исполнителями)</w:t>
            </w:r>
          </w:p>
        </w:tc>
        <w:tc>
          <w:tcPr>
            <w:tcW w:w="9639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  <w:end w:val="single" w:sz="8" w:space="0" w:color="000001"/>
            </w:tcBorders>
            <w:shd w:color="auto" w:fill="FFFFFF" w:val="clear"/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контракта указана в рублях Российской Федерации</w:t>
            </w:r>
          </w:p>
        </w:tc>
      </w:tr>
      <w:tr>
        <w:trPr/>
        <w:tc>
          <w:tcPr>
            <w:tcW w:w="5528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</w:tcBorders>
            <w:shd w:color="auto" w:fill="FFFFFF" w:val="clear"/>
          </w:tcPr>
          <w:p>
            <w:pPr>
              <w:pStyle w:val="Style17"/>
              <w:ind w:end="57"/>
              <w:jc w:val="center"/>
              <w:rPr>
                <w:b/>
              </w:rPr>
            </w:pPr>
            <w:r>
              <w:rPr>
                <w:b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9639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  <w:end w:val="single" w:sz="8" w:space="0" w:color="000001"/>
            </w:tcBorders>
            <w:shd w:color="auto" w:fill="FFFFFF" w:val="clear"/>
          </w:tcPr>
          <w:p>
            <w:pPr>
              <w:pStyle w:val="Style81"/>
              <w:widowControl/>
              <w:tabs>
                <w:tab w:val="clear" w:pos="708"/>
                <w:tab w:val="left" w:pos="3402" w:leader="none"/>
                <w:tab w:val="left" w:pos="4915" w:leader="underscore"/>
              </w:tabs>
              <w:jc w:val="both"/>
              <w:rPr/>
            </w:pPr>
            <w:r>
              <w:rPr/>
              <w:t>Оплата в иностранной валюте не допускается.</w:t>
            </w:r>
          </w:p>
        </w:tc>
      </w:tr>
      <w:tr>
        <w:trPr/>
        <w:tc>
          <w:tcPr>
            <w:tcW w:w="5528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</w:tcBorders>
            <w:shd w:color="auto" w:fill="FFFFFF" w:val="clear"/>
            <w:tcMar>
              <w:top w:w="0" w:type="dxa"/>
              <w:start w:w="0" w:type="dxa"/>
              <w:end w:w="28" w:type="dxa"/>
            </w:tcMar>
          </w:tcPr>
          <w:p>
            <w:pPr>
              <w:pStyle w:val="Style17"/>
              <w:ind w:end="57"/>
              <w:jc w:val="center"/>
              <w:rPr>
                <w:b/>
              </w:rPr>
            </w:pPr>
            <w:r>
              <w:rPr>
                <w:b/>
              </w:rPr>
              <w:t>Используемый метод определения с обоснованием</w:t>
            </w:r>
          </w:p>
        </w:tc>
        <w:tc>
          <w:tcPr>
            <w:tcW w:w="9639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  <w:end w:val="single" w:sz="8" w:space="0" w:color="000001"/>
            </w:tcBorders>
            <w:shd w:color="auto" w:fill="FFFFFF" w:val="clear"/>
            <w:tcMar>
              <w:top w:w="0" w:type="dxa"/>
              <w:start w:w="0" w:type="dxa"/>
              <w:end w:w="28" w:type="dxa"/>
            </w:tcMar>
          </w:tcPr>
          <w:p>
            <w:pPr>
              <w:pStyle w:val="Style17"/>
              <w:jc w:val="both"/>
              <w:rPr/>
            </w:pPr>
            <w:r>
              <w:rPr/>
              <w:t>Метод сопоставимых рыночных цен (анализ рынка) в соответствии с приказом Минэкономразвития РФ от 02.10.2013 № 567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получена в сети Интернет:</w:t>
            </w:r>
          </w:p>
          <w:p>
            <w:pPr>
              <w:pStyle w:val="Normal"/>
              <w:numPr>
                <w:ilvl w:val="0"/>
                <w:numId w:val="1"/>
              </w:numPr>
              <w:snapToGrid w:val="false"/>
              <w:spacing w:lineRule="auto" w:line="240" w:before="0" w:after="0"/>
              <w:ind w:firstLine="709" w:star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Поставщик № 1</w:t>
            </w:r>
          </w:p>
          <w:p>
            <w:pPr>
              <w:pStyle w:val="Normal"/>
              <w:numPr>
                <w:ilvl w:val="0"/>
                <w:numId w:val="1"/>
              </w:numPr>
              <w:snapToGrid w:val="false"/>
              <w:spacing w:lineRule="auto" w:line="240" w:before="0" w:after="0"/>
              <w:ind w:hanging="0" w:start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Поставщик № 2</w:t>
            </w:r>
          </w:p>
          <w:p>
            <w:pPr>
              <w:pStyle w:val="Normal"/>
              <w:numPr>
                <w:ilvl w:val="0"/>
                <w:numId w:val="1"/>
              </w:numPr>
              <w:snapToGrid w:val="false"/>
              <w:spacing w:lineRule="auto" w:line="240" w:before="0" w:after="0"/>
              <w:ind w:hanging="0" w:start="709"/>
              <w:jc w:val="both"/>
              <w:rPr/>
            </w:pPr>
            <w:r>
              <w:rPr>
                <w:rFonts w:ascii="Times New Roman" w:hAnsi="Times New Roman"/>
              </w:rPr>
              <w:t>Поставщик № 3</w:t>
            </w:r>
          </w:p>
        </w:tc>
      </w:tr>
      <w:tr>
        <w:trPr>
          <w:trHeight w:val="262" w:hRule="atLeast"/>
        </w:trPr>
        <w:tc>
          <w:tcPr>
            <w:tcW w:w="5528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</w:tcBorders>
            <w:shd w:color="auto" w:fill="FFFFFF" w:val="clear"/>
            <w:tcMar>
              <w:top w:w="0" w:type="dxa"/>
              <w:start w:w="0" w:type="dxa"/>
              <w:end w:w="28" w:type="dxa"/>
            </w:tcMar>
          </w:tcPr>
          <w:p>
            <w:pPr>
              <w:pStyle w:val="Style17"/>
              <w:ind w:end="57"/>
              <w:jc w:val="center"/>
              <w:rPr>
                <w:b/>
              </w:rPr>
            </w:pPr>
            <w:r>
              <w:rPr>
                <w:b/>
              </w:rPr>
              <w:t>Расчет НМЦК</w:t>
            </w:r>
          </w:p>
        </w:tc>
        <w:tc>
          <w:tcPr>
            <w:tcW w:w="9639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  <w:end w:val="single" w:sz="8" w:space="0" w:color="000001"/>
            </w:tcBorders>
            <w:shd w:color="auto" w:fill="FFFFFF" w:val="clear"/>
            <w:tcMar>
              <w:top w:w="0" w:type="dxa"/>
              <w:start w:w="0" w:type="dxa"/>
              <w:end w:w="2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Начальная (максимальная) цена контракта: 120761,00 руб.</w:t>
            </w:r>
          </w:p>
          <w:p>
            <w:pPr>
              <w:pStyle w:val="Style17"/>
              <w:jc w:val="both"/>
              <w:rPr/>
            </w:pPr>
            <w:r>
              <w:rPr/>
              <w:t>Приложение к обоснованию</w:t>
            </w:r>
          </w:p>
        </w:tc>
      </w:tr>
      <w:tr>
        <w:trPr>
          <w:trHeight w:val="262" w:hRule="atLeast"/>
        </w:trPr>
        <w:tc>
          <w:tcPr>
            <w:tcW w:w="5528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</w:tcBorders>
            <w:shd w:color="auto" w:fill="FFFFFF" w:val="clear"/>
            <w:tcMar>
              <w:top w:w="0" w:type="dxa"/>
              <w:start w:w="0" w:type="dxa"/>
              <w:end w:w="28" w:type="dxa"/>
            </w:tcMar>
          </w:tcPr>
          <w:p>
            <w:pPr>
              <w:pStyle w:val="Style17"/>
              <w:spacing w:lineRule="auto" w:line="276"/>
              <w:ind w:end="57"/>
              <w:jc w:val="center"/>
              <w:rPr>
                <w:b/>
              </w:rPr>
            </w:pPr>
            <w:r>
              <w:rPr>
                <w:b/>
              </w:rPr>
              <w:t>Код вида расходов (КВР)</w:t>
            </w:r>
          </w:p>
        </w:tc>
        <w:tc>
          <w:tcPr>
            <w:tcW w:w="9639" w:type="dxa"/>
            <w:tcBorders>
              <w:top w:val="single" w:sz="8" w:space="0" w:color="000001"/>
              <w:start w:val="single" w:sz="8" w:space="0" w:color="000001"/>
              <w:bottom w:val="single" w:sz="8" w:space="0" w:color="000001"/>
              <w:end w:val="single" w:sz="8" w:space="0" w:color="000001"/>
            </w:tcBorders>
            <w:shd w:color="auto" w:fill="FFFFFF" w:val="clear"/>
            <w:tcMar>
              <w:top w:w="0" w:type="dxa"/>
              <w:start w:w="0" w:type="dxa"/>
              <w:end w:w="2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бюджета: Средства бюджетных учреждений (внебюджетные средства)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сумму:  120761,00 руб.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spacing w:before="0" w:after="0"/>
        <w:jc w:val="end"/>
        <w:rPr/>
      </w:pPr>
      <w:r>
        <w:rPr/>
      </w:r>
    </w:p>
    <w:p>
      <w:pPr>
        <w:pStyle w:val="BodyText"/>
        <w:spacing w:before="0" w:after="0"/>
        <w:jc w:val="end"/>
        <w:rPr/>
      </w:pPr>
      <w:r>
        <w:rPr/>
        <w:t>Приложение к обоснованию</w:t>
      </w:r>
    </w:p>
    <w:p>
      <w:pPr>
        <w:pStyle w:val="BodyText"/>
        <w:spacing w:before="0" w:after="0"/>
        <w:jc w:val="end"/>
        <w:rPr/>
      </w:pPr>
      <w:r>
        <w:rPr/>
      </w:r>
    </w:p>
    <w:p>
      <w:pPr>
        <w:pStyle w:val="BodyText"/>
        <w:spacing w:before="0" w:after="0"/>
        <w:jc w:val="center"/>
        <w:rPr>
          <w:b/>
          <w:bCs/>
        </w:rPr>
      </w:pPr>
      <w:r>
        <w:rPr>
          <w:b/>
          <w:bCs/>
        </w:rPr>
        <w:t>Расчет начальной (максимальной) цены контракта</w:t>
      </w:r>
    </w:p>
    <w:p>
      <w:pPr>
        <w:pStyle w:val="BodyText"/>
        <w:spacing w:before="0" w:after="0"/>
        <w:jc w:val="center"/>
        <w:rPr/>
      </w:pPr>
      <w:r>
        <w:rPr/>
      </w:r>
    </w:p>
    <w:tbl>
      <w:tblPr>
        <w:tblW w:w="15734" w:type="dxa"/>
        <w:jc w:val="start"/>
        <w:tblInd w:w="36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66"/>
        <w:gridCol w:w="1188"/>
        <w:gridCol w:w="585"/>
        <w:gridCol w:w="601"/>
        <w:gridCol w:w="1229"/>
        <w:gridCol w:w="1259"/>
        <w:gridCol w:w="1427"/>
        <w:gridCol w:w="1507"/>
        <w:gridCol w:w="1135"/>
        <w:gridCol w:w="991"/>
        <w:gridCol w:w="1984"/>
        <w:gridCol w:w="1419"/>
        <w:gridCol w:w="1843"/>
      </w:tblGrid>
      <w:tr>
        <w:trPr>
          <w:trHeight w:val="780" w:hRule="atLeast"/>
        </w:trPr>
        <w:tc>
          <w:tcPr>
            <w:tcW w:w="566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188" w:type="dxa"/>
            <w:vMerge w:val="restart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Наименование предмета контракта</w:t>
            </w:r>
          </w:p>
        </w:tc>
        <w:tc>
          <w:tcPr>
            <w:tcW w:w="585" w:type="dxa"/>
            <w:vMerge w:val="restart"/>
            <w:tcBorders>
              <w:top w:val="single" w:sz="8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Ед. изм</w:t>
            </w:r>
          </w:p>
        </w:tc>
        <w:tc>
          <w:tcPr>
            <w:tcW w:w="601" w:type="dxa"/>
            <w:vMerge w:val="restart"/>
            <w:tcBorders>
              <w:top w:val="single" w:sz="8" w:space="0" w:color="000000"/>
              <w:start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3915" w:type="dxa"/>
            <w:gridSpan w:val="3"/>
            <w:tcBorders>
              <w:top w:val="single" w:sz="8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3633" w:type="dxa"/>
            <w:gridSpan w:val="3"/>
            <w:tcBorders>
              <w:top w:val="single" w:sz="8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Однородность совокупности значений выявленных цен, используемых в расчете Н(М)ЦК</w:t>
            </w:r>
          </w:p>
        </w:tc>
        <w:tc>
          <w:tcPr>
            <w:tcW w:w="5246" w:type="dxa"/>
            <w:gridSpan w:val="3"/>
            <w:tcBorders>
              <w:top w:val="single" w:sz="8" w:space="0" w:color="000000"/>
              <w:bottom w:val="single" w:sz="4" w:space="0" w:color="000000"/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Н(М)ЦК определяемая методом сопоставимых рыночных цен (анализа рынка)</w:t>
            </w:r>
          </w:p>
        </w:tc>
      </w:tr>
      <w:tr>
        <w:trPr>
          <w:trHeight w:val="4115" w:hRule="atLeast"/>
        </w:trPr>
        <w:tc>
          <w:tcPr>
            <w:tcW w:w="566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188" w:type="dxa"/>
            <w:vMerge w:val="continue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585" w:type="dxa"/>
            <w:vMerge w:val="continue"/>
            <w:tcBorders>
              <w:top w:val="single" w:sz="8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601" w:type="dxa"/>
            <w:vMerge w:val="continue"/>
            <w:tcBorders>
              <w:top w:val="single" w:sz="8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229" w:type="dxa"/>
            <w:tcBorders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9" w:type="dxa"/>
            <w:tcBorders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7" w:type="dxa"/>
            <w:tcBorders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Средняя арифметическая цена за единицу     &lt;ц&gt;</w:t>
            </w:r>
          </w:p>
        </w:tc>
        <w:tc>
          <w:tcPr>
            <w:tcW w:w="1135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tbl>
            <w:tblPr>
              <w:tblW w:w="1026" w:type="dxa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5" w:type="dxa"/>
              </w:tblCellMar>
              <w:tblLook w:val="04a0" w:firstRow="1" w:noVBand="1" w:lastRow="0" w:firstColumn="1" w:lastColumn="0" w:noHBand="0"/>
            </w:tblPr>
            <w:tblGrid>
              <w:gridCol w:w="1026"/>
            </w:tblGrid>
            <w:tr>
              <w:trPr>
                <w:trHeight w:val="4170" w:hRule="atLeast"/>
              </w:trPr>
              <w:tc>
                <w:tcPr>
                  <w:tcW w:w="1026" w:type="dxa"/>
                  <w:tcBorders>
                    <w:end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drawing>
                      <wp:anchor distT="0" distB="0" distL="0" distR="0" simplePos="0" relativeHeight="5" behindDoc="0" locked="0" layoutInCell="1" allowOverlap="1">
                        <wp:simplePos x="0" y="0"/>
                        <wp:positionH relativeFrom="column">
                          <wp:posOffset>-74930</wp:posOffset>
                        </wp:positionH>
                        <wp:positionV relativeFrom="paragraph">
                          <wp:posOffset>756920</wp:posOffset>
                        </wp:positionV>
                        <wp:extent cx="768350" cy="438150"/>
                        <wp:effectExtent l="0" t="0" r="0" b="0"/>
                        <wp:wrapNone/>
                        <wp:docPr id="1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835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Среднее квадратичное отклонение</w:t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991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tbl>
            <w:tblPr>
              <w:tblW w:w="1309" w:type="dxa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5" w:type="dxa"/>
              </w:tblCellMar>
              <w:tblLook w:val="04a0" w:firstRow="1" w:noVBand="1" w:lastRow="0" w:firstColumn="1" w:lastColumn="0" w:noHBand="0"/>
            </w:tblPr>
            <w:tblGrid>
              <w:gridCol w:w="1309"/>
            </w:tblGrid>
            <w:tr>
              <w:trPr>
                <w:trHeight w:val="4170" w:hRule="atLeast"/>
              </w:trPr>
              <w:tc>
                <w:tcPr>
                  <w:tcW w:w="1309" w:type="dxa"/>
                  <w:tcBorders>
                    <w:end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drawing>
                      <wp:anchor distT="0" distB="0" distL="0" distR="0" simplePos="0" relativeHeight="4" behindDoc="0" locked="0" layoutInCell="1" allowOverlap="1">
                        <wp:simplePos x="0" y="0"/>
                        <wp:positionH relativeFrom="column">
                          <wp:posOffset>-96520</wp:posOffset>
                        </wp:positionH>
                        <wp:positionV relativeFrom="paragraph">
                          <wp:posOffset>786130</wp:posOffset>
                        </wp:positionV>
                        <wp:extent cx="738505" cy="352425"/>
                        <wp:effectExtent l="0" t="0" r="0" b="0"/>
                        <wp:wrapNone/>
                        <wp:docPr id="2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Рисунок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850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коэффициент вариации цен* V (%)</w:t>
                  </w:r>
                  <w:r>
                    <w:rPr>
                      <w:rFonts w:ascii="Times New Roman" w:hAnsi="Times New Roman"/>
                      <w:i/>
                      <w:iCs/>
                      <w:color w:val="000000"/>
                      <w:sz w:val="20"/>
                      <w:szCs w:val="20"/>
                    </w:rPr>
                    <w:t xml:space="preserve"> (не должен превышать 33%)</w:t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984" w:type="dxa"/>
            <w:tcBorders/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  <w:tbl>
            <w:tblPr>
              <w:tblW w:w="2018" w:type="dxa"/>
              <w:jc w:val="start"/>
              <w:tblInd w:w="0" w:type="dxa"/>
              <w:tblLayout w:type="fixed"/>
              <w:tblCellMar>
                <w:top w:w="0" w:type="dxa"/>
                <w:start w:w="0" w:type="dxa"/>
                <w:bottom w:w="0" w:type="dxa"/>
                <w:end w:w="5" w:type="dxa"/>
              </w:tblCellMar>
              <w:tblLook w:val="04a0" w:firstRow="1" w:noVBand="1" w:lastRow="0" w:firstColumn="1" w:lastColumn="0" w:noHBand="0"/>
            </w:tblPr>
            <w:tblGrid>
              <w:gridCol w:w="2018"/>
            </w:tblGrid>
            <w:tr>
              <w:trPr>
                <w:trHeight w:val="4170" w:hRule="atLeast"/>
              </w:trPr>
              <w:tc>
                <w:tcPr>
                  <w:tcW w:w="2018" w:type="dxa"/>
                  <w:tcBorders>
                    <w:end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drawing>
                      <wp:anchor distT="0" distB="0" distL="0" distR="0" simplePos="0" relativeHeight="2" behindDoc="0" locked="0" layoutInCell="1" allowOverlap="1">
                        <wp:simplePos x="0" y="0"/>
                        <wp:positionH relativeFrom="column">
                          <wp:posOffset>114300</wp:posOffset>
                        </wp:positionH>
                        <wp:positionV relativeFrom="paragraph">
                          <wp:posOffset>943610</wp:posOffset>
                        </wp:positionV>
                        <wp:extent cx="152400" cy="228600"/>
                        <wp:effectExtent l="0" t="0" r="0" b="0"/>
                        <wp:wrapNone/>
                        <wp:docPr id="3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  <w:drawing>
                      <wp:anchor distT="0" distB="0" distL="0" distR="0" simplePos="0" relativeHeight="3" behindDoc="0" locked="0" layoutInCell="1" allowOverlap="1">
                        <wp:simplePos x="0" y="0"/>
                        <wp:positionH relativeFrom="column">
                          <wp:posOffset>41910</wp:posOffset>
                        </wp:positionH>
                        <wp:positionV relativeFrom="paragraph">
                          <wp:posOffset>1729740</wp:posOffset>
                        </wp:positionV>
                        <wp:extent cx="928370" cy="361950"/>
                        <wp:effectExtent l="0" t="0" r="0" b="0"/>
                        <wp:wrapNone/>
                        <wp:docPr id="4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Рисунок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837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Расчет Н(М)ЦК по формуле**, где                          v - количество (объем) закупаемого товара (работы, услуги);</w:t>
                    <w:br/>
                    <w:t>n - количество значений, используемых в расчете;</w:t>
                    <w:br/>
                    <w:t>i - номер источника ценовой информации;</w:t>
                    <w:br/>
                    <w:t xml:space="preserve">     - цена единицы</w:t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419" w:type="dxa"/>
            <w:tcBorders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Цена за единицу измерения</w:t>
            </w:r>
          </w:p>
        </w:tc>
        <w:tc>
          <w:tcPr>
            <w:tcW w:w="1843" w:type="dxa"/>
            <w:tcBorders>
              <w:end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Н(М)ЦК позиции</w:t>
            </w:r>
          </w:p>
        </w:tc>
      </w:tr>
      <w:tr>
        <w:trPr>
          <w:trHeight w:val="1240" w:hRule="atLeast"/>
        </w:trPr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Оборудование: Аппарат УВТ </w:t>
            </w:r>
            <w:r>
              <w:rPr>
                <w:rFonts w:ascii="Times New Roman" w:hAnsi="Times New Roman"/>
                <w:color w:val="000000"/>
                <w:lang w:val="en-US"/>
              </w:rPr>
              <w:t>SW-</w:t>
            </w: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</w:p>
        </w:tc>
        <w:tc>
          <w:tcPr>
            <w:tcW w:w="58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</w:t>
            </w:r>
          </w:p>
        </w:tc>
        <w:tc>
          <w:tcPr>
            <w:tcW w:w="60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132283,00</w:t>
            </w:r>
          </w:p>
        </w:tc>
        <w:tc>
          <w:tcPr>
            <w:tcW w:w="125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2"/>
              <w:spacing w:before="0" w:after="200"/>
              <w:ind w:hanging="0" w:start="0" w:end="0"/>
              <w:jc w:val="center"/>
              <w:rPr/>
            </w:pPr>
            <w:r>
              <w:rPr/>
              <w:t>120 651,00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105000,00</w:t>
            </w:r>
          </w:p>
        </w:tc>
        <w:tc>
          <w:tcPr>
            <w:tcW w:w="150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2"/>
              <w:spacing w:before="0" w:after="200"/>
              <w:ind w:hanging="0" w:start="0" w:end="0"/>
              <w:jc w:val="center"/>
              <w:rPr/>
            </w:pPr>
            <w:r>
              <w:rPr/>
              <w:t>119 311,33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2"/>
              <w:spacing w:before="0" w:after="200"/>
              <w:ind w:hanging="0" w:start="0" w:end="0"/>
              <w:jc w:val="center"/>
              <w:rPr/>
            </w:pPr>
            <w:r>
              <w:rPr/>
              <w:t>11 178,45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2"/>
              <w:spacing w:before="0" w:after="200"/>
              <w:jc w:val="center"/>
              <w:rPr/>
            </w:pPr>
            <w:r>
              <w:rPr/>
              <w:t>9,37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2"/>
              <w:spacing w:before="0" w:after="200"/>
              <w:ind w:hanging="0" w:start="0" w:end="0"/>
              <w:jc w:val="center"/>
              <w:rPr/>
            </w:pPr>
            <w:r>
              <w:rPr/>
              <w:t>119 311,33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2"/>
              <w:spacing w:before="0" w:after="200"/>
              <w:ind w:hanging="0" w:start="0" w:end="0"/>
              <w:jc w:val="center"/>
              <w:rPr/>
            </w:pPr>
            <w:r>
              <w:rPr/>
              <w:t>119 311,33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FF" w:val="clear"/>
            <w:vAlign w:val="center"/>
          </w:tcPr>
          <w:p>
            <w:pPr>
              <w:pStyle w:val="user2"/>
              <w:spacing w:before="0" w:after="200"/>
              <w:ind w:hanging="0" w:start="0" w:end="0"/>
              <w:jc w:val="center"/>
              <w:rPr/>
            </w:pPr>
            <w:r>
              <w:rPr/>
              <w:t>119 311,33</w:t>
            </w:r>
          </w:p>
        </w:tc>
      </w:tr>
      <w:tr>
        <w:trPr>
          <w:trHeight w:val="390" w:hRule="atLeast"/>
        </w:trPr>
        <w:tc>
          <w:tcPr>
            <w:tcW w:w="13891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начальная (максимальная) цена контракта</w:t>
            </w:r>
          </w:p>
        </w:tc>
        <w:tc>
          <w:tcPr>
            <w:tcW w:w="1843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user2"/>
              <w:spacing w:before="0" w:after="200"/>
              <w:ind w:hanging="0" w:start="0" w:end="0"/>
              <w:jc w:val="center"/>
              <w:rPr/>
            </w:pPr>
            <w:r>
              <w:rPr/>
              <w:t>119 311,33</w:t>
            </w:r>
          </w:p>
        </w:tc>
      </w:tr>
    </w:tbl>
    <w:p>
      <w:pPr>
        <w:pStyle w:val="BodyText"/>
        <w:spacing w:before="0" w:after="0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5876" w:type="dxa"/>
        <w:jc w:val="start"/>
        <w:tblInd w:w="-3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5876"/>
      </w:tblGrid>
      <w:tr>
        <w:trPr>
          <w:trHeight w:val="705" w:hRule="atLeast"/>
        </w:trPr>
        <w:tc>
          <w:tcPr>
            <w:tcW w:w="15876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результате проведенного расчета, Н(М)ЦК контракта составила: 119 311,33 рублей , в тч. НДС 22%</w:t>
            </w:r>
          </w:p>
        </w:tc>
      </w:tr>
    </w:tbl>
    <w:p>
      <w:pPr>
        <w:pStyle w:val="Normal"/>
        <w:tabs>
          <w:tab w:val="clear" w:pos="708"/>
          <w:tab w:val="left" w:pos="13438" w:leader="none"/>
        </w:tabs>
        <w:spacing w:before="120" w:after="120"/>
        <w:ind w:end="-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bCs/>
          <w:sz w:val="24"/>
          <w:szCs w:val="24"/>
        </w:rPr>
        <w:t xml:space="preserve">Директор   </w:t>
      </w:r>
      <w:r>
        <w:rPr>
          <w:rFonts w:ascii="Times New Roman" w:hAnsi="Times New Roman"/>
          <w:b/>
          <w:bCs/>
          <w:sz w:val="24"/>
          <w:szCs w:val="24"/>
        </w:rPr>
        <w:t>_________________________________ Горбунова Е.В.</w:t>
      </w:r>
      <w:r>
        <w:rPr>
          <w:rFonts w:ascii="Times New Roman" w:hAnsi="Times New Roman"/>
          <w:sz w:val="24"/>
          <w:szCs w:val="24"/>
        </w:rPr>
        <w:t xml:space="preserve">        «22» сентября 2026 год     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>
      <w:pPr>
        <w:pStyle w:val="Normal"/>
        <w:tabs>
          <w:tab w:val="clear" w:pos="708"/>
          <w:tab w:val="left" w:pos="13438" w:leader="none"/>
        </w:tabs>
        <w:spacing w:before="120" w:after="120"/>
        <w:ind w:firstLine="567" w:end="-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</w:p>
    <w:sectPr>
      <w:type w:val="nextPage"/>
      <w:pgSz w:orient="landscape" w:w="16838" w:h="11906"/>
      <w:pgMar w:left="301" w:right="295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04d84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sNonformat" w:customStyle="1">
    <w:name w:val="ConsNonformat Знак"/>
    <w:basedOn w:val="DefaultParagraphFont"/>
    <w:link w:val="ConsNonformat1"/>
    <w:qFormat/>
    <w:locked/>
    <w:rsid w:val="00904d84"/>
    <w:rPr>
      <w:rFonts w:ascii="Courier New" w:hAnsi="Courier New" w:cs="Courier New"/>
      <w:lang w:eastAsia="ru-RU"/>
    </w:rPr>
  </w:style>
  <w:style w:type="character" w:styleId="Style14" w:customStyle="1">
    <w:name w:val="Основной текст Знак"/>
    <w:basedOn w:val="DefaultParagraphFont"/>
    <w:uiPriority w:val="99"/>
    <w:qFormat/>
    <w:rsid w:val="009205db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15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unhideWhenUsed/>
    <w:rsid w:val="009205db"/>
    <w:pPr>
      <w:spacing w:lineRule="auto" w:line="240" w:before="0" w:after="120"/>
      <w:jc w:val="both"/>
    </w:pPr>
    <w:rPr>
      <w:rFonts w:ascii="Times New Roman" w:hAnsi="Times New Roman"/>
      <w:sz w:val="24"/>
      <w:szCs w:val="24"/>
      <w:lang w:eastAsia="zh-C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 w:customStyle="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ConsNonformat1" w:customStyle="1">
    <w:name w:val="ConsNonformat"/>
    <w:link w:val="ConsNonformat"/>
    <w:qFormat/>
    <w:rsid w:val="00904d84"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Calibri" w:cs="Courier New" w:eastAsiaTheme="minorHAnsi"/>
      <w:color w:val="auto"/>
      <w:kern w:val="0"/>
      <w:sz w:val="22"/>
      <w:szCs w:val="22"/>
      <w:lang w:val="ru-RU" w:eastAsia="ru-RU" w:bidi="ar-SA"/>
    </w:rPr>
  </w:style>
  <w:style w:type="paragraph" w:styleId="Style81" w:customStyle="1">
    <w:name w:val="Style8"/>
    <w:basedOn w:val="Normal"/>
    <w:uiPriority w:val="99"/>
    <w:qFormat/>
    <w:rsid w:val="00904d84"/>
    <w:pPr>
      <w:widowControl w:val="false"/>
      <w:spacing w:lineRule="auto" w:line="240" w:before="0" w:after="0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9205db"/>
    <w:pPr>
      <w:spacing w:lineRule="auto" w:line="240" w:beforeAutospacing="1" w:afterAutospacing="1"/>
    </w:pPr>
    <w:rPr>
      <w:rFonts w:ascii="Arial" w:hAnsi="Arial" w:cs="Arial"/>
      <w:sz w:val="20"/>
      <w:szCs w:val="20"/>
    </w:rPr>
  </w:style>
  <w:style w:type="paragraph" w:styleId="Style17" w:customStyle="1">
    <w:name w:val="Содержимое таблицы"/>
    <w:basedOn w:val="Normal"/>
    <w:uiPriority w:val="99"/>
    <w:qFormat/>
    <w:rsid w:val="009205db"/>
    <w:pPr>
      <w:suppressLineNumbers/>
      <w:spacing w:lineRule="auto" w:line="240" w:before="0" w:after="0"/>
    </w:pPr>
    <w:rPr>
      <w:rFonts w:ascii="Times New Roman" w:hAnsi="Times New Roman"/>
      <w:sz w:val="24"/>
      <w:szCs w:val="24"/>
      <w:lang w:eastAsia="zh-CN"/>
    </w:rPr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user4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LibreOffice/26.2.5.2$Windows_X86_64 LibreOffice_project/cd7284b4cbbfeb507e630c1aac019f4157393acb</Application>
  <AppVersion>15.0000</AppVersion>
  <Pages>2</Pages>
  <Words>272</Words>
  <Characters>1801</Characters>
  <CharactersWithSpaces>2141</CharactersWithSpaces>
  <Paragraphs>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2026-07-24T06:42:00Z</dcterms:created>
  <dc:creator>user</dc:creator>
  <dc:description/>
  <dc:language>ru-RU</dc:language>
  <cp:lastModifiedBy/>
  <cp:lastPrinted>2026-04-20T13:19:00Z</cp:lastPrinted>
  <dcterms:modified xsi:type="dcterms:W3CDTF">2026-09-23T16:21:41Z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