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120" w:after="300"/>
        <w:ind w:hanging="0"/>
        <w:contextualSpacing/>
        <w:rPr>
          <w:color w:val="FF0000"/>
        </w:rPr>
      </w:pPr>
      <w:r>
        <w:rPr>
          <w:color w:val="FF0000"/>
        </w:rPr>
      </w:r>
      <w:bookmarkStart w:id="0" w:name="_title_1"/>
      <w:bookmarkStart w:id="1" w:name="_ref_21031203"/>
    </w:p>
    <w:p>
      <w:pPr>
        <w:pStyle w:val="Title"/>
        <w:ind w:hanging="0"/>
        <w:rPr/>
      </w:pPr>
      <w:r>
        <w:rPr/>
        <w:t xml:space="preserve">проект контракта </w:t>
      </w:r>
    </w:p>
    <w:p>
      <w:pPr>
        <w:pStyle w:val="Title"/>
        <w:ind w:hanging="0"/>
        <w:rPr/>
      </w:pPr>
      <w:r>
        <w:rPr/>
        <w:t>купли-продажи оборудования № ____</w:t>
      </w:r>
      <w:bookmarkEnd w:id="0"/>
      <w:bookmarkEnd w:id="1"/>
    </w:p>
    <w:tbl>
      <w:tblPr>
        <w:tblW w:w="5000" w:type="pct"/>
        <w:jc w:val="start"/>
        <w:tblInd w:w="109" w:type="dxa"/>
        <w:tblLayout w:type="fixed"/>
        <w:tblCellMar>
          <w:top w:w="0" w:type="dxa"/>
          <w:start w:w="108" w:type="dxa"/>
          <w:bottom w:w="0" w:type="dxa"/>
          <w:end w:w="108" w:type="dxa"/>
        </w:tblCellMar>
        <w:tblLook w:val="00a0" w:firstRow="1" w:noVBand="0" w:lastRow="0" w:firstColumn="1" w:lastColumn="0" w:noHBand="0"/>
      </w:tblPr>
      <w:tblGrid>
        <w:gridCol w:w="3897"/>
        <w:gridCol w:w="6024"/>
      </w:tblGrid>
      <w:tr>
        <w:trPr>
          <w:trHeight w:val="359" w:hRule="atLeast"/>
        </w:trPr>
        <w:tc>
          <w:tcPr>
            <w:tcW w:w="3897" w:type="dxa"/>
            <w:tcBorders/>
          </w:tcPr>
          <w:p>
            <w:pPr>
              <w:pStyle w:val="Normalunindented"/>
              <w:keepNext w:val="true"/>
              <w:spacing w:lineRule="auto" w:line="240" w:before="120" w:after="120"/>
              <w:jc w:val="start"/>
              <w:rPr/>
            </w:pPr>
            <w:r>
              <w:rPr/>
              <w:t xml:space="preserve">г. </w:t>
            </w:r>
            <w:r>
              <w:rPr>
                <w:lang w:val="en-US"/>
              </w:rPr>
              <w:t>Владимир</w:t>
            </w:r>
          </w:p>
        </w:tc>
        <w:tc>
          <w:tcPr>
            <w:tcW w:w="6024" w:type="dxa"/>
            <w:tcBorders/>
          </w:tcPr>
          <w:p>
            <w:pPr>
              <w:pStyle w:val="Normalunindented"/>
              <w:keepNext w:val="true"/>
              <w:spacing w:lineRule="auto" w:line="240" w:before="120" w:after="120"/>
              <w:jc w:val="end"/>
              <w:rPr/>
            </w:pPr>
            <w:r>
              <w:rPr/>
              <w:t>"___" ___________ ____ г.</w:t>
            </w:r>
          </w:p>
        </w:tc>
      </w:tr>
    </w:tbl>
    <w:p>
      <w:pPr>
        <w:pStyle w:val="Normal"/>
        <w:tabs>
          <w:tab w:val="clear" w:pos="709"/>
          <w:tab w:val="left" w:pos="0" w:leader="none"/>
        </w:tabs>
        <w:spacing w:lineRule="auto" w:line="240" w:before="0" w:after="0"/>
        <w:ind w:firstLine="567"/>
        <w:rPr>
          <w:sz w:val="24"/>
          <w:szCs w:val="24"/>
        </w:rPr>
      </w:pPr>
      <w:r>
        <w:rPr>
          <w:sz w:val="24"/>
          <w:szCs w:val="24"/>
        </w:rPr>
        <w:t xml:space="preserve">Государственное бюджетное учреждение дополнительного образования Владимирской области «Комплексная спортивная школа»  (ГБУ ДО ВО «КСШ»), именуемое в дальнейшем «заказчик», в лице директора Горбуновой Елены Владимировны, действующего на основании Устава, с одной стороны, и __________, именуемое в дальнейшем «поставщик», в лице __________, действующего на основании __________, с другой стороны, именуемые совместно «стороны» и каждый по отдельности «сторона»,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контракт на основании п.4 ч.1 ст.93 Федерального закона ФЗ-44 </w:t>
      </w:r>
      <w:r>
        <w:rPr>
          <w:rFonts w:eastAsia="Calibri"/>
          <w:sz w:val="24"/>
          <w:szCs w:val="24"/>
        </w:rPr>
        <w:t xml:space="preserve"> </w:t>
      </w:r>
      <w:r>
        <w:rPr>
          <w:sz w:val="24"/>
          <w:szCs w:val="24"/>
        </w:rPr>
        <w:t>о нижеследующем:</w:t>
      </w:r>
    </w:p>
    <w:p>
      <w:pPr>
        <w:pStyle w:val="Heading1"/>
        <w:keepNext w:val="false"/>
        <w:widowControl w:val="false"/>
        <w:spacing w:lineRule="auto" w:line="240" w:before="0" w:after="0"/>
        <w:ind w:firstLine="708" w:start="0"/>
        <w:rPr>
          <w:szCs w:val="24"/>
        </w:rPr>
      </w:pPr>
      <w:r>
        <w:rPr>
          <w:szCs w:val="24"/>
        </w:rPr>
        <w:t>Предмет контракта</w:t>
      </w:r>
    </w:p>
    <w:p>
      <w:pPr>
        <w:pStyle w:val="Normal"/>
        <w:ind w:firstLine="360"/>
        <w:rPr>
          <w:sz w:val="24"/>
          <w:szCs w:val="24"/>
        </w:rPr>
      </w:pPr>
      <w:r>
        <w:rPr>
          <w:sz w:val="24"/>
          <w:szCs w:val="24"/>
        </w:rPr>
        <w:t xml:space="preserve"> </w:t>
      </w:r>
      <w:r>
        <w:rPr>
          <w:sz w:val="24"/>
          <w:szCs w:val="24"/>
        </w:rPr>
        <w:t>1.1. Поставщик обязуется поставить Заказчику оборудование (далее по тексту -товар)</w:t>
      </w:r>
      <w:r>
        <w:rPr>
          <w:sz w:val="20"/>
          <w:szCs w:val="20"/>
        </w:rPr>
        <w:t xml:space="preserve"> </w:t>
      </w:r>
      <w:r>
        <w:rPr>
          <w:sz w:val="24"/>
          <w:szCs w:val="24"/>
        </w:rPr>
        <w:t>для обеспечения нужд ГБУ ДО ВО «КСШ» (далее – Товар) надлежащего качества  по ценам и в количестве, согласно Спецификации (Приложение № 1 к настоящему контракту),</w:t>
      </w:r>
      <w:r>
        <w:rPr>
          <w:iCs/>
          <w:color w:val="000000"/>
          <w:sz w:val="24"/>
          <w:szCs w:val="24"/>
        </w:rPr>
        <w:t xml:space="preserve"> </w:t>
      </w:r>
      <w:r>
        <w:rPr>
          <w:sz w:val="24"/>
          <w:szCs w:val="24"/>
        </w:rPr>
        <w:t xml:space="preserve">по адресу: г. Владимир, п. Заклязьменский, ул. Восточная, д.2). </w:t>
      </w:r>
    </w:p>
    <w:p>
      <w:pPr>
        <w:pStyle w:val="Normal"/>
        <w:ind w:firstLine="360"/>
        <w:rPr>
          <w:sz w:val="24"/>
          <w:szCs w:val="24"/>
        </w:rPr>
      </w:pPr>
      <w:r>
        <w:rPr>
          <w:sz w:val="24"/>
          <w:szCs w:val="24"/>
        </w:rPr>
        <w:t xml:space="preserve">1.2. Оборудование предназначено для физиотерапии и реабилитации спортивных лошадей. </w:t>
      </w:r>
    </w:p>
    <w:p>
      <w:pPr>
        <w:pStyle w:val="Normal"/>
        <w:tabs>
          <w:tab w:val="clear" w:pos="709"/>
          <w:tab w:val="left" w:pos="0" w:leader="none"/>
        </w:tabs>
        <w:spacing w:lineRule="auto" w:line="240" w:before="0" w:after="0"/>
        <w:ind w:firstLine="567"/>
        <w:rPr>
          <w:rFonts w:eastAsia="Calibri"/>
          <w:sz w:val="24"/>
          <w:szCs w:val="24"/>
        </w:rPr>
      </w:pPr>
      <w:r>
        <w:rPr>
          <w:rFonts w:eastAsia="Calibri"/>
          <w:sz w:val="24"/>
          <w:szCs w:val="24"/>
        </w:rPr>
        <w:t>1.3. Наименование, количество, функциональные, технические и качественные характеристики поставляемого оборудования  установлены в Спецификации (Приложение №1 к настоящему контракту)</w:t>
      </w:r>
    </w:p>
    <w:p>
      <w:pPr>
        <w:pStyle w:val="Normal"/>
        <w:tabs>
          <w:tab w:val="clear" w:pos="709"/>
          <w:tab w:val="left" w:pos="0" w:leader="none"/>
        </w:tabs>
        <w:spacing w:lineRule="auto" w:line="240" w:before="0" w:after="0"/>
        <w:ind w:firstLine="567"/>
        <w:rPr>
          <w:sz w:val="24"/>
          <w:szCs w:val="24"/>
        </w:rPr>
      </w:pPr>
      <w:r>
        <w:rPr>
          <w:sz w:val="24"/>
          <w:szCs w:val="24"/>
        </w:rPr>
        <w:t>1</w:t>
      </w:r>
      <w:r>
        <w:rPr>
          <w:rFonts w:eastAsia="Calibri"/>
          <w:color w:val="000000"/>
          <w:sz w:val="24"/>
          <w:szCs w:val="24"/>
        </w:rPr>
        <w:t>.4. Место поставки товара</w:t>
      </w:r>
      <w:r>
        <w:rPr>
          <w:sz w:val="24"/>
          <w:szCs w:val="24"/>
        </w:rPr>
        <w:t xml:space="preserve">:  </w:t>
      </w:r>
      <w:r>
        <w:rPr/>
        <w:t>г. Владимир, посёлок Заклязьменский, ул.Восточная. д.2, ГБУ ДО ВО «КСШ».</w:t>
      </w:r>
      <w:r>
        <w:rPr>
          <w:sz w:val="24"/>
          <w:szCs w:val="24"/>
        </w:rPr>
        <w:t xml:space="preserve">  .</w:t>
      </w:r>
    </w:p>
    <w:p>
      <w:pPr>
        <w:pStyle w:val="Normal"/>
        <w:widowControl w:val="false"/>
        <w:spacing w:lineRule="auto" w:line="240" w:before="0" w:after="0"/>
        <w:ind w:firstLine="567"/>
        <w:rPr>
          <w:sz w:val="24"/>
          <w:szCs w:val="24"/>
        </w:rPr>
      </w:pPr>
      <w:r>
        <w:rPr>
          <w:rFonts w:eastAsia="Calibri"/>
          <w:color w:val="000000"/>
          <w:sz w:val="24"/>
          <w:szCs w:val="24"/>
        </w:rPr>
        <w:t xml:space="preserve">1.5. </w:t>
      </w:r>
      <w:r>
        <w:rPr>
          <w:rFonts w:eastAsia="Calibri"/>
          <w:sz w:val="24"/>
          <w:szCs w:val="24"/>
        </w:rPr>
        <w:t>Идентификационный код закупки</w:t>
      </w:r>
      <w:r>
        <w:rPr>
          <w:rFonts w:eastAsia="Calibri"/>
          <w:color w:val="000000"/>
          <w:sz w:val="24"/>
          <w:szCs w:val="24"/>
        </w:rPr>
        <w:t>:</w:t>
      </w:r>
      <w:r>
        <w:rPr>
          <w:sz w:val="24"/>
          <w:szCs w:val="24"/>
        </w:rPr>
        <w:t xml:space="preserve"> </w:t>
      </w:r>
      <w:r>
        <w:fldChar w:fldCharType="begin">
          <w:ffData>
            <w:name w:val="ИКЗ"/>
            <w:enabled/>
            <w:calcOnExit w:val="0"/>
            <w:helpText w:type="text" w:val="Количество цифровых знаков - 36"/>
            <w:statusText w:type="text" w:val="Количество цифровых знаков - 36"/>
            <w:textInput>
              <w:default w:val="Количество цифровых знаков - 36"/>
              <w:maxLength w:val="36"/>
            </w:textInput>
          </w:ffData>
        </w:fldChar>
      </w:r>
      <w:r>
        <w:rPr>
          <w:color w:val="auto"/>
          <w:sz w:val="24"/>
          <w:szCs w:val="24"/>
          <w:shd w:fill="auto" w:val="clear"/>
        </w:rPr>
        <w:instrText xml:space="preserve"> FORMTEXT </w:instrText>
      </w:r>
      <w:bookmarkStart w:id="2" w:name="ИКЗ_Копия_1"/>
      <w:r>
        <w:rPr>
          <w:color w:val="auto"/>
          <w:sz w:val="24"/>
          <w:szCs w:val="24"/>
          <w:shd w:fill="auto" w:val="clear"/>
        </w:rPr>
      </w:r>
      <w:r>
        <w:rPr>
          <w:color w:val="auto"/>
          <w:sz w:val="24"/>
          <w:szCs w:val="24"/>
          <w:shd w:fill="auto" w:val="clear"/>
        </w:rPr>
        <w:fldChar w:fldCharType="separate"/>
      </w:r>
      <w:r>
        <w:rPr>
          <w:color w:val="auto"/>
          <w:sz w:val="24"/>
          <w:szCs w:val="24"/>
          <w:shd w:fill="auto" w:val="clear"/>
        </w:rPr>
      </w:r>
      <w:r>
        <w:rPr>
          <w:rFonts w:ascii="Tahoma;Geneva;sans-serif" w:hAnsi="Tahoma;Geneva;sans-serif"/>
          <w:b w:val="false"/>
          <w:i w:val="false"/>
          <w:caps w:val="false"/>
          <w:smallCaps w:val="false"/>
          <w:color w:val="auto"/>
          <w:spacing w:val="0"/>
          <w:sz w:val="20"/>
          <w:shd w:fill="auto" w:val="clear"/>
        </w:rPr>
        <w:t>262332904999033290100100100000000244.</w:t>
      </w:r>
      <w:r>
        <w:rPr>
          <w:color w:val="auto"/>
          <w:shd w:fill="auto" w:val="clear"/>
        </w:rPr>
        <w:t xml:space="preserve"> </w:t>
      </w:r>
      <w:r/>
      <w:r>
        <w:rPr>
          <w:color w:val="auto"/>
          <w:sz w:val="24"/>
          <w:szCs w:val="24"/>
          <w:shd w:fill="auto" w:val="clear"/>
        </w:rPr>
        <w:fldChar w:fldCharType="end"/>
      </w:r>
      <w:r>
        <w:rPr>
          <w:color w:val="auto"/>
          <w:sz w:val="24"/>
          <w:szCs w:val="24"/>
          <w:shd w:fill="auto" w:val="clear"/>
        </w:rPr>
      </w:r>
      <w:bookmarkEnd w:id="2"/>
    </w:p>
    <w:p>
      <w:pPr>
        <w:pStyle w:val="Normal"/>
        <w:widowControl w:val="false"/>
        <w:spacing w:lineRule="auto" w:line="240" w:before="0" w:after="0"/>
        <w:ind w:firstLine="567"/>
        <w:rPr>
          <w:sz w:val="24"/>
          <w:szCs w:val="24"/>
        </w:rPr>
      </w:pPr>
      <w:bookmarkStart w:id="3" w:name="_ref_21267930"/>
      <w:r>
        <w:rPr>
          <w:color w:val="FF0000"/>
          <w:sz w:val="24"/>
          <w:szCs w:val="24"/>
          <w:lang w:eastAsia="ar-SA"/>
        </w:rPr>
        <w:t xml:space="preserve"> </w:t>
      </w:r>
      <w:bookmarkEnd w:id="3"/>
    </w:p>
    <w:p>
      <w:pPr>
        <w:pStyle w:val="Heading1"/>
        <w:keepNext w:val="false"/>
        <w:widowControl w:val="false"/>
        <w:spacing w:lineRule="auto" w:line="240" w:before="0" w:after="0"/>
        <w:ind w:firstLine="708" w:start="0"/>
        <w:rPr>
          <w:rFonts w:eastAsia="Calibri"/>
          <w:szCs w:val="24"/>
        </w:rPr>
      </w:pPr>
      <w:r>
        <w:rPr>
          <w:szCs w:val="24"/>
        </w:rPr>
        <w:t>Цена контракта, порядок и срок оплаты</w:t>
      </w:r>
    </w:p>
    <w:p>
      <w:pPr>
        <w:pStyle w:val="Heading1"/>
        <w:keepNext w:val="false"/>
        <w:widowControl w:val="false"/>
        <w:numPr>
          <w:ilvl w:val="0"/>
          <w:numId w:val="0"/>
        </w:numPr>
        <w:tabs>
          <w:tab w:val="left" w:pos="567" w:leader="none"/>
        </w:tabs>
        <w:spacing w:lineRule="auto" w:line="240" w:before="0" w:after="0"/>
        <w:ind w:firstLine="567" w:start="0"/>
        <w:jc w:val="both"/>
        <w:rPr>
          <w:rFonts w:eastAsia="Calibri"/>
          <w:b w:val="false"/>
          <w:bCs w:val="false"/>
          <w:color w:val="000000"/>
          <w:szCs w:val="24"/>
        </w:rPr>
      </w:pPr>
      <w:r>
        <w:rPr>
          <w:rFonts w:eastAsia="Calibri"/>
          <w:b w:val="false"/>
          <w:bCs w:val="false"/>
          <w:color w:val="000000"/>
          <w:szCs w:val="24"/>
        </w:rPr>
        <w:t xml:space="preserve">2.1. Цена контракта </w:t>
      </w:r>
      <w:r>
        <w:rPr>
          <w:szCs w:val="24"/>
          <w:lang w:eastAsia="ar-SA"/>
        </w:rPr>
        <w:t xml:space="preserve">является твердой, определена на весь срок исполнения контракта, составляет: ______ рублей _____ копеек, в том числе налог на добавленную стоимость (далее – НДС) по налоговой ставке ______ (_______) процентов, или НДС не облагается </w:t>
      </w:r>
      <w:r>
        <w:rPr>
          <w:i/>
          <w:szCs w:val="24"/>
          <w:lang w:eastAsia="ar-SA"/>
        </w:rPr>
        <w:t>на основании ___________ Налогового кодекса Российской Федерации</w:t>
      </w:r>
      <w:r>
        <w:rPr>
          <w:szCs w:val="24"/>
          <w:lang w:eastAsia="ar-SA"/>
        </w:rPr>
        <w:t>.</w:t>
      </w:r>
    </w:p>
    <w:p>
      <w:pPr>
        <w:pStyle w:val="Normal"/>
        <w:tabs>
          <w:tab w:val="clear" w:pos="709"/>
          <w:tab w:val="left" w:pos="0" w:leader="none"/>
        </w:tabs>
        <w:spacing w:lineRule="auto" w:line="240" w:before="0" w:after="0"/>
        <w:ind w:firstLine="567"/>
        <w:rPr>
          <w:sz w:val="24"/>
          <w:szCs w:val="24"/>
          <w:lang w:eastAsia="ar-SA"/>
        </w:rPr>
      </w:pPr>
      <w:r>
        <w:rPr>
          <w:sz w:val="24"/>
          <w:szCs w:val="24"/>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pPr>
        <w:pStyle w:val="Normal"/>
        <w:tabs>
          <w:tab w:val="clear" w:pos="709"/>
          <w:tab w:val="left" w:pos="0" w:leader="none"/>
          <w:tab w:val="left" w:pos="567" w:leader="none"/>
        </w:tabs>
        <w:spacing w:lineRule="auto" w:line="240" w:before="0" w:after="0"/>
        <w:ind w:firstLine="567"/>
        <w:rPr>
          <w:rFonts w:eastAsia="Calibri"/>
          <w:color w:val="000000"/>
          <w:sz w:val="24"/>
          <w:szCs w:val="24"/>
        </w:rPr>
      </w:pPr>
      <w:r>
        <w:rPr>
          <w:rFonts w:eastAsia="Calibri"/>
          <w:color w:val="000000"/>
          <w:sz w:val="24"/>
          <w:szCs w:val="24"/>
        </w:rPr>
        <w:t xml:space="preserve">2.2. </w:t>
      </w:r>
      <w:r>
        <w:rPr>
          <w:sz w:val="24"/>
          <w:szCs w:val="24"/>
          <w:lang w:eastAsia="ar-SA"/>
        </w:rPr>
        <w:t xml:space="preserve"> Цена контракта является твердой, определена на весь срок исполнения контракта. </w:t>
      </w:r>
    </w:p>
    <w:p>
      <w:pPr>
        <w:pStyle w:val="Normal"/>
        <w:tabs>
          <w:tab w:val="clear" w:pos="709"/>
          <w:tab w:val="left" w:pos="0" w:leader="none"/>
          <w:tab w:val="left" w:pos="567" w:leader="none"/>
        </w:tabs>
        <w:spacing w:lineRule="auto" w:line="240" w:before="0" w:after="0"/>
        <w:ind w:firstLine="567"/>
        <w:rPr>
          <w:rFonts w:eastAsia="Calibri"/>
          <w:sz w:val="24"/>
          <w:szCs w:val="24"/>
        </w:rPr>
      </w:pPr>
      <w:r>
        <w:rPr>
          <w:rFonts w:eastAsia="Calibri"/>
          <w:color w:val="000000"/>
          <w:sz w:val="24"/>
          <w:szCs w:val="24"/>
        </w:rPr>
        <w:t>2.3. Источник финансирования: В</w:t>
      </w:r>
      <w:r>
        <w:rPr>
          <w:rFonts w:eastAsia="Calibri"/>
          <w:sz w:val="24"/>
          <w:szCs w:val="24"/>
        </w:rPr>
        <w:t>небюджетные средства.</w:t>
      </w:r>
    </w:p>
    <w:p>
      <w:pPr>
        <w:pStyle w:val="Normal"/>
        <w:tabs>
          <w:tab w:val="clear" w:pos="709"/>
          <w:tab w:val="left" w:pos="0" w:leader="none"/>
          <w:tab w:val="left" w:pos="567" w:leader="none"/>
        </w:tabs>
        <w:spacing w:lineRule="auto" w:line="240" w:before="0" w:after="0"/>
        <w:ind w:hanging="0"/>
        <w:rPr>
          <w:rFonts w:eastAsia="Calibri"/>
          <w:color w:val="FF0000"/>
          <w:sz w:val="24"/>
          <w:szCs w:val="24"/>
        </w:rPr>
      </w:pPr>
      <w:r>
        <w:rPr>
          <w:rFonts w:eastAsia="Calibri"/>
          <w:color w:val="000000"/>
          <w:sz w:val="24"/>
          <w:szCs w:val="24"/>
        </w:rPr>
        <w:t xml:space="preserve">         </w:t>
      </w:r>
      <w:r>
        <w:rPr>
          <w:rFonts w:eastAsia="Calibri"/>
          <w:color w:val="000000"/>
          <w:sz w:val="24"/>
          <w:szCs w:val="24"/>
        </w:rPr>
        <w:t xml:space="preserve">2.4. </w:t>
      </w:r>
      <w:r>
        <w:rPr>
          <w:rFonts w:eastAsia="Calibri"/>
          <w:sz w:val="24"/>
          <w:szCs w:val="24"/>
        </w:rPr>
        <w:t xml:space="preserve">Валюта цены контракта и расчетов с поставщиком - Российский рубль. </w:t>
      </w:r>
    </w:p>
    <w:p>
      <w:pPr>
        <w:pStyle w:val="Heading1"/>
        <w:keepNext w:val="false"/>
        <w:widowControl w:val="false"/>
        <w:numPr>
          <w:ilvl w:val="0"/>
          <w:numId w:val="0"/>
        </w:numPr>
        <w:tabs>
          <w:tab w:val="left" w:pos="567" w:leader="none"/>
        </w:tabs>
        <w:spacing w:lineRule="auto" w:line="240" w:before="0" w:after="0"/>
        <w:ind w:firstLine="567" w:start="0"/>
        <w:jc w:val="both"/>
        <w:rPr>
          <w:rFonts w:eastAsia="Calibri"/>
          <w:b w:val="false"/>
          <w:color w:val="FF0000"/>
          <w:szCs w:val="24"/>
        </w:rPr>
      </w:pPr>
      <w:r>
        <w:rPr>
          <w:b w:val="false"/>
          <w:szCs w:val="24"/>
        </w:rPr>
        <w:t xml:space="preserve">2.5. Срок оплаты обязательств по контракту. </w:t>
      </w:r>
    </w:p>
    <w:p>
      <w:pPr>
        <w:pStyle w:val="Normal"/>
        <w:widowControl w:val="false"/>
        <w:tabs>
          <w:tab w:val="clear" w:pos="709"/>
          <w:tab w:val="left" w:pos="0" w:leader="none"/>
        </w:tabs>
        <w:spacing w:lineRule="auto" w:line="240" w:before="0" w:after="0"/>
        <w:ind w:firstLine="567"/>
        <w:rPr>
          <w:rFonts w:eastAsia="Calibri"/>
          <w:i/>
          <w:sz w:val="24"/>
          <w:szCs w:val="24"/>
        </w:rPr>
      </w:pPr>
      <w:r>
        <w:rPr>
          <w:rFonts w:eastAsia="Calibri"/>
          <w:sz w:val="24"/>
          <w:szCs w:val="24"/>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7 рабочих дней с даты подписания заказчиком документа о приемке.</w:t>
      </w:r>
    </w:p>
    <w:p>
      <w:pPr>
        <w:pStyle w:val="Heading1"/>
        <w:keepNext w:val="false"/>
        <w:widowControl w:val="false"/>
        <w:numPr>
          <w:ilvl w:val="0"/>
          <w:numId w:val="0"/>
        </w:numPr>
        <w:tabs>
          <w:tab w:val="left" w:pos="567" w:leader="none"/>
        </w:tabs>
        <w:spacing w:lineRule="auto" w:line="240"/>
        <w:ind w:firstLine="567" w:start="0"/>
        <w:jc w:val="both"/>
        <w:rPr>
          <w:b w:val="false"/>
          <w:szCs w:val="24"/>
        </w:rPr>
      </w:pPr>
      <w:r>
        <w:rPr>
          <w:b w:val="false"/>
          <w:szCs w:val="24"/>
        </w:rPr>
        <w:t>2.5.</w:t>
      </w:r>
      <w:r>
        <w:rPr>
          <w:b w:val="false"/>
          <w:color w:val="7030A0"/>
          <w:szCs w:val="24"/>
        </w:rPr>
        <w:t>1</w:t>
      </w:r>
      <w:r>
        <w:rPr>
          <w:b w:val="false"/>
          <w:szCs w:val="24"/>
        </w:rPr>
        <w:t xml:space="preserve">. Авансирование </w:t>
      </w:r>
      <w:r>
        <w:rPr>
          <w:szCs w:val="24"/>
        </w:rPr>
        <w:t>не предусмотрено.</w:t>
      </w:r>
    </w:p>
    <w:p>
      <w:pPr>
        <w:pStyle w:val="Heading1"/>
        <w:keepNext w:val="false"/>
        <w:widowControl w:val="false"/>
        <w:numPr>
          <w:ilvl w:val="0"/>
          <w:numId w:val="0"/>
        </w:numPr>
        <w:tabs>
          <w:tab w:val="left" w:pos="567" w:leader="none"/>
        </w:tabs>
        <w:spacing w:lineRule="auto" w:line="240" w:before="0" w:after="0"/>
        <w:ind w:firstLine="567" w:start="0"/>
        <w:jc w:val="both"/>
        <w:rPr>
          <w:b w:val="false"/>
          <w:color w:val="FF0000"/>
          <w:szCs w:val="24"/>
        </w:rPr>
      </w:pPr>
      <w:r>
        <w:rPr>
          <w:b w:val="false"/>
          <w:szCs w:val="24"/>
        </w:rPr>
        <w:t xml:space="preserve">2.6. Порядок оплаты обязательств по контракту. </w:t>
      </w:r>
    </w:p>
    <w:p>
      <w:pPr>
        <w:pStyle w:val="Normal"/>
        <w:tabs>
          <w:tab w:val="left" w:pos="0" w:leader="none"/>
          <w:tab w:val="left" w:pos="709" w:leader="none"/>
        </w:tabs>
        <w:spacing w:lineRule="auto" w:line="240" w:before="0" w:after="0"/>
        <w:ind w:firstLine="567"/>
        <w:rPr>
          <w:rFonts w:eastAsia="Calibri"/>
          <w:sz w:val="24"/>
          <w:szCs w:val="24"/>
        </w:rPr>
      </w:pPr>
      <w:r>
        <w:rPr>
          <w:rFonts w:eastAsia="Calibri"/>
          <w:color w:val="000000"/>
          <w:sz w:val="24"/>
          <w:szCs w:val="24"/>
        </w:rPr>
        <w:t xml:space="preserve">2.6.1. </w:t>
      </w:r>
      <w:r>
        <w:rPr>
          <w:rFonts w:eastAsia="Calibri"/>
          <w:sz w:val="24"/>
          <w:szCs w:val="24"/>
        </w:rPr>
        <w:t xml:space="preserve">Оплата производится путём перечисления денежных средств заказчиком на расчётный счёт поставщика, указанный в настоящем контракте. </w:t>
      </w:r>
    </w:p>
    <w:p>
      <w:pPr>
        <w:pStyle w:val="Normal"/>
        <w:widowControl w:val="false"/>
        <w:spacing w:lineRule="auto" w:line="240" w:before="0" w:after="0"/>
        <w:ind w:firstLine="567"/>
        <w:rPr>
          <w:rFonts w:eastAsia="Calibri"/>
          <w:sz w:val="24"/>
          <w:szCs w:val="24"/>
        </w:rPr>
      </w:pPr>
      <w:r>
        <w:rPr>
          <w:rFonts w:eastAsia="Calibri"/>
          <w:sz w:val="24"/>
          <w:szCs w:val="24"/>
        </w:rPr>
        <w:t>2.6.2. В случае неисполнения поставщиком требования заказчика об уплате неустоек (штрафов, пеней), предъявляемого в соответствии с Законом, заказчик вправе осуществить удержание из суммы, подлежащей оплате поставщику.</w:t>
      </w:r>
    </w:p>
    <w:p>
      <w:pPr>
        <w:pStyle w:val="Normal"/>
        <w:tabs>
          <w:tab w:val="left" w:pos="0" w:leader="none"/>
          <w:tab w:val="left" w:pos="709" w:leader="none"/>
        </w:tabs>
        <w:spacing w:lineRule="auto" w:line="240" w:before="0" w:after="0"/>
        <w:ind w:firstLine="567"/>
        <w:rPr>
          <w:rFonts w:eastAsia="Calibri"/>
          <w:color w:val="FF0000"/>
          <w:sz w:val="24"/>
          <w:szCs w:val="24"/>
        </w:rPr>
      </w:pPr>
      <w:r>
        <w:rPr>
          <w:rFonts w:eastAsia="Calibri"/>
          <w:sz w:val="24"/>
          <w:szCs w:val="24"/>
        </w:rPr>
        <w:t>2.6.3.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eastAsia="Calibri"/>
          <w:color w:val="FF0000"/>
          <w:sz w:val="24"/>
          <w:szCs w:val="24"/>
        </w:rPr>
        <w:t xml:space="preserve"> </w:t>
      </w:r>
    </w:p>
    <w:p>
      <w:pPr>
        <w:pStyle w:val="Normal"/>
        <w:tabs>
          <w:tab w:val="left" w:pos="0" w:leader="none"/>
          <w:tab w:val="left" w:pos="709" w:leader="none"/>
        </w:tabs>
        <w:spacing w:lineRule="auto" w:line="240" w:before="0" w:after="0"/>
        <w:ind w:firstLine="567"/>
        <w:rPr>
          <w:rFonts w:eastAsia="Calibri"/>
          <w:sz w:val="24"/>
          <w:szCs w:val="24"/>
        </w:rPr>
      </w:pPr>
      <w:r>
        <w:rPr>
          <w:rFonts w:eastAsia="Calibri"/>
          <w:sz w:val="24"/>
          <w:szCs w:val="24"/>
        </w:rPr>
        <w:t>2.6.4. Оплата поставленного товара осуществляется по цене единицы товара исходя из количества поставленного товара, но в размере, не превышающем максимального значения цены контракта.</w:t>
      </w:r>
    </w:p>
    <w:p>
      <w:pPr>
        <w:pStyle w:val="Heading1"/>
        <w:keepNext w:val="false"/>
        <w:widowControl w:val="false"/>
        <w:numPr>
          <w:ilvl w:val="0"/>
          <w:numId w:val="0"/>
        </w:numPr>
        <w:tabs>
          <w:tab w:val="left" w:pos="567" w:leader="none"/>
        </w:tabs>
        <w:spacing w:lineRule="auto" w:line="240" w:before="0" w:after="120"/>
        <w:ind w:firstLine="567" w:start="0"/>
        <w:jc w:val="both"/>
        <w:rPr>
          <w:b w:val="false"/>
          <w:szCs w:val="24"/>
        </w:rPr>
      </w:pPr>
      <w:r>
        <w:rPr>
          <w:b w:val="false"/>
          <w:szCs w:val="24"/>
        </w:rPr>
        <w:t xml:space="preserve">2.7. Казначейское сопровождение контракта </w:t>
      </w:r>
      <w:r>
        <w:rPr>
          <w:szCs w:val="24"/>
        </w:rPr>
        <w:t>не предусмотрено.</w:t>
      </w:r>
    </w:p>
    <w:p>
      <w:pPr>
        <w:pStyle w:val="Heading1"/>
        <w:keepNext w:val="false"/>
        <w:widowControl w:val="false"/>
        <w:numPr>
          <w:ilvl w:val="0"/>
          <w:numId w:val="0"/>
        </w:numPr>
        <w:tabs>
          <w:tab w:val="left" w:pos="567" w:leader="none"/>
        </w:tabs>
        <w:spacing w:lineRule="auto" w:line="240" w:before="0" w:after="120"/>
        <w:ind w:firstLine="567" w:start="0"/>
        <w:jc w:val="both"/>
        <w:rPr>
          <w:b w:val="false"/>
          <w:szCs w:val="24"/>
        </w:rPr>
      </w:pPr>
      <w:r>
        <w:rPr>
          <w:b w:val="false"/>
          <w:szCs w:val="24"/>
        </w:rPr>
        <w:t xml:space="preserve">2.8. Банковское сопровождение контракта </w:t>
      </w:r>
      <w:r>
        <w:rPr>
          <w:szCs w:val="24"/>
        </w:rPr>
        <w:t>не предусмотрено.</w:t>
      </w:r>
    </w:p>
    <w:p>
      <w:pPr>
        <w:pStyle w:val="Heading1"/>
        <w:keepNext w:val="false"/>
        <w:widowControl w:val="false"/>
        <w:spacing w:lineRule="auto" w:line="240" w:before="0" w:after="0"/>
        <w:ind w:firstLine="708" w:start="0"/>
        <w:rPr>
          <w:szCs w:val="24"/>
        </w:rPr>
      </w:pPr>
      <w:r>
        <w:rPr>
          <w:szCs w:val="24"/>
        </w:rPr>
        <w:t>Срок и порядок поставки товара, срок исполнения контракта</w:t>
      </w:r>
    </w:p>
    <w:p>
      <w:pPr>
        <w:pStyle w:val="Normal"/>
        <w:tabs>
          <w:tab w:val="left" w:pos="284" w:leader="none"/>
          <w:tab w:val="left" w:pos="709" w:leader="none"/>
        </w:tabs>
        <w:spacing w:lineRule="auto" w:line="240" w:before="0" w:after="0"/>
        <w:ind w:firstLine="567"/>
        <w:rPr>
          <w:sz w:val="24"/>
          <w:szCs w:val="24"/>
        </w:rPr>
      </w:pPr>
      <w:r>
        <w:rPr>
          <w:sz w:val="24"/>
          <w:szCs w:val="24"/>
        </w:rPr>
        <w:t xml:space="preserve">3.1. Поставка товара осуществляется в течение </w:t>
      </w:r>
      <w:r>
        <w:rPr>
          <w:sz w:val="24"/>
          <w:szCs w:val="24"/>
        </w:rPr>
        <w:t>4</w:t>
      </w:r>
      <w:r>
        <w:rPr>
          <w:sz w:val="24"/>
          <w:szCs w:val="24"/>
        </w:rPr>
        <w:t xml:space="preserve"> календарных дней с даты заключения контракта.</w:t>
      </w:r>
    </w:p>
    <w:p>
      <w:pPr>
        <w:pStyle w:val="Normal"/>
        <w:tabs>
          <w:tab w:val="left" w:pos="284" w:leader="none"/>
          <w:tab w:val="left" w:pos="709" w:leader="none"/>
          <w:tab w:val="left" w:pos="6195" w:leader="none"/>
          <w:tab w:val="left" w:pos="9781" w:leader="none"/>
        </w:tabs>
        <w:spacing w:lineRule="auto" w:line="240" w:before="0" w:after="0"/>
        <w:ind w:firstLine="567"/>
        <w:rPr>
          <w:sz w:val="24"/>
          <w:szCs w:val="24"/>
        </w:rPr>
      </w:pPr>
      <w:r>
        <w:rPr>
          <w:sz w:val="24"/>
          <w:szCs w:val="24"/>
        </w:rPr>
        <w:t>3.2. Порядок поставки товара.</w:t>
      </w:r>
    </w:p>
    <w:p>
      <w:pPr>
        <w:pStyle w:val="Normal"/>
        <w:tabs>
          <w:tab w:val="left" w:pos="284" w:leader="none"/>
          <w:tab w:val="left" w:pos="709" w:leader="none"/>
          <w:tab w:val="left" w:pos="6195" w:leader="none"/>
          <w:tab w:val="left" w:pos="9781" w:leader="none"/>
        </w:tabs>
        <w:spacing w:lineRule="auto" w:line="240" w:before="0" w:after="0"/>
        <w:ind w:firstLine="567"/>
        <w:rPr>
          <w:sz w:val="24"/>
          <w:szCs w:val="24"/>
        </w:rPr>
      </w:pPr>
      <w:r>
        <w:rPr>
          <w:sz w:val="24"/>
          <w:szCs w:val="24"/>
        </w:rPr>
        <w:t>3.2.1. Поставка товара осуществляется по месту регистрации Заказчика в рабочие дни с 9.00 до 16.00 часов (понедельник-пятница).</w:t>
      </w:r>
    </w:p>
    <w:p>
      <w:pPr>
        <w:pStyle w:val="Normal"/>
        <w:spacing w:lineRule="auto" w:line="240" w:before="0" w:after="120"/>
        <w:rPr>
          <w:sz w:val="24"/>
          <w:szCs w:val="24"/>
        </w:rPr>
      </w:pPr>
      <w:r>
        <w:rPr>
          <w:rFonts w:eastAsia="Calibri"/>
          <w:sz w:val="24"/>
          <w:szCs w:val="24"/>
        </w:rPr>
        <w:t xml:space="preserve">3.2.2. </w:t>
      </w:r>
      <w:r>
        <w:rPr>
          <w:sz w:val="24"/>
          <w:szCs w:val="24"/>
        </w:rPr>
        <w:t xml:space="preserve">Поставщик не менее чем </w:t>
      </w:r>
      <w:r>
        <w:rPr>
          <w:sz w:val="24"/>
          <w:szCs w:val="24"/>
          <w:u w:val="single"/>
        </w:rPr>
        <w:t>за 1 рабочий день</w:t>
      </w:r>
      <w:r>
        <w:rPr>
          <w:sz w:val="24"/>
          <w:szCs w:val="24"/>
        </w:rPr>
        <w:t xml:space="preserve"> до осуществления поставки Товара направляет в адрес Заказчика уведомление о времени и дате поставки Товара в место поставки.</w:t>
      </w:r>
    </w:p>
    <w:p>
      <w:pPr>
        <w:pStyle w:val="Normal"/>
        <w:spacing w:lineRule="auto" w:line="240" w:before="0" w:after="0"/>
        <w:rPr>
          <w:bCs/>
          <w:sz w:val="24"/>
          <w:szCs w:val="24"/>
        </w:rPr>
      </w:pPr>
      <w:r>
        <w:rPr>
          <w:sz w:val="24"/>
          <w:szCs w:val="24"/>
        </w:rPr>
        <w:t xml:space="preserve">3.2.3. </w:t>
      </w:r>
      <w:r>
        <w:rPr>
          <w:bCs/>
          <w:sz w:val="24"/>
          <w:szCs w:val="24"/>
        </w:rPr>
        <w:t>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Контракта либо поручить замену Товара другому лицу за счет Поставщика, а также потребовать возмещения убытков.</w:t>
      </w:r>
    </w:p>
    <w:p>
      <w:pPr>
        <w:pStyle w:val="Normal"/>
        <w:spacing w:lineRule="auto" w:line="240" w:before="0" w:after="0"/>
        <w:rPr>
          <w:bCs/>
          <w:sz w:val="24"/>
          <w:szCs w:val="24"/>
        </w:rPr>
      </w:pPr>
      <w:r>
        <w:rPr>
          <w:bCs/>
          <w:sz w:val="24"/>
          <w:szCs w:val="24"/>
        </w:rPr>
        <w:t>3.2.4. Если Поставщик не поставляет Товар своевременно по исполнению Контракта или поставляет не в полном объеме, так что поставка к сроку становится явно невозможной, Заказчик вправе отказаться от исполнения Контракта и потребовать возмещения убытков.</w:t>
      </w:r>
    </w:p>
    <w:p>
      <w:pPr>
        <w:pStyle w:val="Normal"/>
        <w:suppressAutoHyphens w:val="false"/>
        <w:spacing w:lineRule="auto" w:line="240" w:before="0" w:after="0"/>
        <w:ind w:hanging="0"/>
        <w:rPr>
          <w:rFonts w:eastAsia="Calibri"/>
          <w:sz w:val="24"/>
          <w:szCs w:val="24"/>
        </w:rPr>
      </w:pPr>
      <w:r>
        <w:rPr>
          <w:rFonts w:eastAsia="Calibri"/>
          <w:sz w:val="24"/>
          <w:szCs w:val="24"/>
        </w:rPr>
      </w:r>
    </w:p>
    <w:p>
      <w:pPr>
        <w:pStyle w:val="Heading1"/>
        <w:keepNext w:val="false"/>
        <w:widowControl w:val="false"/>
        <w:spacing w:lineRule="auto" w:line="240" w:before="240" w:after="0"/>
        <w:ind w:firstLine="708" w:start="0"/>
        <w:rPr>
          <w:szCs w:val="24"/>
        </w:rPr>
      </w:pPr>
      <w:r>
        <w:rPr>
          <w:szCs w:val="24"/>
        </w:rPr>
        <w:t>Права и обязанности сторон</w:t>
      </w:r>
    </w:p>
    <w:p>
      <w:pPr>
        <w:pStyle w:val="Heading1"/>
        <w:keepNext w:val="false"/>
        <w:widowControl w:val="false"/>
        <w:numPr>
          <w:ilvl w:val="0"/>
          <w:numId w:val="0"/>
        </w:numPr>
        <w:spacing w:lineRule="auto" w:line="240" w:before="0" w:after="0"/>
        <w:ind w:firstLine="567" w:start="0"/>
        <w:jc w:val="both"/>
        <w:rPr>
          <w:szCs w:val="24"/>
        </w:rPr>
      </w:pPr>
      <w:r>
        <w:rPr>
          <w:szCs w:val="24"/>
        </w:rPr>
        <w:t>4.1. Поставщик обязан:</w:t>
      </w:r>
    </w:p>
    <w:p>
      <w:pPr>
        <w:pStyle w:val="Normal"/>
        <w:spacing w:lineRule="auto" w:line="240" w:before="0" w:after="0"/>
        <w:ind w:firstLine="567"/>
        <w:rPr>
          <w:i/>
          <w:sz w:val="24"/>
          <w:szCs w:val="24"/>
        </w:rPr>
      </w:pPr>
      <w:r>
        <w:rPr>
          <w:sz w:val="24"/>
          <w:szCs w:val="24"/>
        </w:rPr>
        <w:t>4.1.1. Поставить товар в соответствии с условиями контракта</w:t>
      </w:r>
      <w:r>
        <w:rPr>
          <w:i/>
          <w:sz w:val="24"/>
          <w:szCs w:val="24"/>
        </w:rPr>
        <w:t>.</w:t>
      </w:r>
    </w:p>
    <w:p>
      <w:pPr>
        <w:pStyle w:val="Normal"/>
        <w:widowControl w:val="false"/>
        <w:spacing w:lineRule="auto" w:line="240" w:before="0" w:after="0"/>
        <w:ind w:firstLine="567"/>
        <w:rPr>
          <w:bCs/>
          <w:color w:val="FF0000"/>
          <w:sz w:val="24"/>
          <w:szCs w:val="24"/>
        </w:rPr>
      </w:pPr>
      <w:r>
        <w:rPr>
          <w:bCs/>
          <w:sz w:val="24"/>
          <w:szCs w:val="24"/>
        </w:rPr>
        <w:t>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в течение 5 рабочих дней с момента обращения обязан предоставить заказчику результаты поставки товара, предусмотренные контрактом.</w:t>
      </w:r>
    </w:p>
    <w:p>
      <w:pPr>
        <w:pStyle w:val="Normal"/>
        <w:widowControl w:val="false"/>
        <w:spacing w:lineRule="auto" w:line="240" w:before="0" w:after="0"/>
        <w:ind w:firstLine="567"/>
        <w:rPr>
          <w:sz w:val="24"/>
          <w:szCs w:val="24"/>
          <w:lang w:eastAsia="ar-SA"/>
        </w:rPr>
      </w:pPr>
      <w:r>
        <w:rPr>
          <w:sz w:val="24"/>
          <w:szCs w:val="24"/>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указанной в разделе 11 настоящего контракта, причину возникновения таких обстоятельств и сроки их устранения. </w:t>
      </w:r>
    </w:p>
    <w:p>
      <w:pPr>
        <w:pStyle w:val="ConsPlusNormal1"/>
        <w:ind w:firstLine="540"/>
        <w:jc w:val="both"/>
        <w:rPr>
          <w:sz w:val="24"/>
          <w:szCs w:val="24"/>
        </w:rPr>
      </w:pPr>
      <w:r>
        <w:rPr>
          <w:sz w:val="24"/>
          <w:szCs w:val="24"/>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10 (десяти) календарных дней с момента уведомления Заказчиком Поставщика».</w:t>
      </w:r>
    </w:p>
    <w:p>
      <w:pPr>
        <w:pStyle w:val="Heading1"/>
        <w:keepNext w:val="false"/>
        <w:widowControl w:val="false"/>
        <w:numPr>
          <w:ilvl w:val="0"/>
          <w:numId w:val="0"/>
        </w:numPr>
        <w:spacing w:lineRule="auto" w:line="240" w:before="0" w:after="120"/>
        <w:ind w:firstLine="567" w:start="0"/>
        <w:jc w:val="both"/>
        <w:rPr>
          <w:szCs w:val="24"/>
        </w:rPr>
      </w:pPr>
      <w:r>
        <w:rPr>
          <w:szCs w:val="24"/>
        </w:rPr>
        <w:t>4.2. Поставщик вправе:</w:t>
      </w:r>
    </w:p>
    <w:p>
      <w:pPr>
        <w:pStyle w:val="Normal"/>
        <w:widowControl w:val="false"/>
        <w:tabs>
          <w:tab w:val="left" w:pos="284" w:leader="none"/>
          <w:tab w:val="left" w:pos="709" w:leader="none"/>
          <w:tab w:val="left" w:pos="1560" w:leader="none"/>
        </w:tabs>
        <w:spacing w:lineRule="auto" w:line="240" w:before="0" w:after="0"/>
        <w:ind w:firstLine="567"/>
        <w:rPr>
          <w:sz w:val="24"/>
          <w:szCs w:val="24"/>
        </w:rPr>
      </w:pPr>
      <w:r>
        <w:rPr>
          <w:sz w:val="24"/>
          <w:szCs w:val="24"/>
        </w:rPr>
        <w:t>4.2.1. Требовать от заказчика надлежащего исполнения обязательств в соответствии с условиями контракта.</w:t>
      </w:r>
    </w:p>
    <w:p>
      <w:pPr>
        <w:pStyle w:val="Normal"/>
        <w:widowControl w:val="false"/>
        <w:tabs>
          <w:tab w:val="left" w:pos="284" w:leader="none"/>
          <w:tab w:val="left" w:pos="709" w:leader="none"/>
          <w:tab w:val="left" w:pos="1560" w:leader="none"/>
        </w:tabs>
        <w:spacing w:lineRule="auto" w:line="240" w:before="0" w:after="0"/>
        <w:ind w:firstLine="567"/>
        <w:rPr>
          <w:bCs/>
          <w:sz w:val="24"/>
          <w:szCs w:val="24"/>
        </w:rPr>
      </w:pPr>
      <w:r>
        <w:rPr>
          <w:bCs/>
          <w:sz w:val="24"/>
          <w:szCs w:val="24"/>
        </w:rPr>
        <w:t>4.2.2. Запрашивать у заказчика информацию, необходимую для надлежащего исполнения обязательств.</w:t>
      </w:r>
    </w:p>
    <w:p>
      <w:pPr>
        <w:pStyle w:val="Normal"/>
        <w:widowControl w:val="false"/>
        <w:tabs>
          <w:tab w:val="left" w:pos="284" w:leader="none"/>
          <w:tab w:val="left" w:pos="709" w:leader="none"/>
          <w:tab w:val="left" w:pos="1560" w:leader="none"/>
        </w:tabs>
        <w:spacing w:lineRule="auto" w:line="240" w:before="0" w:after="0"/>
        <w:ind w:firstLine="567"/>
        <w:rPr>
          <w:sz w:val="24"/>
          <w:szCs w:val="24"/>
        </w:rPr>
      </w:pPr>
      <w:r>
        <w:rPr>
          <w:sz w:val="24"/>
          <w:szCs w:val="24"/>
        </w:rPr>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pPr>
        <w:pStyle w:val="Heading1"/>
        <w:keepNext w:val="false"/>
        <w:widowControl w:val="false"/>
        <w:numPr>
          <w:ilvl w:val="0"/>
          <w:numId w:val="0"/>
        </w:numPr>
        <w:spacing w:lineRule="auto" w:line="240"/>
        <w:ind w:firstLine="567" w:start="0"/>
        <w:jc w:val="both"/>
        <w:rPr>
          <w:szCs w:val="24"/>
        </w:rPr>
      </w:pPr>
      <w:r>
        <w:rPr>
          <w:szCs w:val="24"/>
        </w:rPr>
        <w:t>4.3. Заказчик обязан:</w:t>
      </w:r>
    </w:p>
    <w:p>
      <w:pPr>
        <w:pStyle w:val="Normal"/>
        <w:widowControl w:val="false"/>
        <w:tabs>
          <w:tab w:val="left" w:pos="0" w:leader="none"/>
          <w:tab w:val="left" w:pos="284" w:leader="none"/>
          <w:tab w:val="left" w:pos="709" w:leader="none"/>
        </w:tabs>
        <w:spacing w:lineRule="auto" w:line="240" w:before="0" w:after="0"/>
        <w:ind w:firstLine="567"/>
        <w:rPr>
          <w:bCs/>
          <w:color w:val="FF0000"/>
          <w:sz w:val="24"/>
          <w:szCs w:val="24"/>
        </w:rPr>
      </w:pPr>
      <w:bookmarkStart w:id="4" w:name="_Hlk33600165"/>
      <w:r>
        <w:rPr>
          <w:sz w:val="24"/>
          <w:szCs w:val="24"/>
        </w:rPr>
        <w:t xml:space="preserve">4.3.1. </w:t>
      </w:r>
      <w:bookmarkEnd w:id="4"/>
      <w:r>
        <w:rPr>
          <w:sz w:val="24"/>
          <w:szCs w:val="24"/>
        </w:rPr>
        <w:t xml:space="preserve">Обеспечить приемку поставленного товара в соответствии с со статьей 94 Закона. </w:t>
      </w:r>
    </w:p>
    <w:p>
      <w:pPr>
        <w:pStyle w:val="Normal"/>
        <w:widowControl w:val="false"/>
        <w:tabs>
          <w:tab w:val="left" w:pos="0" w:leader="none"/>
          <w:tab w:val="left" w:pos="284" w:leader="none"/>
          <w:tab w:val="left" w:pos="709" w:leader="none"/>
        </w:tabs>
        <w:spacing w:lineRule="auto" w:line="240" w:before="0" w:after="0"/>
        <w:ind w:firstLine="567"/>
        <w:rPr>
          <w:sz w:val="24"/>
          <w:szCs w:val="24"/>
        </w:rPr>
      </w:pPr>
      <w:r>
        <w:rPr>
          <w:bCs/>
          <w:sz w:val="24"/>
          <w:szCs w:val="24"/>
        </w:rPr>
        <w:t xml:space="preserve">4.3.2.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pPr>
        <w:pStyle w:val="Normal"/>
        <w:widowControl w:val="false"/>
        <w:tabs>
          <w:tab w:val="left" w:pos="0" w:leader="none"/>
          <w:tab w:val="left" w:pos="284" w:leader="none"/>
          <w:tab w:val="left" w:pos="709" w:leader="none"/>
        </w:tabs>
        <w:spacing w:lineRule="auto" w:line="240" w:before="0" w:after="0"/>
        <w:ind w:firstLine="567"/>
        <w:rPr>
          <w:sz w:val="24"/>
          <w:szCs w:val="24"/>
        </w:rPr>
      </w:pPr>
      <w:r>
        <w:rPr>
          <w:sz w:val="24"/>
          <w:szCs w:val="24"/>
        </w:rPr>
        <w:t>4.3.2. Оплачивать результаты поставки товара по контракту в соответствии с разделом 2 настоящего контракта.</w:t>
      </w:r>
    </w:p>
    <w:p>
      <w:pPr>
        <w:pStyle w:val="Normal"/>
        <w:widowControl w:val="false"/>
        <w:tabs>
          <w:tab w:val="left" w:pos="0" w:leader="none"/>
          <w:tab w:val="left" w:pos="284" w:leader="none"/>
          <w:tab w:val="left" w:pos="709" w:leader="none"/>
        </w:tabs>
        <w:spacing w:lineRule="auto" w:line="240" w:before="0" w:after="0"/>
        <w:ind w:firstLine="567"/>
        <w:rPr>
          <w:color w:val="FF0000"/>
          <w:sz w:val="24"/>
          <w:szCs w:val="24"/>
        </w:rPr>
      </w:pPr>
      <w:r>
        <w:rPr>
          <w:sz w:val="24"/>
          <w:szCs w:val="24"/>
        </w:rPr>
        <w:t xml:space="preserve">4.3.3.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pPr>
        <w:pStyle w:val="Normal"/>
        <w:widowControl w:val="false"/>
        <w:tabs>
          <w:tab w:val="left" w:pos="0" w:leader="none"/>
          <w:tab w:val="left" w:pos="284" w:leader="none"/>
          <w:tab w:val="left" w:pos="709" w:leader="none"/>
        </w:tabs>
        <w:spacing w:lineRule="auto" w:line="240" w:before="0" w:after="0"/>
        <w:ind w:firstLine="567"/>
        <w:rPr>
          <w:sz w:val="24"/>
          <w:szCs w:val="24"/>
        </w:rPr>
      </w:pPr>
      <w:r>
        <w:rPr>
          <w:sz w:val="24"/>
          <w:szCs w:val="24"/>
        </w:rPr>
        <w:t>4.3.4. Принять решение об одностороннем отказе от исполнения контракта в случаях, предусмотренных частью 15 статьи 95 Закона.</w:t>
      </w:r>
    </w:p>
    <w:p>
      <w:pPr>
        <w:pStyle w:val="Normal"/>
        <w:widowControl w:val="false"/>
        <w:tabs>
          <w:tab w:val="left" w:pos="0" w:leader="none"/>
          <w:tab w:val="left" w:pos="284" w:leader="none"/>
          <w:tab w:val="left" w:pos="709" w:leader="none"/>
        </w:tabs>
        <w:spacing w:lineRule="auto" w:line="240" w:before="0" w:after="0"/>
        <w:ind w:firstLine="567"/>
        <w:rPr>
          <w:color w:val="FF0000"/>
          <w:sz w:val="24"/>
          <w:szCs w:val="24"/>
        </w:rPr>
      </w:pPr>
      <w:r>
        <w:rPr>
          <w:sz w:val="24"/>
          <w:szCs w:val="24"/>
        </w:rPr>
        <w:t xml:space="preserve">4.3.5.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pPr>
        <w:pStyle w:val="Normal"/>
        <w:widowControl w:val="false"/>
        <w:tabs>
          <w:tab w:val="left" w:pos="0" w:leader="none"/>
          <w:tab w:val="left" w:pos="284" w:leader="none"/>
          <w:tab w:val="left" w:pos="709" w:leader="none"/>
        </w:tabs>
        <w:spacing w:lineRule="auto" w:line="240" w:before="0" w:after="0"/>
        <w:ind w:firstLine="567"/>
        <w:rPr>
          <w:sz w:val="24"/>
          <w:szCs w:val="24"/>
        </w:rPr>
      </w:pPr>
      <w:r>
        <w:rPr>
          <w:sz w:val="24"/>
          <w:szCs w:val="24"/>
        </w:rPr>
        <w:t>4.3.6.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Heading1"/>
        <w:keepNext w:val="false"/>
        <w:widowControl w:val="false"/>
        <w:numPr>
          <w:ilvl w:val="0"/>
          <w:numId w:val="0"/>
        </w:numPr>
        <w:spacing w:lineRule="auto" w:line="240" w:before="0" w:after="120"/>
        <w:ind w:firstLine="567" w:start="0"/>
        <w:jc w:val="both"/>
        <w:rPr>
          <w:bCs w:val="false"/>
          <w:szCs w:val="24"/>
        </w:rPr>
      </w:pPr>
      <w:r>
        <w:rPr>
          <w:szCs w:val="24"/>
        </w:rPr>
        <w:t>4.4. Заказчик вправе:</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sz w:val="24"/>
          <w:szCs w:val="24"/>
        </w:rPr>
      </w:pPr>
      <w:r>
        <w:rPr>
          <w:sz w:val="24"/>
          <w:szCs w:val="24"/>
        </w:rPr>
        <w:t xml:space="preserve">4.4.1. Осуществлять контроль </w:t>
      </w:r>
      <w:r>
        <w:rPr>
          <w:b/>
          <w:sz w:val="24"/>
          <w:szCs w:val="24"/>
        </w:rPr>
        <w:t>за</w:t>
      </w:r>
      <w:r>
        <w:rPr>
          <w:sz w:val="24"/>
          <w:szCs w:val="24"/>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bCs/>
          <w:color w:val="FF0000"/>
          <w:sz w:val="24"/>
          <w:szCs w:val="24"/>
        </w:rPr>
      </w:pPr>
      <w:r>
        <w:rPr>
          <w:sz w:val="24"/>
          <w:szCs w:val="24"/>
        </w:rPr>
        <w:t>4.4.</w:t>
      </w:r>
      <w:r>
        <w:rPr>
          <w:color w:val="7030A0"/>
          <w:sz w:val="24"/>
          <w:szCs w:val="24"/>
        </w:rPr>
        <w:t>2</w:t>
      </w:r>
      <w:r>
        <w:rPr>
          <w:sz w:val="24"/>
          <w:szCs w:val="24"/>
        </w:rPr>
        <w:t>.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w:t>
      </w:r>
    </w:p>
    <w:p>
      <w:pPr>
        <w:pStyle w:val="ConsPlusNormal1"/>
        <w:ind w:firstLine="540"/>
        <w:jc w:val="both"/>
        <w:rPr>
          <w:bCs/>
          <w:color w:val="FF0000"/>
          <w:sz w:val="24"/>
          <w:szCs w:val="24"/>
        </w:rPr>
      </w:pPr>
      <w:r>
        <w:rPr>
          <w:bCs/>
          <w:sz w:val="24"/>
          <w:szCs w:val="24"/>
        </w:rPr>
        <w:t>4.4.</w:t>
      </w:r>
      <w:r>
        <w:rPr>
          <w:bCs/>
          <w:color w:val="7030A0"/>
          <w:sz w:val="24"/>
          <w:szCs w:val="24"/>
        </w:rPr>
        <w:t>3</w:t>
      </w:r>
      <w:r>
        <w:rPr>
          <w:bCs/>
          <w:sz w:val="24"/>
          <w:szCs w:val="24"/>
        </w:rPr>
        <w:t>.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Pr>
          <w:bCs/>
          <w:i/>
          <w:sz w:val="24"/>
          <w:szCs w:val="24"/>
        </w:rPr>
        <w:t>,</w:t>
      </w:r>
      <w:r>
        <w:rPr>
          <w:bCs/>
          <w:sz w:val="24"/>
          <w:szCs w:val="24"/>
        </w:rPr>
        <w:t xml:space="preserve"> и устранено поставщиком. </w:t>
      </w:r>
      <w:bookmarkStart w:id="5" w:name="_Hlk33879323"/>
      <w:bookmarkEnd w:id="5"/>
    </w:p>
    <w:p>
      <w:pPr>
        <w:pStyle w:val="Heading1"/>
        <w:keepNext w:val="false"/>
        <w:widowControl w:val="false"/>
        <w:spacing w:lineRule="auto" w:line="240" w:before="240" w:after="0"/>
        <w:ind w:firstLine="708" w:start="0"/>
        <w:rPr>
          <w:szCs w:val="24"/>
        </w:rPr>
      </w:pPr>
      <w:bookmarkStart w:id="6" w:name="OLE_LINK6"/>
      <w:bookmarkStart w:id="7" w:name="OLE_LINK7"/>
      <w:bookmarkStart w:id="8" w:name="OLE_LINK8"/>
      <w:r>
        <w:rPr>
          <w:szCs w:val="24"/>
        </w:rPr>
        <w:t>Порядок и срок приемки товара</w:t>
      </w:r>
      <w:r>
        <w:rPr>
          <w:color w:val="FF0000"/>
          <w:szCs w:val="24"/>
        </w:rPr>
        <w:t xml:space="preserve"> </w:t>
      </w:r>
      <w:bookmarkEnd w:id="6"/>
      <w:bookmarkEnd w:id="7"/>
      <w:bookmarkEnd w:id="8"/>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sz w:val="24"/>
          <w:szCs w:val="24"/>
        </w:rPr>
        <w:t xml:space="preserve">5.1. </w:t>
      </w:r>
      <w:r>
        <w:rPr>
          <w:bCs/>
          <w:sz w:val="24"/>
          <w:szCs w:val="24"/>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bCs/>
          <w:sz w:val="24"/>
          <w:szCs w:val="24"/>
        </w:rPr>
      </w:pPr>
      <w:r>
        <w:rPr>
          <w:bCs/>
          <w:sz w:val="24"/>
          <w:szCs w:val="24"/>
        </w:rPr>
        <w:t xml:space="preserve"> </w:t>
      </w:r>
      <w:r>
        <w:rPr>
          <w:bCs/>
          <w:sz w:val="24"/>
          <w:szCs w:val="24"/>
        </w:rPr>
        <w:t>5.1.1. Срок приемки товара: равен сроку подписания заказчиком (приемочной комиссией) документа о приемке.</w:t>
      </w:r>
    </w:p>
    <w:p>
      <w:pPr>
        <w:pStyle w:val="Heading2"/>
        <w:numPr>
          <w:ilvl w:val="0"/>
          <w:numId w:val="0"/>
        </w:numPr>
        <w:spacing w:lineRule="auto" w:line="240" w:before="0" w:after="120"/>
        <w:ind w:firstLine="567" w:start="0"/>
        <w:rPr>
          <w:sz w:val="24"/>
          <w:szCs w:val="24"/>
        </w:rPr>
      </w:pPr>
      <w:r>
        <w:rPr>
          <w:sz w:val="24"/>
          <w:szCs w:val="24"/>
        </w:rPr>
        <w:t xml:space="preserve">5.1.2. Приемка товара по качеству и количеству должна осуществляться в соответствии с требованиями </w:t>
      </w:r>
      <w:r>
        <w:rPr>
          <w:spacing w:val="-3"/>
          <w:sz w:val="24"/>
          <w:szCs w:val="24"/>
        </w:rPr>
        <w:t xml:space="preserve">ГК РФ </w:t>
      </w:r>
      <w:r>
        <w:rPr>
          <w:sz w:val="24"/>
          <w:szCs w:val="24"/>
        </w:rPr>
        <w:t>и условиями настоящего контракта.</w:t>
      </w:r>
    </w:p>
    <w:p>
      <w:pPr>
        <w:pStyle w:val="Heading2"/>
        <w:numPr>
          <w:ilvl w:val="0"/>
          <w:numId w:val="0"/>
        </w:numPr>
        <w:spacing w:before="0" w:after="120"/>
        <w:ind w:hanging="0" w:start="568"/>
        <w:rPr>
          <w:sz w:val="24"/>
          <w:szCs w:val="24"/>
        </w:rPr>
      </w:pPr>
      <w:r>
        <w:rPr>
          <w:sz w:val="24"/>
          <w:szCs w:val="24"/>
        </w:rPr>
        <w:t xml:space="preserve">5.1.3. </w:t>
      </w:r>
      <w:bookmarkStart w:id="9" w:name="_ref_21960628"/>
      <w:r>
        <w:rPr>
          <w:sz w:val="24"/>
          <w:szCs w:val="24"/>
        </w:rPr>
        <w:t xml:space="preserve">Заказчик обязуется осуществить с участием Поставщика приемку товара (осмотр, проверку и принятие) в течение </w:t>
      </w:r>
      <w:r>
        <w:rPr>
          <w:sz w:val="24"/>
          <w:szCs w:val="24"/>
          <w:u w:val="single"/>
        </w:rPr>
        <w:t>2-х рабочих дней</w:t>
      </w:r>
      <w:r>
        <w:rPr>
          <w:sz w:val="24"/>
          <w:szCs w:val="24"/>
        </w:rPr>
        <w:t xml:space="preserve"> после получения товара от Поставщика.</w:t>
      </w:r>
      <w:bookmarkEnd w:id="9"/>
    </w:p>
    <w:p>
      <w:pPr>
        <w:pStyle w:val="Heading2"/>
        <w:numPr>
          <w:ilvl w:val="0"/>
          <w:numId w:val="0"/>
        </w:numPr>
        <w:spacing w:before="0" w:after="0"/>
        <w:ind w:firstLine="567" w:start="0"/>
        <w:rPr>
          <w:sz w:val="24"/>
          <w:szCs w:val="24"/>
        </w:rPr>
      </w:pPr>
      <w:bookmarkStart w:id="10" w:name="_ref_21960632"/>
      <w:r>
        <w:rPr>
          <w:sz w:val="24"/>
          <w:szCs w:val="24"/>
        </w:rPr>
        <w:t>5.1.4. Приемку будут осуществлять:</w:t>
      </w:r>
      <w:bookmarkEnd w:id="10"/>
    </w:p>
    <w:p>
      <w:pPr>
        <w:pStyle w:val="Normal"/>
        <w:tabs>
          <w:tab w:val="clear" w:pos="709"/>
          <w:tab w:val="left" w:pos="1134" w:leader="none"/>
        </w:tabs>
        <w:spacing w:before="0" w:after="0"/>
        <w:ind w:hanging="0"/>
        <w:rPr>
          <w:sz w:val="24"/>
          <w:szCs w:val="24"/>
        </w:rPr>
      </w:pPr>
      <w:r>
        <w:rPr>
          <w:sz w:val="24"/>
          <w:szCs w:val="24"/>
        </w:rPr>
        <w:t xml:space="preserve">- со стороны Заказчика: </w:t>
      </w:r>
      <w:r>
        <w:rPr>
          <w:sz w:val="24"/>
          <w:szCs w:val="24"/>
          <w:u w:val="single"/>
        </w:rPr>
        <w:t>директор ГБУ ДО ВО «КСШ» Е.В.Горбунова, действующий на основании Устава</w:t>
      </w:r>
      <w:r>
        <w:rPr>
          <w:sz w:val="24"/>
          <w:szCs w:val="24"/>
        </w:rPr>
        <w:t>;</w:t>
      </w:r>
    </w:p>
    <w:p>
      <w:pPr>
        <w:pStyle w:val="Normal"/>
        <w:tabs>
          <w:tab w:val="clear" w:pos="709"/>
          <w:tab w:val="left" w:pos="1134" w:leader="none"/>
        </w:tabs>
        <w:spacing w:before="0" w:after="0"/>
        <w:ind w:hanging="0"/>
        <w:rPr>
          <w:sz w:val="24"/>
          <w:szCs w:val="24"/>
        </w:rPr>
      </w:pPr>
      <w:r>
        <w:rPr>
          <w:sz w:val="24"/>
          <w:szCs w:val="24"/>
        </w:rPr>
        <w:t>- со стороны Поставщика: ________________________________, действующей на основании ____________.</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bCs/>
          <w:sz w:val="24"/>
          <w:szCs w:val="24"/>
        </w:rPr>
      </w:pPr>
      <w:r>
        <w:rPr>
          <w:bCs/>
          <w:sz w:val="24"/>
          <w:szCs w:val="24"/>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bCs/>
          <w:sz w:val="24"/>
          <w:szCs w:val="24"/>
        </w:rPr>
      </w:pPr>
      <w:r>
        <w:rPr>
          <w:bCs/>
          <w:sz w:val="24"/>
          <w:szCs w:val="24"/>
        </w:rPr>
        <w:t>5.2.1 Подписанный документ о приемке является подтверждением факта проведения экспертизы со стороны Заказчика.</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bCs/>
          <w:color w:val="FF0000"/>
          <w:sz w:val="24"/>
          <w:szCs w:val="24"/>
        </w:rPr>
      </w:pPr>
      <w:r>
        <w:rPr>
          <w:bCs/>
          <w:sz w:val="24"/>
          <w:szCs w:val="24"/>
        </w:rPr>
        <w:t>5.3.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r>
        <w:rPr>
          <w:bCs/>
          <w:color w:val="FF0000"/>
          <w:sz w:val="24"/>
          <w:szCs w:val="24"/>
        </w:rPr>
        <w:t xml:space="preserve"> </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bCs/>
          <w:color w:val="FF0000"/>
          <w:sz w:val="24"/>
          <w:szCs w:val="24"/>
        </w:rPr>
      </w:pPr>
      <w:r>
        <w:rPr>
          <w:bCs/>
          <w:sz w:val="24"/>
          <w:szCs w:val="24"/>
        </w:rPr>
        <w:t xml:space="preserve">5.4. Поставщик в срок не более 5 дней с даты приемки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 </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bCs/>
          <w:sz w:val="24"/>
          <w:szCs w:val="24"/>
        </w:rPr>
      </w:pPr>
      <w:r>
        <w:rPr>
          <w:bCs/>
          <w:sz w:val="24"/>
          <w:szCs w:val="24"/>
        </w:rPr>
        <w:t xml:space="preserve">5.5. К документу о приемке, предусмотренному пунктом 5.4 настоящего раздела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6.4 настоящего раздела контракта информация, содержащаяся в документе о приемке. </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bCs/>
          <w:sz w:val="24"/>
          <w:szCs w:val="24"/>
        </w:rPr>
      </w:pPr>
      <w:r>
        <w:rPr>
          <w:bCs/>
          <w:sz w:val="24"/>
          <w:szCs w:val="24"/>
        </w:rPr>
        <w:t xml:space="preserve">5.6. Заказчик в срок не позднее 20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bCs/>
          <w:sz w:val="24"/>
          <w:szCs w:val="24"/>
        </w:rPr>
      </w:pPr>
      <w:r>
        <w:rPr>
          <w:bCs/>
          <w:sz w:val="24"/>
          <w:szCs w:val="24"/>
        </w:rPr>
        <w:t>5.7. Датой приемки поставленного товара считается дата размещения в единой информационной системе документа о приемке, подписанного заказчиком (п.8 ч.13 ст.94 Закона).</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bCs/>
          <w:color w:val="FF0000"/>
          <w:sz w:val="24"/>
          <w:szCs w:val="24"/>
        </w:rPr>
      </w:pPr>
      <w:r>
        <w:rPr>
          <w:bCs/>
          <w:sz w:val="24"/>
          <w:szCs w:val="24"/>
        </w:rPr>
        <w:t xml:space="preserve">5.8. В соответствии с положениями статьи 5 Закона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w:t>
      </w:r>
    </w:p>
    <w:p>
      <w:pPr>
        <w:pStyle w:val="Normal"/>
        <w:tabs>
          <w:tab w:val="left" w:pos="284" w:leader="none"/>
          <w:tab w:val="left" w:pos="360" w:leader="none"/>
          <w:tab w:val="left" w:pos="709" w:leader="none"/>
          <w:tab w:val="left" w:pos="1276" w:leader="none"/>
        </w:tabs>
        <w:spacing w:lineRule="auto" w:line="240" w:before="0" w:after="0"/>
        <w:ind w:firstLine="567"/>
        <w:rPr>
          <w:rFonts w:eastAsia="Calibri"/>
          <w:sz w:val="24"/>
          <w:szCs w:val="24"/>
        </w:rPr>
      </w:pPr>
      <w:r>
        <w:rPr>
          <w:rFonts w:eastAsia="Calibri"/>
          <w:sz w:val="24"/>
          <w:szCs w:val="24"/>
        </w:rPr>
        <w:t xml:space="preserve">5.9.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осуществляется после предоставления поставщиком (подрядчиком, исполнителем) такого обеспечения в соответствии с Федеральным законом № 44-ФЗ в порядке и в сроки, которые установлены контрактом. </w:t>
      </w:r>
      <w:r>
        <w:rPr>
          <w:rFonts w:eastAsia="Calibri"/>
          <w:i/>
          <w:sz w:val="24"/>
          <w:szCs w:val="24"/>
        </w:rPr>
        <w:t xml:space="preserve"> </w:t>
      </w:r>
      <w:bookmarkStart w:id="11" w:name="_Hlk13065375"/>
      <w:bookmarkEnd w:id="11"/>
    </w:p>
    <w:p>
      <w:pPr>
        <w:pStyle w:val="Heading1"/>
        <w:keepNext w:val="false"/>
        <w:widowControl w:val="false"/>
        <w:spacing w:lineRule="auto" w:line="240" w:before="240" w:after="0"/>
        <w:ind w:firstLine="708" w:start="0"/>
        <w:rPr>
          <w:szCs w:val="24"/>
        </w:rPr>
      </w:pPr>
      <w:r>
        <w:rPr>
          <w:szCs w:val="24"/>
        </w:rPr>
        <w:t>Гарантийные обязательства</w:t>
      </w:r>
    </w:p>
    <w:p>
      <w:pPr>
        <w:pStyle w:val="Normal"/>
        <w:spacing w:lineRule="auto" w:line="240" w:before="0" w:after="0"/>
        <w:ind w:firstLine="539"/>
        <w:rPr>
          <w:b/>
          <w:bCs/>
          <w:sz w:val="24"/>
          <w:szCs w:val="24"/>
        </w:rPr>
      </w:pPr>
      <w:r>
        <w:rPr>
          <w:bCs/>
          <w:sz w:val="24"/>
          <w:szCs w:val="24"/>
        </w:rPr>
        <w:t xml:space="preserve">6.1. </w:t>
      </w:r>
      <w:r>
        <w:rPr>
          <w:bCs/>
          <w:sz w:val="24"/>
          <w:szCs w:val="24"/>
          <w:shd w:fill="FFFF00" w:val="clear"/>
        </w:rPr>
        <w:t>Гарантийный срок на поставленные товары — 2 года с даты поставки товара</w:t>
      </w:r>
      <w:r>
        <w:rPr>
          <w:b/>
          <w:bCs/>
          <w:sz w:val="24"/>
          <w:szCs w:val="24"/>
          <w:shd w:fill="FFFF00" w:val="clear"/>
        </w:rPr>
        <w:t>.</w:t>
      </w:r>
    </w:p>
    <w:p>
      <w:pPr>
        <w:pStyle w:val="Normal"/>
        <w:spacing w:lineRule="auto" w:line="240" w:before="120" w:after="0"/>
        <w:ind w:firstLine="567"/>
        <w:jc w:val="center"/>
        <w:rPr/>
      </w:pPr>
      <w:r>
        <w:rPr>
          <w:b/>
          <w:bCs/>
          <w:sz w:val="24"/>
          <w:szCs w:val="24"/>
        </w:rPr>
        <w:t>7. Ответственность сторон</w:t>
      </w:r>
    </w:p>
    <w:p>
      <w:pPr>
        <w:pStyle w:val="Normal"/>
        <w:spacing w:lineRule="auto" w:line="240" w:before="120" w:after="0"/>
        <w:ind w:firstLine="567"/>
        <w:rPr/>
      </w:pPr>
      <w:r>
        <w:rPr>
          <w:bCs/>
          <w:sz w:val="24"/>
          <w:szCs w:val="24"/>
        </w:rPr>
        <w:t>7</w:t>
      </w:r>
      <w:bookmarkStart w:id="12" w:name="_Hlk13069684_Копия_1"/>
      <w:r>
        <w:rPr>
          <w:bCs/>
          <w:sz w:val="24"/>
          <w:szCs w:val="24"/>
        </w:rPr>
        <w:t>.1.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pPr>
        <w:pStyle w:val="Normal"/>
        <w:spacing w:lineRule="auto" w:line="240" w:before="120" w:after="0"/>
        <w:ind w:firstLine="567"/>
        <w:rPr/>
      </w:pPr>
      <w:r>
        <w:rPr>
          <w:bCs/>
          <w:sz w:val="24"/>
          <w:szCs w:val="24"/>
        </w:rPr>
        <w:t>7.2. В случае неисполнения поставщиком условий контракта заказчик вправе обратиться в суд с требованием о расторжении контракта.</w:t>
      </w:r>
    </w:p>
    <w:p>
      <w:pPr>
        <w:pStyle w:val="Normal"/>
        <w:spacing w:lineRule="auto" w:line="240" w:before="120" w:after="0"/>
        <w:ind w:firstLine="567"/>
        <w:rPr/>
      </w:pPr>
      <w:r>
        <w:rPr>
          <w:bCs/>
          <w:sz w:val="24"/>
          <w:szCs w:val="24"/>
        </w:rPr>
        <w:t>7.3. В случае полного (частичного) неисполнения условий контракта одной из сторон эта сторона обязана возместить другой стороне причиненные убытки.</w:t>
      </w:r>
    </w:p>
    <w:p>
      <w:pPr>
        <w:pStyle w:val="Normal"/>
        <w:spacing w:lineRule="auto" w:line="240" w:before="120" w:after="0"/>
        <w:ind w:firstLine="567"/>
        <w:rPr/>
      </w:pPr>
      <w:r>
        <w:rPr>
          <w:bCs/>
          <w:sz w:val="24"/>
          <w:szCs w:val="24"/>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spacing w:lineRule="auto" w:line="240" w:before="120" w:after="0"/>
        <w:ind w:firstLine="567"/>
        <w:rPr>
          <w:bCs/>
          <w:sz w:val="24"/>
          <w:szCs w:val="24"/>
        </w:rPr>
      </w:pPr>
      <w:r>
        <w:rPr>
          <w:bCs/>
          <w:sz w:val="24"/>
          <w:szCs w:val="24"/>
        </w:rPr>
      </w:r>
    </w:p>
    <w:p>
      <w:pPr>
        <w:pStyle w:val="Normal"/>
        <w:spacing w:lineRule="auto" w:line="240" w:before="120" w:after="0"/>
        <w:ind w:firstLine="567"/>
        <w:rPr/>
      </w:pPr>
      <w:r>
        <w:rPr>
          <w:bCs/>
          <w:sz w:val="24"/>
          <w:szCs w:val="24"/>
        </w:rPr>
        <w:t>7.5. Ответственность заказчика: (ч. 5 ст. 34 Закона)</w:t>
      </w:r>
    </w:p>
    <w:p>
      <w:pPr>
        <w:pStyle w:val="Normal"/>
        <w:spacing w:lineRule="auto" w:line="240" w:before="120" w:after="0"/>
        <w:ind w:firstLine="567"/>
        <w:rPr/>
      </w:pPr>
      <w:r>
        <w:rPr>
          <w:bCs/>
          <w:sz w:val="24"/>
          <w:szCs w:val="24"/>
        </w:rPr>
        <w:t xml:space="preserve">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pPr>
        <w:pStyle w:val="Normal"/>
        <w:spacing w:lineRule="auto" w:line="240" w:before="120" w:after="0"/>
        <w:ind w:firstLine="567"/>
        <w:rPr>
          <w:bCs/>
          <w:sz w:val="24"/>
          <w:szCs w:val="24"/>
        </w:rPr>
      </w:pPr>
      <w:r>
        <w:rPr>
          <w:bCs/>
          <w:sz w:val="24"/>
          <w:szCs w:val="24"/>
        </w:rPr>
      </w:r>
    </w:p>
    <w:p>
      <w:pPr>
        <w:pStyle w:val="Normal"/>
        <w:spacing w:lineRule="auto" w:line="240" w:before="120" w:after="0"/>
        <w:ind w:firstLine="567"/>
        <w:rPr/>
      </w:pPr>
      <w:r>
        <w:rPr>
          <w:bCs/>
          <w:sz w:val="24"/>
          <w:szCs w:val="24"/>
        </w:rPr>
        <w:t>7.5.2.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Normal"/>
        <w:spacing w:lineRule="auto" w:line="240" w:before="120" w:after="0"/>
        <w:ind w:firstLine="567"/>
        <w:rPr/>
      </w:pPr>
      <w:r>
        <w:rPr>
          <w:bCs/>
          <w:sz w:val="24"/>
          <w:szCs w:val="24"/>
        </w:rPr>
        <w:t xml:space="preserve">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pPr>
        <w:pStyle w:val="Normal"/>
        <w:spacing w:lineRule="auto" w:line="240" w:before="120" w:after="0"/>
        <w:ind w:firstLine="567"/>
        <w:rPr/>
      </w:pPr>
      <w:r>
        <w:rPr>
          <w:bCs/>
          <w:sz w:val="24"/>
          <w:szCs w:val="24"/>
        </w:rPr>
        <w:t>7.5.3.1.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pPr>
        <w:pStyle w:val="Normal"/>
        <w:spacing w:lineRule="auto" w:line="240" w:before="120" w:after="0"/>
        <w:ind w:firstLine="567"/>
        <w:rPr/>
      </w:pPr>
      <w:r>
        <w:rPr>
          <w:bCs/>
          <w:sz w:val="24"/>
          <w:szCs w:val="24"/>
        </w:rPr>
        <w:t>а) 1000 рублей, если цена контракта не превышает 3 млн. рублей (включительно);</w:t>
      </w:r>
    </w:p>
    <w:p>
      <w:pPr>
        <w:pStyle w:val="Normal"/>
        <w:spacing w:lineRule="auto" w:line="240" w:before="120" w:after="0"/>
        <w:ind w:firstLine="567"/>
        <w:rPr/>
      </w:pPr>
      <w:r>
        <w:rPr>
          <w:bCs/>
          <w:sz w:val="24"/>
          <w:szCs w:val="24"/>
        </w:rPr>
        <w:t>б) 5000 рублей, если цена контракта составляет от 3 млн. рублей до 50 млн. рублей (включительно);</w:t>
      </w:r>
    </w:p>
    <w:p>
      <w:pPr>
        <w:pStyle w:val="Normal"/>
        <w:spacing w:lineRule="auto" w:line="240" w:before="120" w:after="0"/>
        <w:ind w:firstLine="567"/>
        <w:rPr/>
      </w:pPr>
      <w:r>
        <w:rPr>
          <w:bCs/>
          <w:sz w:val="24"/>
          <w:szCs w:val="24"/>
        </w:rPr>
        <w:t>в) 10000 рублей, если цена контракта составляет от 50 млн. рублей до 100 млн. рублей (включительно);</w:t>
      </w:r>
    </w:p>
    <w:p>
      <w:pPr>
        <w:pStyle w:val="Normal"/>
        <w:spacing w:lineRule="auto" w:line="240" w:before="120" w:after="0"/>
        <w:ind w:firstLine="567"/>
        <w:rPr/>
      </w:pPr>
      <w:r>
        <w:rPr>
          <w:bCs/>
          <w:sz w:val="24"/>
          <w:szCs w:val="24"/>
        </w:rPr>
        <w:t>г) 100000 рублей, если цена контракта превышает 100 млн. рублей.</w:t>
      </w:r>
    </w:p>
    <w:p>
      <w:pPr>
        <w:pStyle w:val="Normal"/>
        <w:spacing w:lineRule="auto" w:line="240" w:before="120" w:after="0"/>
        <w:ind w:firstLine="567"/>
        <w:rPr/>
      </w:pPr>
      <w:r>
        <w:rPr>
          <w:bCs/>
          <w:sz w:val="24"/>
          <w:szCs w:val="24"/>
        </w:rPr>
        <w:t>7.5.3.2. Общая сумма начисленных штрафов за ненадлежащее исполнение заказчиком обязательств, предусмотренных контрактом, не может превышать цену контракта. (п.12 Правил)</w:t>
      </w:r>
    </w:p>
    <w:p>
      <w:pPr>
        <w:pStyle w:val="Normal"/>
        <w:spacing w:lineRule="auto" w:line="240" w:before="120" w:after="0"/>
        <w:ind w:firstLine="567"/>
        <w:rPr/>
      </w:pPr>
      <w:r>
        <w:rPr>
          <w:bCs/>
          <w:sz w:val="24"/>
          <w:szCs w:val="24"/>
        </w:rPr>
        <w:t>7.5.4.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10 (десяти) дней с даты предъявления требования об их уплате.</w:t>
      </w:r>
    </w:p>
    <w:p>
      <w:pPr>
        <w:pStyle w:val="Normal"/>
        <w:spacing w:lineRule="auto" w:line="240" w:before="120" w:after="0"/>
        <w:ind w:firstLine="567"/>
        <w:rPr/>
      </w:pPr>
      <w:r>
        <w:rPr>
          <w:bCs/>
          <w:sz w:val="24"/>
          <w:szCs w:val="24"/>
        </w:rPr>
        <w:t>7.6. Ответственность поставщика:</w:t>
      </w:r>
    </w:p>
    <w:p>
      <w:pPr>
        <w:pStyle w:val="Normal"/>
        <w:spacing w:lineRule="auto" w:line="240" w:before="120" w:after="0"/>
        <w:ind w:firstLine="567"/>
        <w:rPr/>
      </w:pPr>
      <w:r>
        <w:rPr>
          <w:bCs/>
          <w:sz w:val="24"/>
          <w:szCs w:val="24"/>
        </w:rPr>
        <w:t>7.6.1.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Normal"/>
        <w:spacing w:lineRule="auto" w:line="240" w:before="120" w:after="0"/>
        <w:ind w:firstLine="567"/>
        <w:rPr/>
      </w:pPr>
      <w:r>
        <w:rPr>
          <w:bCs/>
          <w:sz w:val="24"/>
          <w:szCs w:val="24"/>
        </w:rPr>
        <w:t>7.6.2.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Normal"/>
        <w:spacing w:lineRule="auto" w:line="240" w:before="120" w:after="0"/>
        <w:ind w:firstLine="567"/>
        <w:rPr/>
      </w:pPr>
      <w:r>
        <w:rPr>
          <w:bCs/>
          <w:sz w:val="24"/>
          <w:szCs w:val="24"/>
        </w:rPr>
        <w:t>7.6.3.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(п.1 Правил)</w:t>
      </w:r>
    </w:p>
    <w:p>
      <w:pPr>
        <w:pStyle w:val="Normal"/>
        <w:spacing w:lineRule="auto" w:line="240" w:before="120" w:after="0"/>
        <w:ind w:firstLine="567"/>
        <w:rPr>
          <w:bCs/>
          <w:sz w:val="24"/>
          <w:szCs w:val="24"/>
        </w:rPr>
      </w:pPr>
      <w:r>
        <w:rPr>
          <w:bCs/>
          <w:sz w:val="24"/>
          <w:szCs w:val="24"/>
        </w:rPr>
        <w:t xml:space="preserve">7.6.3.1. За каждый факт неисполнения или ненадлежащего исполнения поставщиком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 </w:t>
      </w:r>
    </w:p>
    <w:p>
      <w:pPr>
        <w:pStyle w:val="Normal"/>
        <w:spacing w:lineRule="auto" w:line="240" w:before="120" w:after="0"/>
        <w:ind w:firstLine="567"/>
        <w:rPr>
          <w:bCs/>
          <w:sz w:val="24"/>
          <w:szCs w:val="24"/>
        </w:rPr>
      </w:pPr>
      <w:r>
        <w:rPr>
          <w:bCs/>
          <w:sz w:val="24"/>
          <w:szCs w:val="24"/>
        </w:rPr>
        <w:t>а) 10 процентов цены контракта (этапа) в случае, если цена контракта (этапа) не превышает 3 млн. рублей;</w:t>
      </w:r>
    </w:p>
    <w:p>
      <w:pPr>
        <w:pStyle w:val="Normal"/>
        <w:spacing w:lineRule="auto" w:line="240" w:before="120" w:after="0"/>
        <w:ind w:firstLine="567"/>
        <w:rPr>
          <w:bCs/>
          <w:sz w:val="24"/>
          <w:szCs w:val="24"/>
        </w:rPr>
      </w:pPr>
      <w:r>
        <w:rPr>
          <w:b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spacing w:lineRule="auto" w:line="240" w:before="120" w:after="0"/>
        <w:ind w:firstLine="567"/>
        <w:rPr>
          <w:bCs/>
          <w:sz w:val="24"/>
          <w:szCs w:val="24"/>
        </w:rPr>
      </w:pPr>
      <w:r>
        <w:rPr>
          <w:b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spacing w:lineRule="auto" w:line="240" w:before="120" w:after="0"/>
        <w:ind w:firstLine="567"/>
        <w:rPr>
          <w:bCs/>
          <w:sz w:val="24"/>
          <w:szCs w:val="24"/>
        </w:rPr>
      </w:pPr>
      <w:r>
        <w:rPr>
          <w:b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spacing w:lineRule="auto" w:line="240" w:before="120" w:after="0"/>
        <w:ind w:firstLine="567"/>
        <w:rPr>
          <w:bCs/>
          <w:sz w:val="24"/>
          <w:szCs w:val="24"/>
        </w:rPr>
      </w:pPr>
      <w:r>
        <w:rPr>
          <w:b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spacing w:lineRule="auto" w:line="240" w:before="120" w:after="0"/>
        <w:ind w:firstLine="567"/>
        <w:rPr>
          <w:bCs/>
          <w:sz w:val="24"/>
          <w:szCs w:val="24"/>
        </w:rPr>
      </w:pPr>
      <w:r>
        <w:rPr>
          <w:b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spacing w:lineRule="auto" w:line="240" w:before="120" w:after="0"/>
        <w:ind w:firstLine="567"/>
        <w:rPr>
          <w:bCs/>
          <w:sz w:val="24"/>
          <w:szCs w:val="24"/>
        </w:rPr>
      </w:pPr>
      <w:r>
        <w:rPr>
          <w:bCs/>
          <w:sz w:val="24"/>
          <w:szCs w:val="24"/>
        </w:rPr>
        <w:t>и) 0,1 процента цены контракта (этапа) в случае, если цена контракта (этапа) превышает 10 млрд. рублей.</w:t>
      </w:r>
    </w:p>
    <w:p>
      <w:pPr>
        <w:pStyle w:val="Normal"/>
        <w:spacing w:lineRule="auto" w:line="240" w:before="120" w:after="0"/>
        <w:ind w:firstLine="567"/>
        <w:rPr/>
      </w:pPr>
      <w:r>
        <w:rPr>
          <w:bCs/>
          <w:sz w:val="24"/>
          <w:szCs w:val="24"/>
        </w:rPr>
        <w:t>7.6.3.2.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(п.6 Правил)</w:t>
      </w:r>
    </w:p>
    <w:p>
      <w:pPr>
        <w:pStyle w:val="Normal"/>
        <w:spacing w:lineRule="auto" w:line="240" w:before="120" w:after="0"/>
        <w:ind w:firstLine="567"/>
        <w:rPr/>
      </w:pPr>
      <w:r>
        <w:rPr>
          <w:bCs/>
          <w:sz w:val="24"/>
          <w:szCs w:val="24"/>
        </w:rPr>
        <w:t>1000 рублей, если цена контракта не превышает 3 млн. рублей;</w:t>
      </w:r>
    </w:p>
    <w:p>
      <w:pPr>
        <w:pStyle w:val="Normal"/>
        <w:spacing w:lineRule="auto" w:line="240" w:before="120" w:after="0"/>
        <w:ind w:firstLine="567"/>
        <w:rPr/>
      </w:pPr>
      <w:r>
        <w:rPr>
          <w:bCs/>
          <w:sz w:val="24"/>
          <w:szCs w:val="24"/>
        </w:rPr>
        <w:t>5000 рублей, если цена контракта составляет от 3 млн. рублей до 50 млн. рублей (включительно);</w:t>
      </w:r>
    </w:p>
    <w:p>
      <w:pPr>
        <w:pStyle w:val="Normal"/>
        <w:spacing w:lineRule="auto" w:line="240" w:before="120" w:after="0"/>
        <w:ind w:firstLine="567"/>
        <w:rPr/>
      </w:pPr>
      <w:r>
        <w:rPr>
          <w:bCs/>
          <w:sz w:val="24"/>
          <w:szCs w:val="24"/>
        </w:rPr>
        <w:t>10000 рублей, если цена контракта составляет от 50 млн. рублей до 100 млн. рублей (включительно);</w:t>
      </w:r>
    </w:p>
    <w:p>
      <w:pPr>
        <w:pStyle w:val="Normal"/>
        <w:spacing w:lineRule="auto" w:line="240" w:before="120" w:after="0"/>
        <w:ind w:firstLine="567"/>
        <w:rPr/>
      </w:pPr>
      <w:r>
        <w:rPr>
          <w:bCs/>
          <w:sz w:val="24"/>
          <w:szCs w:val="24"/>
        </w:rPr>
        <w:t>100000 рублей, если цена контракта превышает 100 млн. рублей.</w:t>
      </w:r>
    </w:p>
    <w:p>
      <w:pPr>
        <w:pStyle w:val="Normal"/>
        <w:spacing w:lineRule="auto" w:line="240" w:before="120" w:after="0"/>
        <w:ind w:firstLine="567"/>
        <w:rPr/>
      </w:pPr>
      <w:r>
        <w:rPr>
          <w:bCs/>
          <w:sz w:val="24"/>
          <w:szCs w:val="24"/>
        </w:rPr>
        <w:t>7.6.3.3.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порядке:(п.5Правил)</w:t>
        <w:br/>
        <w:t xml:space="preserve">          а) в случае, если цена контракта не превышает начальную (максимальную) цену контракта:</w:t>
      </w:r>
    </w:p>
    <w:p>
      <w:pPr>
        <w:pStyle w:val="Normal"/>
        <w:spacing w:lineRule="auto" w:line="240" w:before="120" w:after="0"/>
        <w:ind w:firstLine="567"/>
        <w:rPr/>
      </w:pPr>
      <w:r>
        <w:rPr>
          <w:bCs/>
          <w:sz w:val="24"/>
          <w:szCs w:val="24"/>
        </w:rPr>
        <w:t>10 процентов начальной (максимальной) цены контракта, если цена контракта не превышает 3 млн. рублей;</w:t>
      </w:r>
    </w:p>
    <w:p>
      <w:pPr>
        <w:pStyle w:val="Normal"/>
        <w:spacing w:lineRule="auto" w:line="240" w:before="120" w:after="0"/>
        <w:ind w:firstLine="567"/>
        <w:rPr/>
      </w:pPr>
      <w:r>
        <w:rPr>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spacing w:lineRule="auto" w:line="240" w:before="120" w:after="0"/>
        <w:ind w:firstLine="567"/>
        <w:rPr/>
      </w:pPr>
      <w:r>
        <w:rPr>
          <w:b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spacing w:lineRule="auto" w:line="240" w:before="120" w:after="0"/>
        <w:ind w:firstLine="567"/>
        <w:rPr/>
      </w:pPr>
      <w:r>
        <w:rPr>
          <w:bCs/>
          <w:sz w:val="24"/>
          <w:szCs w:val="24"/>
        </w:rPr>
        <w:t>б) в случае, если цена контракта превышает начальную (максимальную) цену контракта:</w:t>
      </w:r>
    </w:p>
    <w:p>
      <w:pPr>
        <w:pStyle w:val="Normal"/>
        <w:spacing w:lineRule="auto" w:line="240" w:before="120" w:after="0"/>
        <w:ind w:firstLine="567"/>
        <w:rPr/>
      </w:pPr>
      <w:r>
        <w:rPr>
          <w:bCs/>
          <w:sz w:val="24"/>
          <w:szCs w:val="24"/>
        </w:rPr>
        <w:t>10 процентов цены контракта, если цена контракта не превышает 3 млн. рублей;</w:t>
      </w:r>
    </w:p>
    <w:p>
      <w:pPr>
        <w:pStyle w:val="Normal"/>
        <w:spacing w:lineRule="auto" w:line="240" w:before="120" w:after="0"/>
        <w:ind w:firstLine="567"/>
        <w:rPr/>
      </w:pPr>
      <w:r>
        <w:rPr>
          <w:bCs/>
          <w:sz w:val="24"/>
          <w:szCs w:val="24"/>
        </w:rPr>
        <w:t>5 процентов цены контракта, если цена контракта составляет от 3 млн. рублей до 50 млн. рублей (включительно);</w:t>
      </w:r>
    </w:p>
    <w:p>
      <w:pPr>
        <w:pStyle w:val="Normal"/>
        <w:spacing w:lineRule="auto" w:line="240" w:before="120" w:after="0"/>
        <w:ind w:firstLine="567"/>
        <w:rPr/>
      </w:pPr>
      <w:r>
        <w:rPr>
          <w:bCs/>
          <w:sz w:val="24"/>
          <w:szCs w:val="24"/>
        </w:rPr>
        <w:t>1 процент цены контракта, если цена контракта составляет от 50 млн. рублей до 100 млн. рублей (включительно).</w:t>
      </w:r>
    </w:p>
    <w:p>
      <w:pPr>
        <w:pStyle w:val="Normal"/>
        <w:spacing w:lineRule="auto" w:line="240" w:before="120" w:after="0"/>
        <w:ind w:firstLine="567"/>
        <w:rPr/>
      </w:pPr>
      <w:r>
        <w:rPr>
          <w:bCs/>
          <w:sz w:val="24"/>
          <w:szCs w:val="24"/>
        </w:rPr>
        <w:t>7.6.3.4.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(п.11 Правил)</w:t>
      </w:r>
    </w:p>
    <w:p>
      <w:pPr>
        <w:pStyle w:val="Normal"/>
        <w:spacing w:lineRule="auto" w:line="240" w:before="120" w:after="0"/>
        <w:ind w:firstLine="567"/>
        <w:rPr/>
      </w:pPr>
      <w:r>
        <w:rPr>
          <w:bCs/>
          <w:sz w:val="24"/>
          <w:szCs w:val="24"/>
        </w:rPr>
        <w:t xml:space="preserve">7.6.4. За каждый день просрочки исполнения поставщиком обязательства, предусмотренного частью 30 статьи 34 Закона, начисляется пеня в размере, определенном в порядке, установленном в пункте 8.6.2 контракта.   </w:t>
      </w:r>
    </w:p>
    <w:p>
      <w:pPr>
        <w:pStyle w:val="Normal"/>
        <w:spacing w:lineRule="auto" w:line="240" w:before="120" w:after="0"/>
        <w:ind w:firstLine="567"/>
        <w:rPr/>
      </w:pPr>
      <w:r>
        <w:rPr>
          <w:bCs/>
          <w:sz w:val="24"/>
          <w:szCs w:val="24"/>
        </w:rPr>
        <w:t xml:space="preserve">7.6.5. В случае представления документов,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контракта. </w:t>
      </w:r>
    </w:p>
    <w:p>
      <w:pPr>
        <w:pStyle w:val="Normal"/>
        <w:spacing w:lineRule="auto" w:line="240" w:before="120" w:after="0"/>
        <w:ind w:firstLine="567"/>
        <w:rPr/>
      </w:pPr>
      <w:r>
        <w:rPr>
          <w:bCs/>
          <w:sz w:val="24"/>
          <w:szCs w:val="24"/>
        </w:rPr>
        <w:t xml:space="preserve">7.6.6.  В случае непредставления информации, указанной в контракте, поставщик уплачивает заказчику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с соисполнителем, в соответствии с частью 24 статьи 34 Закона. Пени подлежат начислению за каждый день просрочки исполнения такого обязательства. </w:t>
      </w:r>
    </w:p>
    <w:p>
      <w:pPr>
        <w:pStyle w:val="Heading1"/>
        <w:keepNext w:val="false"/>
        <w:widowControl w:val="false"/>
        <w:numPr>
          <w:ilvl w:val="0"/>
          <w:numId w:val="0"/>
        </w:numPr>
        <w:spacing w:lineRule="auto" w:line="240" w:before="240" w:after="0"/>
        <w:ind w:hanging="0" w:start="0"/>
        <w:contextualSpacing/>
        <w:jc w:val="both"/>
        <w:rPr>
          <w:szCs w:val="24"/>
        </w:rPr>
      </w:pPr>
      <w:r>
        <w:rPr>
          <w:szCs w:val="24"/>
        </w:rPr>
        <w:t>8. Изменение и расторжение контракта</w:t>
      </w:r>
      <w:bookmarkEnd w:id="12"/>
    </w:p>
    <w:p>
      <w:pPr>
        <w:pStyle w:val="Heading1"/>
        <w:keepNext w:val="false"/>
        <w:widowControl w:val="false"/>
        <w:numPr>
          <w:ilvl w:val="0"/>
          <w:numId w:val="0"/>
        </w:numPr>
        <w:ind w:firstLine="851" w:start="0"/>
        <w:jc w:val="both"/>
        <w:rPr>
          <w:b w:val="false"/>
          <w:bCs w:val="false"/>
          <w:szCs w:val="24"/>
        </w:rPr>
      </w:pPr>
      <w:r>
        <w:rPr>
          <w:b w:val="false"/>
          <w:bCs w:val="false"/>
          <w:szCs w:val="24"/>
        </w:rPr>
        <w:t>8.1. Изменение контракта.</w:t>
      </w:r>
    </w:p>
    <w:p>
      <w:pPr>
        <w:pStyle w:val="Heading1"/>
        <w:keepNext w:val="false"/>
        <w:widowControl w:val="false"/>
        <w:numPr>
          <w:ilvl w:val="0"/>
          <w:numId w:val="0"/>
        </w:numPr>
        <w:spacing w:before="0" w:after="0"/>
        <w:ind w:firstLine="709" w:start="0"/>
        <w:jc w:val="both"/>
        <w:rPr>
          <w:b w:val="false"/>
          <w:bCs w:val="false"/>
          <w:szCs w:val="24"/>
        </w:rPr>
      </w:pPr>
      <w:r>
        <w:rPr>
          <w:b w:val="false"/>
          <w:bCs w:val="false"/>
          <w:szCs w:val="24"/>
        </w:rPr>
        <w:t xml:space="preserve">8.1.1.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pPr>
        <w:pStyle w:val="Normal"/>
        <w:tabs>
          <w:tab w:val="left" w:pos="284" w:leader="none"/>
          <w:tab w:val="left" w:pos="709" w:leader="none"/>
        </w:tabs>
        <w:spacing w:lineRule="auto" w:line="240" w:before="0" w:after="0"/>
        <w:ind w:firstLine="709"/>
        <w:rPr>
          <w:rFonts w:eastAsia="Calibri"/>
          <w:sz w:val="24"/>
          <w:szCs w:val="24"/>
        </w:rPr>
      </w:pPr>
      <w:r>
        <w:rPr>
          <w:rFonts w:eastAsia="Calibri"/>
          <w:sz w:val="24"/>
          <w:szCs w:val="24"/>
        </w:rPr>
        <w:t xml:space="preserve">8.1.2 Все изменения и дополнения к контракту оформляются дополнительным соглашением к такому контракту, которое </w:t>
      </w:r>
      <w:r>
        <w:rPr>
          <w:sz w:val="24"/>
          <w:szCs w:val="24"/>
        </w:rPr>
        <w:t>является его неотъемлемой частью.</w:t>
      </w:r>
    </w:p>
    <w:p>
      <w:pPr>
        <w:pStyle w:val="Normal"/>
        <w:tabs>
          <w:tab w:val="left" w:pos="284" w:leader="none"/>
          <w:tab w:val="left" w:pos="709" w:leader="none"/>
        </w:tabs>
        <w:spacing w:lineRule="auto" w:line="240" w:before="0" w:after="0"/>
        <w:ind w:firstLine="709"/>
        <w:rPr>
          <w:rFonts w:eastAsia="Calibri"/>
          <w:sz w:val="24"/>
          <w:szCs w:val="24"/>
        </w:rPr>
      </w:pPr>
      <w:r>
        <w:rPr>
          <w:rFonts w:eastAsia="Calibri"/>
          <w:sz w:val="24"/>
          <w:szCs w:val="24"/>
        </w:rPr>
        <w:t>8.1.</w:t>
      </w:r>
      <w:r>
        <w:rPr>
          <w:rFonts w:eastAsia="Calibri"/>
          <w:color w:val="7030A0"/>
          <w:sz w:val="24"/>
          <w:szCs w:val="24"/>
        </w:rPr>
        <w:t>3</w:t>
      </w:r>
      <w:r>
        <w:rPr>
          <w:rFonts w:eastAsia="Calibri"/>
          <w:sz w:val="24"/>
          <w:szCs w:val="24"/>
        </w:rPr>
        <w:t xml:space="preserve">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Pr>
          <w:rFonts w:eastAsia="Calibri"/>
          <w:bCs/>
          <w:sz w:val="24"/>
          <w:szCs w:val="24"/>
        </w:rPr>
        <w:t>контракт</w:t>
      </w:r>
      <w:r>
        <w:rPr>
          <w:rFonts w:eastAsia="Calibri"/>
          <w:sz w:val="24"/>
          <w:szCs w:val="24"/>
        </w:rPr>
        <w:t>ом.</w:t>
      </w:r>
    </w:p>
    <w:p>
      <w:pPr>
        <w:pStyle w:val="Heading1"/>
        <w:keepNext w:val="false"/>
        <w:widowControl w:val="false"/>
        <w:numPr>
          <w:ilvl w:val="0"/>
          <w:numId w:val="0"/>
        </w:numPr>
        <w:spacing w:lineRule="auto" w:line="240" w:before="0" w:after="0"/>
        <w:ind w:hanging="0" w:start="0"/>
        <w:jc w:val="both"/>
        <w:rPr>
          <w:szCs w:val="24"/>
        </w:rPr>
      </w:pPr>
      <w:r>
        <w:rPr>
          <w:b w:val="false"/>
          <w:bCs w:val="false"/>
          <w:szCs w:val="24"/>
        </w:rPr>
        <w:tab/>
        <w:t xml:space="preserve">8.2. Расторжение контракта </w:t>
      </w:r>
      <w:r>
        <w:rPr>
          <w:rFonts w:eastAsia="Calibri"/>
          <w:b w:val="false"/>
          <w:szCs w:val="24"/>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Pr>
          <w:b w:val="false"/>
          <w:szCs w:val="24"/>
        </w:rPr>
        <w:t xml:space="preserve">Гражданским кодексом Российской Федерации и </w:t>
      </w:r>
      <w:r>
        <w:rPr>
          <w:b w:val="false"/>
          <w:bCs w:val="false"/>
          <w:szCs w:val="24"/>
        </w:rPr>
        <w:t>законодательством о контрактной системе</w:t>
      </w:r>
      <w:r>
        <w:rPr>
          <w:b w:val="false"/>
          <w:szCs w:val="24"/>
        </w:rPr>
        <w:t xml:space="preserve">. </w:t>
      </w:r>
    </w:p>
    <w:p>
      <w:pPr>
        <w:pStyle w:val="Heading1"/>
        <w:keepNext w:val="false"/>
        <w:widowControl w:val="false"/>
        <w:numPr>
          <w:ilvl w:val="0"/>
          <w:numId w:val="0"/>
        </w:numPr>
        <w:spacing w:lineRule="auto" w:line="240" w:before="0" w:after="0"/>
        <w:ind w:hanging="0" w:start="0"/>
        <w:jc w:val="both"/>
        <w:rPr>
          <w:b w:val="false"/>
          <w:bCs w:val="false"/>
          <w:szCs w:val="24"/>
        </w:rPr>
      </w:pPr>
      <w:r>
        <w:rPr>
          <w:b w:val="false"/>
          <w:bCs w:val="false"/>
          <w:szCs w:val="24"/>
        </w:rPr>
        <w:tab/>
        <w:t>8.2.1. Расторжение контракта по решению суда.</w:t>
      </w:r>
    </w:p>
    <w:p>
      <w:pPr>
        <w:pStyle w:val="Normal"/>
        <w:tabs>
          <w:tab w:val="left" w:pos="284" w:leader="none"/>
          <w:tab w:val="left" w:pos="709" w:leader="none"/>
        </w:tabs>
        <w:spacing w:lineRule="auto" w:line="240" w:before="0" w:after="0"/>
        <w:ind w:firstLine="567"/>
        <w:rPr>
          <w:sz w:val="24"/>
          <w:szCs w:val="24"/>
        </w:rPr>
      </w:pPr>
      <w:r>
        <w:rPr>
          <w:sz w:val="24"/>
          <w:szCs w:val="24"/>
        </w:rPr>
        <w:t>Стороны должны принять меры по до судебному урегулированию любых споров, разногласий и требований, возникающие в рамках контракта.</w:t>
      </w:r>
    </w:p>
    <w:p>
      <w:pPr>
        <w:pStyle w:val="Heading1"/>
        <w:keepNext w:val="false"/>
        <w:widowControl w:val="false"/>
        <w:numPr>
          <w:ilvl w:val="0"/>
          <w:numId w:val="0"/>
        </w:numPr>
        <w:spacing w:lineRule="auto" w:line="240" w:before="0" w:after="0"/>
        <w:ind w:hanging="0" w:start="0"/>
        <w:jc w:val="both"/>
        <w:rPr>
          <w:b w:val="false"/>
          <w:bCs w:val="false"/>
          <w:szCs w:val="24"/>
        </w:rPr>
      </w:pPr>
      <w:r>
        <w:rPr>
          <w:b w:val="false"/>
          <w:bCs w:val="false"/>
          <w:szCs w:val="24"/>
        </w:rPr>
        <w:tab/>
        <w:t>8.2.</w:t>
      </w:r>
      <w:r>
        <w:rPr>
          <w:b w:val="false"/>
          <w:bCs w:val="false"/>
          <w:color w:val="7030A0"/>
          <w:szCs w:val="24"/>
        </w:rPr>
        <w:t>2</w:t>
      </w:r>
      <w:r>
        <w:rPr>
          <w:b w:val="false"/>
          <w:bCs w:val="false"/>
          <w:szCs w:val="24"/>
        </w:rPr>
        <w:t>. Расторжение контракта в случае одностороннего отказа стороны от исполнения контракта:</w:t>
      </w:r>
    </w:p>
    <w:p>
      <w:pPr>
        <w:pStyle w:val="Heading1"/>
        <w:keepNext w:val="false"/>
        <w:widowControl w:val="false"/>
        <w:numPr>
          <w:ilvl w:val="0"/>
          <w:numId w:val="0"/>
        </w:numPr>
        <w:spacing w:lineRule="auto" w:line="240" w:before="0" w:after="120"/>
        <w:ind w:hanging="0" w:start="0"/>
        <w:jc w:val="both"/>
        <w:rPr>
          <w:b w:val="false"/>
          <w:bCs w:val="false"/>
          <w:szCs w:val="24"/>
        </w:rPr>
      </w:pPr>
      <w:r>
        <w:rPr>
          <w:b w:val="false"/>
          <w:bCs w:val="false"/>
          <w:szCs w:val="24"/>
        </w:rPr>
        <w:tab/>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2)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контрактом.</w:t>
      </w:r>
    </w:p>
    <w:p>
      <w:pPr>
        <w:pStyle w:val="Normal"/>
        <w:tabs>
          <w:tab w:val="left" w:pos="284" w:leader="none"/>
          <w:tab w:val="left" w:pos="709" w:leader="none"/>
        </w:tabs>
        <w:spacing w:lineRule="auto" w:line="240" w:before="0" w:after="0"/>
        <w:ind w:firstLine="567"/>
        <w:rPr>
          <w:color w:val="FF0000"/>
          <w:sz w:val="24"/>
          <w:szCs w:val="24"/>
        </w:rPr>
      </w:pPr>
      <w:r>
        <w:rPr>
          <w:rFonts w:eastAsia="Calibri"/>
          <w:sz w:val="24"/>
          <w:szCs w:val="24"/>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pPr>
        <w:pStyle w:val="Heading1"/>
        <w:keepNext w:val="false"/>
        <w:widowControl w:val="false"/>
        <w:numPr>
          <w:ilvl w:val="0"/>
          <w:numId w:val="0"/>
        </w:numPr>
        <w:spacing w:before="0" w:after="0"/>
        <w:ind w:hanging="0" w:start="0"/>
        <w:jc w:val="both"/>
        <w:rPr>
          <w:b w:val="false"/>
          <w:bCs w:val="false"/>
          <w:szCs w:val="24"/>
        </w:rPr>
      </w:pPr>
      <w:r>
        <w:rPr>
          <w:b w:val="false"/>
          <w:bCs w:val="false"/>
          <w:szCs w:val="24"/>
        </w:rPr>
        <w:tab/>
        <w:t>8.2.2.1. Решение заказчика об одностороннем отказе от исполнения контракта.</w:t>
      </w:r>
    </w:p>
    <w:p>
      <w:pPr>
        <w:pStyle w:val="Normal"/>
        <w:tabs>
          <w:tab w:val="left" w:pos="284" w:leader="none"/>
          <w:tab w:val="left" w:pos="709" w:leader="none"/>
        </w:tabs>
        <w:spacing w:lineRule="auto" w:line="240" w:before="0" w:after="0"/>
        <w:ind w:firstLine="567"/>
        <w:rPr>
          <w:rFonts w:eastAsia="Calibri"/>
          <w:sz w:val="24"/>
          <w:szCs w:val="24"/>
        </w:rPr>
      </w:pPr>
      <w:r>
        <w:rPr>
          <w:rFonts w:eastAsia="Calibri"/>
          <w:sz w:val="24"/>
          <w:szCs w:val="24"/>
        </w:rPr>
        <w:t xml:space="preserve">8.2.2.1.1. Заказчик </w:t>
      </w:r>
      <w:r>
        <w:rPr>
          <w:rFonts w:eastAsia="Calibri"/>
          <w:b/>
          <w:sz w:val="24"/>
          <w:szCs w:val="24"/>
        </w:rPr>
        <w:t>обязан</w:t>
      </w:r>
      <w:r>
        <w:rPr>
          <w:rFonts w:eastAsia="Calibri"/>
          <w:sz w:val="24"/>
          <w:szCs w:val="24"/>
        </w:rPr>
        <w:t xml:space="preserve"> принять решение об одностороннем отказе от исполнения контракта если в ходе исполнения контракта установлено, что:</w:t>
      </w:r>
    </w:p>
    <w:p>
      <w:pPr>
        <w:pStyle w:val="Normal"/>
        <w:tabs>
          <w:tab w:val="left" w:pos="284" w:leader="none"/>
          <w:tab w:val="left" w:pos="709" w:leader="none"/>
        </w:tabs>
        <w:spacing w:lineRule="auto" w:line="240" w:before="0" w:after="0"/>
        <w:ind w:firstLine="567"/>
        <w:rPr>
          <w:color w:val="FF0000"/>
          <w:sz w:val="24"/>
          <w:szCs w:val="24"/>
        </w:rPr>
      </w:pPr>
      <w:r>
        <w:rPr>
          <w:rFonts w:eastAsia="Calibri"/>
          <w:sz w:val="24"/>
          <w:szCs w:val="24"/>
        </w:rPr>
        <w:t>а) поставщик</w:t>
      </w:r>
      <w:r>
        <w:rPr>
          <w:sz w:val="24"/>
          <w:szCs w:val="24"/>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2">
        <w:r>
          <w:rPr>
            <w:rStyle w:val="Style"/>
            <w:sz w:val="24"/>
            <w:szCs w:val="24"/>
          </w:rPr>
          <w:t>частью 1.1</w:t>
        </w:r>
      </w:hyperlink>
      <w:r>
        <w:rPr>
          <w:sz w:val="24"/>
          <w:szCs w:val="24"/>
        </w:rPr>
        <w:t xml:space="preserve"> (при наличии такого требования) статьи 31 Закона) и (или) поставляемому товару; </w:t>
      </w:r>
    </w:p>
    <w:p>
      <w:pPr>
        <w:pStyle w:val="Normal"/>
        <w:tabs>
          <w:tab w:val="left" w:pos="284" w:leader="none"/>
          <w:tab w:val="left" w:pos="709" w:leader="none"/>
        </w:tabs>
        <w:spacing w:lineRule="auto" w:line="240" w:before="0" w:after="0"/>
        <w:ind w:firstLine="567"/>
        <w:rPr>
          <w:color w:val="FF0000"/>
          <w:sz w:val="24"/>
          <w:szCs w:val="24"/>
        </w:rPr>
      </w:pPr>
      <w:r>
        <w:rPr>
          <w:rFonts w:eastAsia="Calibri"/>
          <w:sz w:val="24"/>
          <w:szCs w:val="24"/>
        </w:rPr>
        <w:t xml:space="preserve">б) </w:t>
      </w:r>
      <w:r>
        <w:rPr>
          <w:sz w:val="24"/>
          <w:szCs w:val="24"/>
        </w:rPr>
        <w:t xml:space="preserve">при определении </w:t>
      </w:r>
      <w:r>
        <w:rPr>
          <w:rFonts w:eastAsia="Calibri"/>
          <w:sz w:val="24"/>
          <w:szCs w:val="24"/>
        </w:rPr>
        <w:t>поставщика поставщик</w:t>
      </w:r>
      <w:r>
        <w:rPr>
          <w:sz w:val="24"/>
          <w:szCs w:val="24"/>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r>
          <w:rPr>
            <w:rStyle w:val="Style"/>
            <w:sz w:val="24"/>
            <w:szCs w:val="24"/>
          </w:rPr>
          <w:t>подпункте «</w:t>
        </w:r>
        <w:r>
          <w:rPr>
            <w:rStyle w:val="Style"/>
            <w:rFonts w:eastAsia="Calibri"/>
            <w:sz w:val="24"/>
            <w:szCs w:val="24"/>
          </w:rPr>
          <w:t xml:space="preserve">а» </w:t>
        </w:r>
      </w:hyperlink>
      <w:r>
        <w:rPr>
          <w:sz w:val="24"/>
          <w:szCs w:val="24"/>
        </w:rPr>
        <w:t xml:space="preserve">настоящего пункта, что позволило ему стать победителем определения </w:t>
      </w:r>
      <w:r>
        <w:rPr>
          <w:rFonts w:eastAsia="Calibri"/>
          <w:sz w:val="24"/>
          <w:szCs w:val="24"/>
        </w:rPr>
        <w:t>поставщика</w:t>
      </w:r>
      <w:r>
        <w:rPr>
          <w:sz w:val="24"/>
          <w:szCs w:val="24"/>
        </w:rPr>
        <w:t xml:space="preserve">. </w:t>
      </w:r>
    </w:p>
    <w:p>
      <w:pPr>
        <w:pStyle w:val="NormalWeb"/>
        <w:spacing w:beforeAutospacing="0" w:before="0" w:afterAutospacing="0" w:after="0"/>
        <w:ind w:firstLine="489"/>
        <w:jc w:val="both"/>
        <w:rPr/>
      </w:pPr>
      <w:r>
        <w:rP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r:id="rId3">
        <w:r>
          <w:rPr>
            <w:rStyle w:val="Hyperlink"/>
            <w:color w:val="auto"/>
          </w:rPr>
          <w:t>подпунктами "а"</w:t>
        </w:r>
      </w:hyperlink>
      <w:r>
        <w:rPr/>
        <w:t xml:space="preserve"> и </w:t>
      </w:r>
      <w:hyperlink r:id="rId4">
        <w:r>
          <w:rPr>
            <w:rStyle w:val="Hyperlink"/>
            <w:color w:val="auto"/>
          </w:rPr>
          <w:t>"б" пункта 1 части 2 статьи 14</w:t>
        </w:r>
      </w:hyperlink>
      <w:r>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r:id="rId5">
        <w:r>
          <w:rPr>
            <w:rStyle w:val="Hyperlink"/>
            <w:color w:val="auto"/>
          </w:rPr>
          <w:t>подпунктом "в" пункта 1 части 2 статьи 14</w:t>
        </w:r>
      </w:hyperlink>
      <w:r>
        <w:rP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 </w:t>
      </w:r>
      <w:r>
        <w:rPr>
          <w:color w:val="FF0000"/>
        </w:rPr>
        <w:t xml:space="preserve">. </w:t>
      </w:r>
    </w:p>
    <w:p>
      <w:pPr>
        <w:pStyle w:val="Normal"/>
        <w:tabs>
          <w:tab w:val="left" w:pos="284" w:leader="none"/>
          <w:tab w:val="left" w:pos="709" w:leader="none"/>
        </w:tabs>
        <w:spacing w:lineRule="auto" w:line="240" w:before="120" w:after="0"/>
        <w:ind w:firstLine="567"/>
        <w:rPr>
          <w:sz w:val="24"/>
          <w:szCs w:val="24"/>
        </w:rPr>
      </w:pPr>
      <w:r>
        <w:rPr>
          <w:rFonts w:eastAsia="Calibri"/>
          <w:sz w:val="24"/>
          <w:szCs w:val="24"/>
        </w:rPr>
        <w:t xml:space="preserve">8.2.2.1.2. </w:t>
      </w:r>
      <w:r>
        <w:rPr>
          <w:sz w:val="24"/>
          <w:szCs w:val="24"/>
        </w:rPr>
        <w:t xml:space="preserve">Заказчик </w:t>
      </w:r>
      <w:r>
        <w:rPr>
          <w:b/>
          <w:sz w:val="24"/>
          <w:szCs w:val="24"/>
        </w:rPr>
        <w:t xml:space="preserve">вправе </w:t>
      </w:r>
      <w:r>
        <w:rPr>
          <w:sz w:val="24"/>
          <w:szCs w:val="24"/>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w:t>
      </w:r>
      <w:r>
        <w:rPr>
          <w:i/>
          <w:sz w:val="24"/>
          <w:szCs w:val="24"/>
        </w:rPr>
        <w:t>.</w:t>
      </w:r>
    </w:p>
    <w:p>
      <w:pPr>
        <w:pStyle w:val="Normal"/>
        <w:tabs>
          <w:tab w:val="left" w:pos="284" w:leader="none"/>
          <w:tab w:val="left" w:pos="709" w:leader="none"/>
        </w:tabs>
        <w:spacing w:lineRule="auto" w:line="240" w:before="120" w:after="0"/>
        <w:ind w:firstLine="567"/>
        <w:rPr>
          <w:sz w:val="24"/>
          <w:szCs w:val="24"/>
          <w:lang w:eastAsia="ar-SA"/>
        </w:rPr>
      </w:pPr>
      <w:r>
        <w:rPr>
          <w:rFonts w:eastAsia="Calibri"/>
          <w:sz w:val="24"/>
          <w:szCs w:val="24"/>
        </w:rPr>
        <w:t>8.2.2.1.3.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Pr>
          <w:sz w:val="24"/>
          <w:szCs w:val="24"/>
          <w:lang w:eastAsia="ar-SA"/>
        </w:rPr>
        <w:t>ущественными нарушениями поставщиком условий контракта считаются:</w:t>
      </w:r>
    </w:p>
    <w:p>
      <w:pPr>
        <w:pStyle w:val="Normal"/>
        <w:tabs>
          <w:tab w:val="clear" w:pos="709"/>
          <w:tab w:val="left" w:pos="851" w:leader="none"/>
        </w:tabs>
        <w:spacing w:lineRule="auto" w:line="240" w:before="120" w:after="0"/>
        <w:ind w:firstLine="567"/>
        <w:contextualSpacing/>
        <w:rPr>
          <w:sz w:val="24"/>
          <w:szCs w:val="24"/>
          <w:lang w:eastAsia="ar-SA"/>
        </w:rPr>
      </w:pPr>
      <w:r>
        <w:rPr>
          <w:sz w:val="24"/>
          <w:szCs w:val="24"/>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pPr>
        <w:pStyle w:val="Normal"/>
        <w:tabs>
          <w:tab w:val="clear" w:pos="709"/>
          <w:tab w:val="left" w:pos="567" w:leader="none"/>
          <w:tab w:val="left" w:pos="851" w:leader="none"/>
        </w:tabs>
        <w:spacing w:lineRule="auto" w:line="240" w:before="120" w:after="0"/>
        <w:ind w:firstLine="567"/>
        <w:rPr>
          <w:sz w:val="24"/>
          <w:szCs w:val="24"/>
          <w:lang w:eastAsia="ar-SA"/>
        </w:rPr>
      </w:pPr>
      <w:r>
        <w:rPr>
          <w:sz w:val="24"/>
          <w:szCs w:val="24"/>
          <w:lang w:eastAsia="ar-SA"/>
        </w:rPr>
        <w:t>2) нарушение поставщиком срока поставки товара более чем на 10 (десять) дней по причинам, не зависящим от заказчика;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8.2.2.1.4.  Факты существенных нарушений условий исполнения контракта фиксируются комиссией заказчика посредством составления соответствующего акта и претензионного письма с уведомлением поставщика по электронной почте в течение 3-х рабочих дней.</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8.2.2.1.5.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8.2.2.1.6.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8.2.2.1.7.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 xml:space="preserve">8.2.2.1.8.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w:t>
      </w:r>
    </w:p>
    <w:p>
      <w:pPr>
        <w:pStyle w:val="Heading1"/>
        <w:keepNext w:val="false"/>
        <w:widowControl w:val="false"/>
        <w:numPr>
          <w:ilvl w:val="0"/>
          <w:numId w:val="0"/>
        </w:numPr>
        <w:ind w:hanging="0" w:start="0"/>
        <w:jc w:val="both"/>
        <w:rPr>
          <w:b w:val="false"/>
          <w:szCs w:val="24"/>
        </w:rPr>
      </w:pPr>
      <w:r>
        <w:rPr>
          <w:b w:val="false"/>
          <w:bCs w:val="false"/>
          <w:szCs w:val="24"/>
        </w:rPr>
        <w:tab/>
        <w:t xml:space="preserve">8.2.2.2. </w:t>
      </w:r>
      <w:r>
        <w:rPr>
          <w:rFonts w:eastAsia="Calibri"/>
          <w:b w:val="false"/>
          <w:szCs w:val="24"/>
        </w:rPr>
        <w:t>Поставщик</w:t>
      </w:r>
      <w:r>
        <w:rPr>
          <w:b w:val="false"/>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widowControl w:val="false"/>
        <w:tabs>
          <w:tab w:val="left" w:pos="284" w:leader="none"/>
          <w:tab w:val="left" w:pos="709" w:leader="none"/>
        </w:tabs>
        <w:spacing w:lineRule="auto" w:line="240" w:before="120" w:after="0"/>
        <w:ind w:firstLine="567"/>
        <w:rPr>
          <w:sz w:val="24"/>
          <w:szCs w:val="24"/>
        </w:rPr>
      </w:pPr>
      <w:r>
        <w:rPr>
          <w:sz w:val="24"/>
          <w:szCs w:val="24"/>
        </w:rPr>
        <w:t xml:space="preserve">8.2.2.2.1.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Pr>
          <w:rFonts w:eastAsia="Calibri"/>
          <w:sz w:val="24"/>
          <w:szCs w:val="24"/>
        </w:rPr>
        <w:t>поставщиком</w:t>
      </w:r>
      <w:r>
        <w:rPr>
          <w:sz w:val="24"/>
          <w:szCs w:val="24"/>
        </w:rPr>
        <w:t xml:space="preserve"> заказчика об одностороннем отказе от исполнения контракта. </w:t>
      </w:r>
    </w:p>
    <w:p>
      <w:pPr>
        <w:pStyle w:val="Normal"/>
        <w:widowControl w:val="false"/>
        <w:tabs>
          <w:tab w:val="left" w:pos="284" w:leader="none"/>
          <w:tab w:val="left" w:pos="709" w:leader="none"/>
        </w:tabs>
        <w:spacing w:lineRule="auto" w:line="240" w:before="120" w:after="0"/>
        <w:ind w:firstLine="567"/>
        <w:rPr>
          <w:sz w:val="24"/>
          <w:szCs w:val="24"/>
        </w:rPr>
      </w:pPr>
      <w:r>
        <w:rPr>
          <w:sz w:val="24"/>
          <w:szCs w:val="24"/>
        </w:rPr>
        <w:t xml:space="preserve">8.2.2.2.2. </w:t>
      </w:r>
      <w:r>
        <w:rPr>
          <w:rFonts w:eastAsia="Calibri"/>
          <w:sz w:val="24"/>
          <w:szCs w:val="24"/>
        </w:rPr>
        <w:t>Поставщик</w:t>
      </w:r>
      <w:r>
        <w:rPr>
          <w:sz w:val="24"/>
          <w:szCs w:val="24"/>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w:t>
      </w:r>
      <w:bookmarkStart w:id="13" w:name="P0_Копия_1"/>
      <w:bookmarkEnd w:id="13"/>
    </w:p>
    <w:p>
      <w:pPr>
        <w:pStyle w:val="Normal"/>
        <w:tabs>
          <w:tab w:val="left" w:pos="284" w:leader="none"/>
          <w:tab w:val="left" w:pos="709" w:leader="none"/>
        </w:tabs>
        <w:spacing w:lineRule="auto" w:line="240" w:before="120" w:after="0"/>
        <w:ind w:firstLine="567"/>
        <w:contextualSpacing/>
        <w:rPr>
          <w:sz w:val="24"/>
          <w:szCs w:val="24"/>
        </w:rPr>
      </w:pPr>
      <w:r>
        <w:rPr>
          <w:sz w:val="24"/>
          <w:szCs w:val="24"/>
        </w:rPr>
        <w:t>8.3. Все разногласия и споры решаются в претензионном порядке, а при недостижении согласия - в Арбитражном суде Владимирской области.</w:t>
      </w:r>
    </w:p>
    <w:p>
      <w:pPr>
        <w:pStyle w:val="Normal"/>
        <w:tabs>
          <w:tab w:val="left" w:pos="284" w:leader="none"/>
          <w:tab w:val="left" w:pos="709" w:leader="none"/>
        </w:tabs>
        <w:spacing w:lineRule="auto" w:line="240" w:before="120" w:after="0"/>
        <w:ind w:firstLine="567"/>
        <w:contextualSpacing/>
        <w:rPr>
          <w:sz w:val="24"/>
          <w:szCs w:val="24"/>
        </w:rPr>
      </w:pPr>
      <w:r>
        <w:rPr>
          <w:sz w:val="24"/>
          <w:szCs w:val="24"/>
        </w:rPr>
        <w:t>8.4. Вопросы, неурегулированные контрактом, разрешаются в соответствии с действующим законодательством Российской Федерации.</w:t>
      </w:r>
    </w:p>
    <w:p>
      <w:pPr>
        <w:pStyle w:val="Heading1"/>
        <w:keepNext w:val="false"/>
        <w:widowControl w:val="false"/>
        <w:numPr>
          <w:ilvl w:val="0"/>
          <w:numId w:val="0"/>
        </w:numPr>
        <w:spacing w:lineRule="auto" w:line="240" w:before="240" w:after="0"/>
        <w:ind w:hanging="0" w:start="0"/>
        <w:contextualSpacing/>
        <w:rPr>
          <w:szCs w:val="24"/>
        </w:rPr>
      </w:pPr>
      <w:bookmarkStart w:id="14" w:name="_ref_22811749_Копия_1"/>
      <w:bookmarkEnd w:id="14"/>
      <w:r>
        <w:rPr>
          <w:szCs w:val="24"/>
        </w:rPr>
        <w:t xml:space="preserve">9. </w:t>
      </w:r>
      <w:bookmarkStart w:id="15" w:name="_ref_23030044_Копия_1"/>
      <w:r>
        <w:rPr>
          <w:szCs w:val="24"/>
        </w:rPr>
        <w:t>Заключительные положения</w:t>
      </w:r>
      <w:bookmarkEnd w:id="15"/>
    </w:p>
    <w:p>
      <w:pPr>
        <w:pStyle w:val="Heading2"/>
        <w:numPr>
          <w:ilvl w:val="0"/>
          <w:numId w:val="0"/>
        </w:numPr>
        <w:spacing w:lineRule="auto" w:line="240"/>
        <w:ind w:hanging="0" w:start="0"/>
        <w:rPr>
          <w:sz w:val="24"/>
          <w:szCs w:val="24"/>
        </w:rPr>
      </w:pPr>
      <w:r>
        <w:rPr>
          <w:sz w:val="24"/>
          <w:szCs w:val="24"/>
        </w:rPr>
        <w:t>9</w:t>
      </w:r>
      <w:bookmarkStart w:id="16" w:name="_ref_23030047_Копия_1"/>
      <w:r>
        <w:rPr>
          <w:sz w:val="24"/>
          <w:szCs w:val="24"/>
        </w:rPr>
        <w:t>.1. Контракт вступает в силу и становится обязательным для сторон с момента его заключения и действует до полного исполнения обязательств каждой из сторон.</w:t>
      </w:r>
      <w:bookmarkEnd w:id="16"/>
    </w:p>
    <w:p>
      <w:pPr>
        <w:pStyle w:val="Heading2"/>
        <w:numPr>
          <w:ilvl w:val="0"/>
          <w:numId w:val="0"/>
        </w:numPr>
        <w:spacing w:lineRule="auto" w:line="240"/>
        <w:ind w:hanging="0" w:start="0"/>
        <w:rPr>
          <w:sz w:val="24"/>
          <w:szCs w:val="24"/>
        </w:rPr>
      </w:pPr>
      <w:r>
        <w:rPr>
          <w:sz w:val="24"/>
          <w:szCs w:val="24"/>
        </w:rPr>
        <w:t>9</w:t>
      </w:r>
      <w:bookmarkStart w:id="17" w:name="_ref_23030052_Копия_1"/>
      <w:r>
        <w:rPr>
          <w:sz w:val="24"/>
          <w:szCs w:val="24"/>
        </w:rPr>
        <w:t xml:space="preserve">.2. Перечень приложений к </w:t>
      </w:r>
      <w:bookmarkEnd w:id="17"/>
      <w:r>
        <w:rPr>
          <w:sz w:val="24"/>
          <w:szCs w:val="24"/>
        </w:rPr>
        <w:t>Контракту</w:t>
      </w:r>
    </w:p>
    <w:p>
      <w:pPr>
        <w:pStyle w:val="Heading3"/>
        <w:numPr>
          <w:ilvl w:val="0"/>
          <w:numId w:val="0"/>
        </w:numPr>
        <w:spacing w:lineRule="auto" w:line="240"/>
        <w:ind w:hanging="0" w:start="0"/>
        <w:rPr>
          <w:i/>
          <w:sz w:val="24"/>
          <w:szCs w:val="24"/>
        </w:rPr>
      </w:pPr>
      <w:r>
        <w:rPr>
          <w:sz w:val="24"/>
          <w:szCs w:val="24"/>
        </w:rPr>
        <w:t>9</w:t>
      </w:r>
      <w:bookmarkStart w:id="18" w:name="_ref_23073857_Копия_1"/>
      <w:r>
        <w:rPr>
          <w:sz w:val="24"/>
          <w:szCs w:val="24"/>
        </w:rPr>
        <w:t>.2.1. Приложение №</w:t>
      </w:r>
      <w:bookmarkEnd w:id="18"/>
      <w:r>
        <w:rPr>
          <w:sz w:val="24"/>
          <w:szCs w:val="24"/>
        </w:rPr>
        <w:t>: 1 Спецификация</w:t>
      </w:r>
    </w:p>
    <w:p>
      <w:pPr>
        <w:pStyle w:val="Normal"/>
        <w:numPr>
          <w:ilvl w:val="0"/>
          <w:numId w:val="0"/>
        </w:numPr>
        <w:spacing w:lineRule="auto" w:line="240"/>
        <w:ind w:hanging="0" w:start="0"/>
        <w:rPr>
          <w:i w:val="false"/>
          <w:iCs w:val="false"/>
          <w:sz w:val="24"/>
          <w:szCs w:val="24"/>
        </w:rPr>
      </w:pPr>
      <w:r>
        <w:rPr>
          <w:i w:val="false"/>
          <w:iCs w:val="false"/>
          <w:sz w:val="24"/>
          <w:szCs w:val="24"/>
        </w:rPr>
        <w:t>9.2.2. Приложение № 2: Акт приема-передачи</w:t>
      </w:r>
    </w:p>
    <w:p>
      <w:pPr>
        <w:pStyle w:val="Heading3"/>
        <w:numPr>
          <w:ilvl w:val="0"/>
          <w:numId w:val="0"/>
        </w:numPr>
        <w:spacing w:lineRule="auto" w:line="240"/>
        <w:ind w:hanging="0" w:start="0"/>
        <w:rPr>
          <w:sz w:val="24"/>
          <w:szCs w:val="24"/>
        </w:rPr>
      </w:pPr>
      <w:r>
        <w:rPr>
          <w:sz w:val="24"/>
          <w:szCs w:val="24"/>
        </w:rPr>
      </w:r>
    </w:p>
    <w:p>
      <w:pPr>
        <w:pStyle w:val="Heading1"/>
        <w:keepNext w:val="false"/>
        <w:widowControl w:val="false"/>
        <w:spacing w:lineRule="auto" w:line="240" w:before="240" w:after="120"/>
        <w:ind w:firstLine="708" w:start="0"/>
        <w:contextualSpacing/>
        <w:rPr>
          <w:szCs w:val="24"/>
        </w:rPr>
      </w:pPr>
      <w:bookmarkStart w:id="19" w:name="_ref_23191882_Копия_1"/>
      <w:r>
        <w:rPr>
          <w:szCs w:val="24"/>
        </w:rPr>
        <w:t>Адреса и реквизиты сторон</w:t>
      </w:r>
      <w:bookmarkEnd w:id="19"/>
    </w:p>
    <w:tbl>
      <w:tblPr>
        <w:tblW w:w="5000" w:type="pct"/>
        <w:jc w:val="start"/>
        <w:tblInd w:w="115" w:type="dxa"/>
        <w:tblLayout w:type="fixed"/>
        <w:tblCellMar>
          <w:top w:w="0" w:type="dxa"/>
          <w:start w:w="108" w:type="dxa"/>
          <w:bottom w:w="0" w:type="dxa"/>
          <w:end w:w="108" w:type="dxa"/>
        </w:tblCellMar>
        <w:tblLook w:val="00a0" w:firstRow="1" w:noVBand="0" w:lastRow="0" w:firstColumn="1" w:lastColumn="0" w:noHBand="0"/>
      </w:tblPr>
      <w:tblGrid>
        <w:gridCol w:w="4897"/>
        <w:gridCol w:w="5024"/>
      </w:tblGrid>
      <w:tr>
        <w:trPr/>
        <w:tc>
          <w:tcPr>
            <w:tcW w:w="4897" w:type="dxa"/>
            <w:tcBorders>
              <w:top w:val="single" w:sz="6" w:space="0" w:color="000000"/>
              <w:start w:val="single" w:sz="6" w:space="0" w:color="000000"/>
              <w:bottom w:val="single" w:sz="6" w:space="0" w:color="000000"/>
              <w:end w:val="single" w:sz="6" w:space="0" w:color="000000"/>
            </w:tcBorders>
          </w:tcPr>
          <w:p>
            <w:pPr>
              <w:pStyle w:val="Normalunindented"/>
              <w:keepNext w:val="true"/>
              <w:spacing w:lineRule="auto" w:line="240" w:before="120" w:after="120"/>
              <w:jc w:val="center"/>
              <w:rPr/>
            </w:pPr>
            <w:r>
              <w:rPr>
                <w:b/>
              </w:rPr>
              <w:t>Заказчик</w:t>
            </w:r>
          </w:p>
        </w:tc>
        <w:tc>
          <w:tcPr>
            <w:tcW w:w="5024" w:type="dxa"/>
            <w:tcBorders>
              <w:top w:val="single" w:sz="6" w:space="0" w:color="000000"/>
              <w:start w:val="single" w:sz="6" w:space="0" w:color="000000"/>
              <w:bottom w:val="single" w:sz="6" w:space="0" w:color="000000"/>
              <w:end w:val="single" w:sz="6" w:space="0" w:color="000000"/>
            </w:tcBorders>
          </w:tcPr>
          <w:p>
            <w:pPr>
              <w:pStyle w:val="Normalunindented"/>
              <w:keepNext w:val="true"/>
              <w:spacing w:lineRule="auto" w:line="240" w:before="120" w:after="120"/>
              <w:jc w:val="center"/>
              <w:rPr/>
            </w:pPr>
            <w:r>
              <w:rPr>
                <w:b/>
              </w:rPr>
              <w:t>Поставщик</w:t>
            </w:r>
          </w:p>
        </w:tc>
      </w:tr>
      <w:tr>
        <w:trPr/>
        <w:tc>
          <w:tcPr>
            <w:tcW w:w="4897" w:type="dxa"/>
            <w:tcBorders>
              <w:top w:val="single" w:sz="6" w:space="0" w:color="000000"/>
              <w:start w:val="single" w:sz="6" w:space="0" w:color="000000"/>
              <w:bottom w:val="single" w:sz="6" w:space="0" w:color="000000"/>
              <w:end w:val="single" w:sz="6" w:space="0" w:color="000000"/>
            </w:tcBorders>
          </w:tcPr>
          <w:p>
            <w:pPr>
              <w:pStyle w:val="Normal"/>
              <w:widowControl w:val="false"/>
              <w:tabs>
                <w:tab w:val="clear" w:pos="709"/>
                <w:tab w:val="right" w:pos="9600" w:leader="underscore"/>
              </w:tabs>
              <w:spacing w:before="0" w:after="0"/>
              <w:ind w:hanging="0"/>
              <w:textAlignment w:val="baseline"/>
              <w:rPr/>
            </w:pPr>
            <w:r>
              <w:rPr/>
              <w:t>Наименование:</w:t>
            </w:r>
          </w:p>
          <w:p>
            <w:pPr>
              <w:pStyle w:val="Normal"/>
              <w:widowControl w:val="false"/>
              <w:tabs>
                <w:tab w:val="clear" w:pos="709"/>
                <w:tab w:val="right" w:pos="9600" w:leader="underscore"/>
              </w:tabs>
              <w:spacing w:before="0" w:after="0"/>
              <w:ind w:hanging="0"/>
              <w:textAlignment w:val="baseline"/>
              <w:rPr>
                <w:b/>
              </w:rPr>
            </w:pPr>
            <w:r>
              <w:rPr>
                <w:b/>
              </w:rPr>
              <w:t>Государственное бюджетное учреждение дополнительного образования Владимирской области "Комплексная спортивная школа"(ГБУ ДО ВО «КСШ»)</w:t>
            </w:r>
          </w:p>
          <w:p>
            <w:pPr>
              <w:pStyle w:val="Normalunindented"/>
              <w:keepNext w:val="true"/>
              <w:widowControl w:val="false"/>
              <w:spacing w:before="0" w:after="0"/>
              <w:jc w:val="start"/>
              <w:rPr/>
            </w:pPr>
            <w:r>
              <w:rPr/>
              <w:t>Место нахождения:600023, г. Владимир, п.Заклязьменский, ул.Восточная, д.2</w:t>
            </w:r>
          </w:p>
          <w:p>
            <w:pPr>
              <w:pStyle w:val="Normalunindented"/>
              <w:widowControl w:val="false"/>
              <w:spacing w:before="0" w:after="0"/>
              <w:jc w:val="start"/>
              <w:rPr/>
            </w:pPr>
            <w:r>
              <w:rPr/>
              <w:t>Почтовый адрес:600023, г. Владимир, п.Заклязьменский, ул.Восточная, д.2</w:t>
            </w:r>
          </w:p>
          <w:p>
            <w:pPr>
              <w:pStyle w:val="Normal"/>
              <w:widowControl w:val="false"/>
              <w:spacing w:before="0" w:after="0"/>
              <w:ind w:hanging="0"/>
              <w:rPr/>
            </w:pPr>
            <w:r>
              <w:rPr/>
              <w:t>Телефон(4922)22-21-98.</w:t>
            </w:r>
          </w:p>
          <w:p>
            <w:pPr>
              <w:pStyle w:val="Normalunindented"/>
              <w:widowControl w:val="false"/>
              <w:spacing w:before="0" w:after="0"/>
              <w:jc w:val="start"/>
              <w:rPr/>
            </w:pPr>
            <w:r>
              <w:rPr/>
              <w:t>Электронная почта:</w:t>
            </w:r>
            <w:r>
              <w:rPr>
                <w:lang w:val="en-US"/>
              </w:rPr>
              <w:t xml:space="preserve"> koni@minsport.gov33.ru</w:t>
            </w:r>
          </w:p>
          <w:p>
            <w:pPr>
              <w:pStyle w:val="Normal"/>
              <w:widowControl w:val="false"/>
              <w:spacing w:before="0" w:after="0"/>
              <w:ind w:hanging="0"/>
              <w:rPr/>
            </w:pPr>
            <w:r>
              <w:rPr/>
              <w:t>ИНН/КПП 3329049990/332901001</w:t>
            </w:r>
          </w:p>
          <w:p>
            <w:pPr>
              <w:pStyle w:val="Normal"/>
              <w:widowControl w:val="false"/>
              <w:spacing w:before="0" w:after="0"/>
              <w:ind w:hanging="0"/>
              <w:rPr/>
            </w:pPr>
            <w:r>
              <w:rPr/>
              <w:t>ОГРН 1083327002879</w:t>
            </w:r>
          </w:p>
          <w:p>
            <w:pPr>
              <w:pStyle w:val="Normal"/>
              <w:widowControl w:val="false"/>
              <w:spacing w:before="0" w:after="0"/>
              <w:ind w:hanging="0"/>
              <w:rPr/>
            </w:pPr>
            <w:r>
              <w:rPr/>
              <w:t>Банковские реквизиты:</w:t>
            </w:r>
          </w:p>
          <w:p>
            <w:pPr>
              <w:pStyle w:val="Normal"/>
              <w:spacing w:lineRule="auto" w:line="240"/>
              <w:ind w:hanging="0"/>
              <w:rPr/>
            </w:pPr>
            <w:r>
              <w:rPr/>
              <w:t>Получатель: МФ ВО (ГБУ ДО ВО «КСШ», л/с 802Ц0185000)</w:t>
            </w:r>
          </w:p>
          <w:p>
            <w:pPr>
              <w:pStyle w:val="Normal"/>
              <w:widowControl w:val="false"/>
              <w:tabs>
                <w:tab w:val="clear" w:pos="709"/>
                <w:tab w:val="left" w:pos="1680" w:leader="none"/>
              </w:tabs>
              <w:spacing w:before="0" w:after="0"/>
              <w:ind w:hanging="0"/>
              <w:rPr/>
            </w:pPr>
            <w:r>
              <w:rPr/>
              <w:t>Банк: ОКЦ № 1 ВВГУ Банка России //УФК по Нижегородской области г. Нижний Новгород</w:t>
            </w:r>
          </w:p>
          <w:p>
            <w:pPr>
              <w:pStyle w:val="Normal"/>
              <w:widowControl w:val="false"/>
              <w:tabs>
                <w:tab w:val="clear" w:pos="709"/>
                <w:tab w:val="left" w:pos="1680" w:leader="none"/>
              </w:tabs>
              <w:spacing w:before="0" w:after="0"/>
              <w:ind w:hanging="0"/>
              <w:rPr/>
            </w:pPr>
            <w:r>
              <w:rPr/>
              <w:t>Расчетный счет: 03224643170000003201</w:t>
            </w:r>
          </w:p>
          <w:p>
            <w:pPr>
              <w:pStyle w:val="Normal"/>
              <w:spacing w:before="0" w:after="0"/>
              <w:ind w:hanging="0"/>
              <w:rPr/>
            </w:pPr>
            <w:r>
              <w:rPr/>
              <w:t>БИК 012202102</w:t>
            </w:r>
          </w:p>
          <w:p>
            <w:pPr>
              <w:pStyle w:val="Normal"/>
              <w:spacing w:before="0" w:after="0"/>
              <w:ind w:hanging="0"/>
              <w:rPr/>
            </w:pPr>
            <w:r>
              <w:rPr/>
              <w:t>к/с 40102810745370000024</w:t>
            </w:r>
          </w:p>
        </w:tc>
        <w:tc>
          <w:tcPr>
            <w:tcW w:w="5024" w:type="dxa"/>
            <w:tcBorders>
              <w:top w:val="single" w:sz="6" w:space="0" w:color="000000"/>
              <w:start w:val="single" w:sz="6" w:space="0" w:color="000000"/>
              <w:bottom w:val="single" w:sz="6" w:space="0" w:color="000000"/>
              <w:end w:val="single" w:sz="6" w:space="0" w:color="000000"/>
            </w:tcBorders>
          </w:tcPr>
          <w:p>
            <w:pPr>
              <w:pStyle w:val="Normalunindented"/>
              <w:keepNext w:val="true"/>
              <w:spacing w:lineRule="auto" w:line="240" w:before="0" w:after="0"/>
              <w:jc w:val="start"/>
              <w:rPr/>
            </w:pPr>
            <w:r>
              <w:rPr/>
              <w:br/>
              <w:t>Место нахождения:</w:t>
            </w:r>
          </w:p>
          <w:p>
            <w:pPr>
              <w:pStyle w:val="Normalunindented"/>
              <w:spacing w:lineRule="auto" w:line="240" w:before="0" w:after="0"/>
              <w:rPr/>
            </w:pPr>
            <w:r>
              <w:rPr/>
            </w:r>
          </w:p>
          <w:p>
            <w:pPr>
              <w:pStyle w:val="Normalunindented"/>
              <w:spacing w:lineRule="auto" w:line="240" w:before="0" w:after="0"/>
              <w:rPr/>
            </w:pPr>
            <w:r>
              <w:rPr/>
              <w:t>Почтовый адрес:</w:t>
            </w:r>
          </w:p>
          <w:p>
            <w:pPr>
              <w:pStyle w:val="Normalunindented"/>
              <w:spacing w:lineRule="auto" w:line="240" w:before="0" w:after="0"/>
              <w:rPr/>
            </w:pPr>
            <w:r>
              <w:rPr/>
            </w:r>
          </w:p>
          <w:p>
            <w:pPr>
              <w:pStyle w:val="Normalunindented"/>
              <w:spacing w:lineRule="auto" w:line="240" w:before="0" w:after="0"/>
              <w:jc w:val="start"/>
              <w:rPr/>
            </w:pPr>
            <w:r>
              <w:rPr/>
              <w:t>Телефон</w:t>
            </w:r>
          </w:p>
          <w:p>
            <w:pPr>
              <w:pStyle w:val="Normalunindented"/>
              <w:spacing w:lineRule="auto" w:line="240" w:before="0" w:after="0"/>
              <w:jc w:val="start"/>
              <w:rPr/>
            </w:pPr>
            <w:r>
              <w:rPr/>
            </w:r>
          </w:p>
          <w:p>
            <w:pPr>
              <w:pStyle w:val="Normalunindented"/>
              <w:spacing w:lineRule="auto" w:line="240" w:before="0" w:after="0"/>
              <w:jc w:val="start"/>
              <w:rPr/>
            </w:pPr>
            <w:r>
              <w:rPr/>
              <w:t>Факс</w:t>
            </w:r>
          </w:p>
          <w:p>
            <w:pPr>
              <w:pStyle w:val="Normalunindented"/>
              <w:spacing w:lineRule="auto" w:line="240" w:before="0" w:after="0"/>
              <w:jc w:val="start"/>
              <w:rPr/>
            </w:pPr>
            <w:r>
              <w:rPr/>
            </w:r>
          </w:p>
          <w:p>
            <w:pPr>
              <w:pStyle w:val="Normalunindented"/>
              <w:spacing w:lineRule="auto" w:line="240" w:before="0" w:after="0"/>
              <w:jc w:val="start"/>
              <w:rPr/>
            </w:pPr>
            <w:r>
              <w:rPr/>
              <w:t>Электронная почта</w:t>
              <w:br/>
              <w:t>ОГРН</w:t>
              <w:br/>
              <w:t>ИНН</w:t>
              <w:br/>
              <w:t>КПП</w:t>
              <w:br/>
              <w:t>Р/с</w:t>
              <w:br/>
              <w:t>в</w:t>
              <w:br/>
              <w:t>К/с</w:t>
              <w:br/>
              <w:t>БИК</w:t>
            </w:r>
          </w:p>
        </w:tc>
      </w:tr>
      <w:tr>
        <w:trPr/>
        <w:tc>
          <w:tcPr>
            <w:tcW w:w="4897" w:type="dxa"/>
            <w:tcBorders>
              <w:top w:val="single" w:sz="6" w:space="0" w:color="000000"/>
              <w:start w:val="single" w:sz="6" w:space="0" w:color="000000"/>
              <w:bottom w:val="single" w:sz="6" w:space="0" w:color="000000"/>
              <w:end w:val="single" w:sz="6" w:space="0" w:color="000000"/>
            </w:tcBorders>
          </w:tcPr>
          <w:p>
            <w:pPr>
              <w:pStyle w:val="Normalunindented"/>
              <w:keepNext w:val="true"/>
              <w:spacing w:lineRule="auto" w:line="240" w:before="0" w:after="0"/>
              <w:jc w:val="start"/>
              <w:rPr/>
            </w:pPr>
            <w:r>
              <w:rPr/>
              <w:t>от имени Заказчика:</w:t>
              <w:br/>
            </w:r>
            <w:r>
              <w:rPr>
                <w:u w:val="single"/>
              </w:rPr>
              <w:t>Директор</w:t>
            </w:r>
          </w:p>
          <w:p>
            <w:pPr>
              <w:pStyle w:val="Normalunindented"/>
              <w:spacing w:lineRule="auto" w:line="240" w:before="0" w:after="0"/>
              <w:jc w:val="start"/>
              <w:rPr/>
            </w:pPr>
            <w:r>
              <w:rPr/>
              <w:br/>
            </w:r>
            <w:r>
              <w:rPr>
                <w:u w:val="single"/>
              </w:rPr>
              <w:t xml:space="preserve"> (подпись) </w:t>
            </w:r>
            <w:r>
              <w:rPr/>
              <w:t>/</w:t>
            </w:r>
            <w:r>
              <w:rPr>
                <w:u w:val="single"/>
              </w:rPr>
              <w:t xml:space="preserve"> Горбунова Е.В. </w:t>
            </w:r>
            <w:r>
              <w:rPr/>
              <w:t>/</w:t>
              <w:br/>
              <w:t>М.П.</w:t>
            </w:r>
          </w:p>
        </w:tc>
        <w:tc>
          <w:tcPr>
            <w:tcW w:w="5024" w:type="dxa"/>
            <w:tcBorders>
              <w:top w:val="single" w:sz="6" w:space="0" w:color="000000"/>
              <w:start w:val="single" w:sz="6" w:space="0" w:color="000000"/>
              <w:bottom w:val="single" w:sz="6" w:space="0" w:color="000000"/>
              <w:end w:val="single" w:sz="6" w:space="0" w:color="000000"/>
            </w:tcBorders>
          </w:tcPr>
          <w:p>
            <w:pPr>
              <w:pStyle w:val="Normalunindented"/>
              <w:keepNext w:val="true"/>
              <w:spacing w:lineRule="auto" w:line="240" w:before="0" w:after="0"/>
              <w:jc w:val="start"/>
              <w:rPr/>
            </w:pPr>
            <w:r>
              <w:rPr/>
              <w:t>от имени Поставщик:</w:t>
              <w:br/>
            </w:r>
            <w:r>
              <w:rPr>
                <w:u w:val="single"/>
              </w:rPr>
              <w:t xml:space="preserve"> (должность) </w:t>
            </w:r>
            <w:r>
              <w:rPr/>
              <w:br/>
            </w:r>
            <w:r>
              <w:rPr>
                <w:u w:val="single"/>
              </w:rPr>
              <w:t xml:space="preserve"> (подпись) </w:t>
            </w:r>
            <w:r>
              <w:rPr/>
              <w:t>/</w:t>
            </w:r>
            <w:r>
              <w:rPr>
                <w:u w:val="single"/>
              </w:rPr>
              <w:t xml:space="preserve"> (Ф.И.О.) </w:t>
            </w:r>
            <w:r>
              <w:rPr/>
              <w:t>/</w:t>
              <w:br/>
              <w:t>М.П.</w:t>
            </w:r>
          </w:p>
        </w:tc>
      </w:tr>
    </w:tbl>
    <w:p>
      <w:pPr>
        <w:sectPr>
          <w:footerReference w:type="even" r:id="rId6"/>
          <w:footerReference w:type="default" r:id="rId7"/>
          <w:footerReference w:type="first" r:id="rId8"/>
          <w:type w:val="nextPage"/>
          <w:pgSz w:w="11906" w:h="16838"/>
          <w:pgMar w:left="1418" w:right="567" w:gutter="0" w:header="0" w:top="1134" w:footer="720" w:bottom="1134"/>
          <w:pgNumType w:start="1" w:fmt="decimal"/>
          <w:formProt w:val="false"/>
          <w:textDirection w:val="lrTb"/>
          <w:docGrid w:type="default" w:linePitch="299" w:charSpace="0"/>
        </w:sectPr>
      </w:pPr>
    </w:p>
    <w:p>
      <w:pPr>
        <w:pStyle w:val="Normal"/>
        <w:spacing w:lineRule="auto" w:line="240"/>
        <w:ind w:hanging="0" w:start="0"/>
        <w:jc w:val="end"/>
        <w:rPr/>
      </w:pPr>
      <w:r>
        <w:rPr/>
        <w:t>Приложение № 1</w:t>
        <w:br/>
        <w:t xml:space="preserve">к контракту на поставку </w:t>
        <w:br/>
        <w:t>№ ____ от "____" _______________ _____ г.</w:t>
      </w:r>
    </w:p>
    <w:p>
      <w:pPr>
        <w:pStyle w:val="Title"/>
        <w:spacing w:lineRule="auto" w:line="240"/>
        <w:rPr/>
      </w:pPr>
      <w:r>
        <w:rPr/>
        <w:t>Спецификация № 1</w:t>
      </w:r>
    </w:p>
    <w:p>
      <w:pPr>
        <w:pStyle w:val="Title"/>
        <w:spacing w:lineRule="auto" w:line="240"/>
        <w:rPr/>
      </w:pPr>
      <w:r>
        <w:rPr>
          <w:sz w:val="18"/>
          <w:szCs w:val="18"/>
        </w:rPr>
        <w:t>Поставщик обязуется по заданию Заказчика поставить следующий товар, и передать в установленные сроки Заказчику:</w:t>
      </w:r>
    </w:p>
    <w:tbl>
      <w:tblPr>
        <w:tblW w:w="14400" w:type="dxa"/>
        <w:jc w:val="start"/>
        <w:tblInd w:w="113" w:type="dxa"/>
        <w:tblLayout w:type="fixed"/>
        <w:tblCellMar>
          <w:top w:w="0" w:type="dxa"/>
          <w:start w:w="108" w:type="dxa"/>
          <w:bottom w:w="0" w:type="dxa"/>
          <w:end w:w="108" w:type="dxa"/>
        </w:tblCellMar>
        <w:tblLook w:val="00a0" w:firstRow="1" w:noVBand="0" w:lastRow="0" w:firstColumn="1" w:lastColumn="0" w:noHBand="0"/>
      </w:tblPr>
      <w:tblGrid>
        <w:gridCol w:w="404"/>
        <w:gridCol w:w="1433"/>
        <w:gridCol w:w="2638"/>
        <w:gridCol w:w="3374"/>
        <w:gridCol w:w="812"/>
        <w:gridCol w:w="939"/>
        <w:gridCol w:w="714"/>
        <w:gridCol w:w="900"/>
        <w:gridCol w:w="3186"/>
      </w:tblGrid>
      <w:tr>
        <w:trPr>
          <w:trHeight w:val="2038" w:hRule="atLeast"/>
        </w:trPr>
        <w:tc>
          <w:tcPr>
            <w:tcW w:w="404" w:type="dxa"/>
            <w:tcBorders>
              <w:top w:val="single" w:sz="4" w:space="0" w:color="000000"/>
              <w:start w:val="single" w:sz="4" w:space="0" w:color="000000"/>
              <w:bottom w:val="single" w:sz="4" w:space="0" w:color="000000"/>
              <w:end w:val="single" w:sz="4" w:space="0" w:color="000000"/>
            </w:tcBorders>
          </w:tcPr>
          <w:p>
            <w:pPr>
              <w:pStyle w:val="Normal"/>
              <w:spacing w:before="120" w:after="120"/>
              <w:ind w:hanging="0"/>
              <w:jc w:val="start"/>
              <w:rPr>
                <w:sz w:val="18"/>
                <w:szCs w:val="18"/>
              </w:rPr>
            </w:pPr>
            <w:r>
              <w:rPr>
                <w:sz w:val="18"/>
                <w:szCs w:val="18"/>
              </w:rPr>
              <w:t>№</w:t>
            </w:r>
          </w:p>
        </w:tc>
        <w:tc>
          <w:tcPr>
            <w:tcW w:w="1433" w:type="dxa"/>
            <w:tcBorders>
              <w:top w:val="single" w:sz="4" w:space="0" w:color="000000"/>
              <w:start w:val="single" w:sz="4" w:space="0" w:color="000000"/>
              <w:bottom w:val="single" w:sz="4" w:space="0" w:color="000000"/>
              <w:end w:val="single" w:sz="4" w:space="0" w:color="000000"/>
            </w:tcBorders>
          </w:tcPr>
          <w:p>
            <w:pPr>
              <w:pStyle w:val="Normal"/>
              <w:spacing w:before="120" w:after="120"/>
              <w:ind w:hanging="0"/>
              <w:jc w:val="start"/>
              <w:rPr>
                <w:sz w:val="18"/>
                <w:szCs w:val="18"/>
              </w:rPr>
            </w:pPr>
            <w:r>
              <w:rPr>
                <w:sz w:val="18"/>
                <w:szCs w:val="18"/>
              </w:rPr>
              <w:t>Наименование товара/( производитель,</w:t>
            </w:r>
          </w:p>
          <w:p>
            <w:pPr>
              <w:pStyle w:val="Normal"/>
              <w:spacing w:before="120" w:after="120"/>
              <w:ind w:hanging="0"/>
              <w:jc w:val="start"/>
              <w:rPr>
                <w:sz w:val="18"/>
                <w:szCs w:val="18"/>
              </w:rPr>
            </w:pPr>
            <w:r>
              <w:rPr>
                <w:sz w:val="18"/>
                <w:szCs w:val="18"/>
              </w:rPr>
              <w:t>страна происхождения)</w:t>
            </w:r>
          </w:p>
        </w:tc>
        <w:tc>
          <w:tcPr>
            <w:tcW w:w="6012" w:type="dxa"/>
            <w:gridSpan w:val="2"/>
            <w:tcBorders>
              <w:top w:val="single" w:sz="4" w:space="0" w:color="000000"/>
              <w:start w:val="single" w:sz="4" w:space="0" w:color="000000"/>
              <w:bottom w:val="single" w:sz="4" w:space="0" w:color="000000"/>
              <w:end w:val="single" w:sz="4" w:space="0" w:color="000000"/>
            </w:tcBorders>
          </w:tcPr>
          <w:p>
            <w:pPr>
              <w:pStyle w:val="Normal"/>
              <w:spacing w:before="120" w:after="120"/>
              <w:ind w:hanging="0"/>
              <w:jc w:val="center"/>
              <w:rPr>
                <w:sz w:val="18"/>
                <w:szCs w:val="18"/>
              </w:rPr>
            </w:pPr>
            <w:r>
              <w:rPr>
                <w:sz w:val="18"/>
                <w:szCs w:val="18"/>
              </w:rPr>
              <w:t>Характеристики</w:t>
            </w:r>
          </w:p>
        </w:tc>
        <w:tc>
          <w:tcPr>
            <w:tcW w:w="812" w:type="dxa"/>
            <w:tcBorders>
              <w:top w:val="single" w:sz="4" w:space="0" w:color="000000"/>
              <w:start w:val="single" w:sz="4" w:space="0" w:color="000000"/>
              <w:bottom w:val="single" w:sz="4" w:space="0" w:color="000000"/>
              <w:end w:val="single" w:sz="4" w:space="0" w:color="000000"/>
            </w:tcBorders>
          </w:tcPr>
          <w:p>
            <w:pPr>
              <w:pStyle w:val="Normal"/>
              <w:spacing w:before="120" w:after="120"/>
              <w:ind w:hanging="0"/>
              <w:jc w:val="start"/>
              <w:rPr>
                <w:sz w:val="18"/>
                <w:szCs w:val="18"/>
              </w:rPr>
            </w:pPr>
            <w:r>
              <w:rPr>
                <w:sz w:val="18"/>
                <w:szCs w:val="18"/>
              </w:rPr>
              <w:t>Ед-ца измерения</w:t>
            </w:r>
          </w:p>
        </w:tc>
        <w:tc>
          <w:tcPr>
            <w:tcW w:w="939" w:type="dxa"/>
            <w:tcBorders>
              <w:top w:val="single" w:sz="4" w:space="0" w:color="000000"/>
              <w:start w:val="single" w:sz="4" w:space="0" w:color="000000"/>
              <w:bottom w:val="single" w:sz="4" w:space="0" w:color="000000"/>
              <w:end w:val="single" w:sz="4" w:space="0" w:color="000000"/>
            </w:tcBorders>
          </w:tcPr>
          <w:p>
            <w:pPr>
              <w:pStyle w:val="Normal"/>
              <w:spacing w:before="120" w:after="120"/>
              <w:ind w:hanging="0"/>
              <w:jc w:val="start"/>
              <w:rPr>
                <w:sz w:val="18"/>
                <w:szCs w:val="18"/>
              </w:rPr>
            </w:pPr>
            <w:r>
              <w:rPr>
                <w:bCs/>
                <w:sz w:val="18"/>
                <w:szCs w:val="18"/>
              </w:rPr>
              <w:t>Цена за единицу измерения, рублей</w:t>
            </w:r>
          </w:p>
        </w:tc>
        <w:tc>
          <w:tcPr>
            <w:tcW w:w="714" w:type="dxa"/>
            <w:tcBorders>
              <w:top w:val="single" w:sz="4" w:space="0" w:color="000000"/>
              <w:start w:val="single" w:sz="4" w:space="0" w:color="000000"/>
              <w:bottom w:val="single" w:sz="4" w:space="0" w:color="000000"/>
              <w:end w:val="single" w:sz="4" w:space="0" w:color="000000"/>
            </w:tcBorders>
          </w:tcPr>
          <w:p>
            <w:pPr>
              <w:pStyle w:val="Normal"/>
              <w:spacing w:before="120" w:after="120"/>
              <w:ind w:hanging="0"/>
              <w:jc w:val="start"/>
              <w:rPr>
                <w:sz w:val="18"/>
                <w:szCs w:val="18"/>
              </w:rPr>
            </w:pPr>
            <w:r>
              <w:rPr>
                <w:sz w:val="18"/>
                <w:szCs w:val="18"/>
              </w:rPr>
              <w:t>Кол-во</w:t>
            </w:r>
          </w:p>
        </w:tc>
        <w:tc>
          <w:tcPr>
            <w:tcW w:w="900" w:type="dxa"/>
            <w:tcBorders>
              <w:top w:val="single" w:sz="4" w:space="0" w:color="000000"/>
              <w:start w:val="single" w:sz="4" w:space="0" w:color="000000"/>
              <w:bottom w:val="single" w:sz="4" w:space="0" w:color="000000"/>
              <w:end w:val="single" w:sz="4" w:space="0" w:color="000000"/>
            </w:tcBorders>
          </w:tcPr>
          <w:p>
            <w:pPr>
              <w:pStyle w:val="Normal"/>
              <w:spacing w:before="120" w:after="120"/>
              <w:ind w:hanging="0"/>
              <w:jc w:val="start"/>
              <w:rPr>
                <w:sz w:val="18"/>
                <w:szCs w:val="18"/>
              </w:rPr>
            </w:pPr>
            <w:r>
              <w:rPr>
                <w:sz w:val="18"/>
                <w:szCs w:val="18"/>
              </w:rPr>
              <w:t>Сумма, руб</w:t>
            </w:r>
          </w:p>
        </w:tc>
        <w:tc>
          <w:tcPr>
            <w:tcW w:w="3186" w:type="dxa"/>
            <w:tcBorders>
              <w:top w:val="single" w:sz="4" w:space="0" w:color="000000"/>
              <w:start w:val="single" w:sz="4" w:space="0" w:color="000000"/>
              <w:bottom w:val="single" w:sz="4" w:space="0" w:color="000000"/>
              <w:end w:val="single" w:sz="4" w:space="0" w:color="000000"/>
            </w:tcBorders>
          </w:tcPr>
          <w:p>
            <w:pPr>
              <w:pStyle w:val="Normal"/>
              <w:spacing w:before="120" w:after="120"/>
              <w:ind w:firstLine="708" w:end="463"/>
              <w:jc w:val="center"/>
              <w:rPr>
                <w:sz w:val="18"/>
                <w:szCs w:val="18"/>
              </w:rPr>
            </w:pPr>
            <w:r>
              <w:rPr>
                <w:sz w:val="18"/>
                <w:szCs w:val="18"/>
              </w:rPr>
              <w:t xml:space="preserve">Требования к качеству гарантии </w:t>
              <w:br/>
              <w:t>товара</w:t>
            </w:r>
          </w:p>
        </w:tc>
      </w:tr>
      <w:tr>
        <w:trPr/>
        <w:tc>
          <w:tcPr>
            <w:tcW w:w="404" w:type="dxa"/>
            <w:vMerge w:val="restart"/>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restart"/>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p>
            <w:pPr>
              <w:pStyle w:val="Normal"/>
              <w:spacing w:before="120" w:after="120"/>
              <w:ind w:hanging="0" w:start="0"/>
              <w:jc w:val="center"/>
              <w:rPr>
                <w:sz w:val="20"/>
                <w:szCs w:val="20"/>
              </w:rPr>
            </w:pPr>
            <w:r>
              <w:rPr>
                <w:sz w:val="20"/>
                <w:szCs w:val="20"/>
              </w:rPr>
              <w:t xml:space="preserve">Аппарат УВТ </w:t>
            </w:r>
            <w:r>
              <w:rPr>
                <w:sz w:val="20"/>
                <w:szCs w:val="20"/>
                <w:lang w:val="en-US"/>
              </w:rPr>
              <w:t>SW-10</w:t>
            </w:r>
            <w:r>
              <w:rPr>
                <w:sz w:val="20"/>
                <w:szCs w:val="20"/>
              </w:rPr>
              <w:t>/(производитель, страна происхождения)</w:t>
            </w:r>
          </w:p>
        </w:tc>
        <w:tc>
          <w:tcPr>
            <w:tcW w:w="6012" w:type="dxa"/>
            <w:gridSpan w:val="2"/>
            <w:tcBorders>
              <w:top w:val="single" w:sz="4" w:space="0" w:color="000000"/>
              <w:start w:val="single" w:sz="4" w:space="0" w:color="000000"/>
              <w:bottom w:val="single" w:sz="4" w:space="0" w:color="000000"/>
              <w:end w:val="single" w:sz="4" w:space="0" w:color="000000"/>
            </w:tcBorders>
          </w:tcPr>
          <w:p>
            <w:pPr>
              <w:pStyle w:val="Standard"/>
              <w:widowControl/>
              <w:suppressAutoHyphens w:val="true"/>
              <w:spacing w:before="0" w:after="0"/>
              <w:jc w:val="center"/>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Технические характеристики</w:t>
            </w:r>
          </w:p>
        </w:tc>
        <w:tc>
          <w:tcPr>
            <w:tcW w:w="812" w:type="dxa"/>
            <w:vMerge w:val="restart"/>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restart"/>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restart"/>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restart"/>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p>
            <w:pPr>
              <w:pStyle w:val="Normal"/>
              <w:widowControl w:val="false"/>
              <w:spacing w:lineRule="auto" w:line="240" w:before="0" w:after="0"/>
              <w:ind w:hanging="0"/>
              <w:textAlignment w:val="baseline"/>
              <w:rPr>
                <w:sz w:val="18"/>
                <w:szCs w:val="18"/>
              </w:rPr>
            </w:pPr>
            <w:r>
              <w:rPr>
                <w:rFonts w:eastAsia="NSimSun" w:cs="Arial" w:ascii="Liberation Serif" w:hAnsi="Liberation Serif"/>
                <w:kern w:val="2"/>
                <w:sz w:val="18"/>
                <w:szCs w:val="18"/>
                <w:lang w:eastAsia="zh-CN" w:bidi="hi-IN"/>
              </w:rPr>
              <w:t xml:space="preserve">   </w:t>
            </w:r>
            <w:r>
              <w:rPr>
                <w:rFonts w:eastAsia="NSimSun" w:cs="Arial" w:ascii="Liberation Serif" w:hAnsi="Liberation Serif"/>
                <w:kern w:val="2"/>
                <w:sz w:val="18"/>
                <w:szCs w:val="18"/>
                <w:lang w:eastAsia="zh-CN" w:bidi="hi-IN"/>
              </w:rPr>
              <w:t>Поставщик гарантирует качество и безопасность поставляемого Товара в соответствии с действующими стандартами, утвержденными на данный вид Товара с предоставлением сертификатов, обязательных для данного вида Товара в соответствии с законодательством Российской Федерации</w:t>
            </w:r>
            <w:r>
              <w:rPr>
                <w:rFonts w:eastAsia="NSimSun" w:cs="Arial" w:ascii="Liberation Serif" w:hAnsi="Liberation Serif"/>
                <w:bCs/>
                <w:kern w:val="2"/>
                <w:sz w:val="18"/>
                <w:szCs w:val="18"/>
                <w:lang w:eastAsia="zh-CN" w:bidi="hi-IN"/>
              </w:rPr>
              <w:t>.</w:t>
            </w:r>
          </w:p>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ascii="Liberation Serif" w:hAnsi="Liberation Serif"/>
                <w:kern w:val="2"/>
                <w:sz w:val="18"/>
                <w:szCs w:val="18"/>
                <w:lang w:eastAsia="zh-CN" w:bidi="hi-IN"/>
              </w:rPr>
              <w:t xml:space="preserve">      </w:t>
            </w:r>
            <w:r>
              <w:rPr>
                <w:rFonts w:eastAsia="NSimSun" w:cs="Arial" w:ascii="Liberation Serif" w:hAnsi="Liberation Serif"/>
                <w:kern w:val="2"/>
                <w:sz w:val="18"/>
                <w:szCs w:val="18"/>
                <w:lang w:eastAsia="zh-CN" w:bidi="hi-IN"/>
              </w:rPr>
              <w:t>В случае обнаружения некачественного Товара в процессе его использования Заказчик письменно уведомляет Поставщика о выявленных недостатках. По данному факту Стороны составляют и подписывают акт, где указывается количество и срок замены некачественного Товара</w:t>
            </w:r>
            <w:r>
              <w:rPr>
                <w:rFonts w:eastAsia="NSimSun" w:cs="Arial" w:ascii="Liberation Serif" w:hAnsi="Liberation Serif"/>
                <w:kern w:val="2"/>
                <w:sz w:val="24"/>
                <w:szCs w:val="24"/>
                <w:lang w:eastAsia="zh-CN" w:bidi="hi-IN"/>
              </w:rPr>
              <w:t xml:space="preserve"> </w:t>
            </w:r>
            <w:r>
              <w:rPr>
                <w:rFonts w:eastAsia="NSimSun" w:cs="Arial" w:ascii="Liberation Serif" w:hAnsi="Liberation Serif"/>
                <w:kern w:val="2"/>
                <w:sz w:val="18"/>
                <w:szCs w:val="18"/>
                <w:lang w:eastAsia="zh-CN" w:bidi="hi-IN"/>
              </w:rPr>
              <w:t>Поставщиком.</w:t>
            </w:r>
          </w:p>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ascii="Liberation Serif" w:hAnsi="Liberation Serif"/>
                <w:kern w:val="2"/>
                <w:sz w:val="18"/>
                <w:szCs w:val="18"/>
                <w:lang w:eastAsia="zh-CN" w:bidi="hi-IN"/>
              </w:rPr>
              <w:t xml:space="preserve">    </w:t>
            </w:r>
            <w:r>
              <w:rPr>
                <w:rFonts w:eastAsia="NSimSun" w:cs="Arial" w:ascii="Liberation Serif" w:hAnsi="Liberation Serif"/>
                <w:kern w:val="2"/>
                <w:sz w:val="18"/>
                <w:szCs w:val="18"/>
                <w:lang w:eastAsia="zh-CN" w:bidi="hi-IN"/>
              </w:rPr>
              <w:t>При обнаружении несоответствий поставленного Товара требованиям Контракта, за исключением несоответствий, вызванных нормальной эксплуатацией Товара, Поставщик обязан в трехдневный срок со дня получения уведомления от Заказчика, заменить несоответствующий Товар на Товар, соответствующий требованиям Контракта.</w:t>
            </w:r>
            <w:bookmarkStart w:id="20" w:name="_ref_21267937_Копия_1"/>
          </w:p>
          <w:p>
            <w:pPr>
              <w:pStyle w:val="Normal"/>
              <w:tabs>
                <w:tab w:val="clear" w:pos="709"/>
                <w:tab w:val="left" w:pos="120" w:leader="none"/>
              </w:tabs>
              <w:spacing w:lineRule="auto" w:line="240" w:before="0" w:after="0"/>
              <w:ind w:hanging="0"/>
              <w:textAlignment w:val="baseline"/>
              <w:rPr>
                <w:sz w:val="18"/>
                <w:szCs w:val="18"/>
              </w:rPr>
            </w:pPr>
            <w:r>
              <w:rPr>
                <w:rFonts w:eastAsia="NSimSun" w:cs="Arial" w:ascii="Liberation Serif" w:hAnsi="Liberation Serif"/>
                <w:kern w:val="2"/>
                <w:sz w:val="18"/>
                <w:szCs w:val="18"/>
                <w:lang w:eastAsia="zh-CN" w:bidi="hi-IN"/>
              </w:rPr>
              <w:t xml:space="preserve">   </w:t>
            </w:r>
            <w:bookmarkEnd w:id="20"/>
            <w:r>
              <w:rPr>
                <w:rFonts w:eastAsia="NSimSun" w:cs="Arial" w:ascii="Liberation Serif" w:hAnsi="Liberation Serif"/>
                <w:kern w:val="2"/>
                <w:sz w:val="18"/>
                <w:szCs w:val="18"/>
                <w:shd w:fill="FFFFFF" w:val="clear"/>
                <w:lang w:eastAsia="zh-CN" w:bidi="hi-IN"/>
              </w:rPr>
              <w:t xml:space="preserve"> </w:t>
            </w:r>
            <w:r>
              <w:rPr>
                <w:rFonts w:eastAsia="NSimSun" w:cs="Arial" w:ascii="Liberation Serif" w:hAnsi="Liberation Serif"/>
                <w:kern w:val="2"/>
                <w:sz w:val="18"/>
                <w:szCs w:val="18"/>
                <w:shd w:fill="FFFFFF" w:val="clear"/>
                <w:lang w:eastAsia="zh-CN" w:bidi="hi-IN"/>
              </w:rPr>
              <w:t>Объем предоставления гарантии качества поставленного товара: 100%.</w:t>
            </w:r>
          </w:p>
          <w:p>
            <w:pPr>
              <w:pStyle w:val="Normal"/>
              <w:spacing w:before="120" w:after="120"/>
              <w:rPr/>
            </w:pPr>
            <w:r>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Принцип действия</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Свободная радиальная терапия ударной волны с компрессорным принципом генерации энергии. Пневматика.</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Уровни энергии</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60 - 185 мДж (эквивалентный 1-10 бар)</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Частота</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1-21Гц.</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Ресурс 1 ударной пули</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до 1 млн ударов.</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Программы</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более 25 заданных предложений лечения</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Параметры сети</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100V — 220В, 50 — 60Гц.</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Мощность</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380 Вт</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Вес</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Не более 24 кг.</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6012" w:type="dxa"/>
            <w:gridSpan w:val="2"/>
            <w:tcBorders>
              <w:start w:val="single" w:sz="4" w:space="0" w:color="000000"/>
              <w:bottom w:val="single" w:sz="4" w:space="0" w:color="000000"/>
              <w:end w:val="single" w:sz="4" w:space="0" w:color="000000"/>
            </w:tcBorders>
          </w:tcPr>
          <w:p>
            <w:pPr>
              <w:pStyle w:val="Standard"/>
              <w:widowControl/>
              <w:suppressAutoHyphens w:val="true"/>
              <w:spacing w:before="0" w:after="0"/>
              <w:jc w:val="center"/>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Комплектация</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Манипула УВТ</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1 шт</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Насадки УВТ (всего 5 шт.)</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Большая: 2.5 см, 2.0 см</w:t>
            </w:r>
          </w:p>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Средняя: 1,5 см, 1 см</w:t>
            </w:r>
          </w:p>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Маленькая: 0.6 см</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Кейс транспортировочный</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1 шт.</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Щётка-ёршик для прочистки манипулы</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1 шт.</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Запасные стальные стержни</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4 шт.</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Ремкомплект</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1 шт.</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Сетевой кабель</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1 шт.</w:t>
            </w:r>
          </w:p>
        </w:tc>
        <w:tc>
          <w:tcPr>
            <w:tcW w:w="812"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vMerge w:val="continue"/>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6012" w:type="dxa"/>
            <w:gridSpan w:val="2"/>
            <w:tcBorders>
              <w:start w:val="single" w:sz="4" w:space="0" w:color="000000"/>
              <w:bottom w:val="single" w:sz="4" w:space="0" w:color="000000"/>
              <w:end w:val="single" w:sz="4" w:space="0" w:color="000000"/>
            </w:tcBorders>
          </w:tcPr>
          <w:p>
            <w:pPr>
              <w:pStyle w:val="Standard"/>
              <w:widowControl/>
              <w:suppressAutoHyphens w:val="true"/>
              <w:spacing w:before="0" w:after="0"/>
              <w:jc w:val="center"/>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Гарантийные обязательства</w:t>
            </w:r>
          </w:p>
        </w:tc>
        <w:tc>
          <w:tcPr>
            <w:tcW w:w="812"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Гарантия на аппарат</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2 года</w:t>
            </w:r>
          </w:p>
        </w:tc>
        <w:tc>
          <w:tcPr>
            <w:tcW w:w="812"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r>
        <w:trPr/>
        <w:tc>
          <w:tcPr>
            <w:tcW w:w="404"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1433"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2638" w:type="dxa"/>
            <w:tcBorders>
              <w:start w:val="single" w:sz="4" w:space="0" w:color="000000"/>
              <w:bottom w:val="single" w:sz="4" w:space="0" w:color="000000"/>
            </w:tcBorders>
          </w:tcPr>
          <w:p>
            <w:pPr>
              <w:pStyle w:val="Standard"/>
              <w:widowControl/>
              <w:suppressAutoHyphens w:val="true"/>
              <w:spacing w:before="0" w:after="0"/>
              <w:jc w:val="start"/>
              <w:textAlignment w:val="baseline"/>
              <w:rPr>
                <w:rFonts w:ascii="Liberation Serif" w:hAnsi="Liberation Serif" w:eastAsia="NSimSun" w:cs="Arial"/>
                <w:kern w:val="2"/>
                <w:sz w:val="18"/>
                <w:szCs w:val="18"/>
                <w:lang w:val="ru-RU" w:eastAsia="zh-CN" w:bidi="hi-IN"/>
              </w:rPr>
            </w:pPr>
            <w:r>
              <w:rPr>
                <w:rFonts w:eastAsia="NSimSun" w:cs="Times New Roman" w:ascii="Times New Roman" w:hAnsi="Times New Roman"/>
                <w:kern w:val="2"/>
                <w:sz w:val="18"/>
                <w:szCs w:val="18"/>
                <w:lang w:val="ru-RU" w:eastAsia="zh-CN" w:bidi="hi-IN"/>
              </w:rPr>
              <w:t>Сервисный центр</w:t>
            </w:r>
          </w:p>
        </w:tc>
        <w:tc>
          <w:tcPr>
            <w:tcW w:w="3374" w:type="dxa"/>
            <w:tcBorders>
              <w:start w:val="single" w:sz="4" w:space="0" w:color="000000"/>
              <w:bottom w:val="single" w:sz="4" w:space="0" w:color="000000"/>
              <w:end w:val="single" w:sz="4" w:space="0" w:color="000000"/>
            </w:tcBorders>
          </w:tcPr>
          <w:p>
            <w:pPr>
              <w:pStyle w:val="Standard"/>
              <w:widowControl/>
              <w:suppressAutoHyphens w:val="true"/>
              <w:spacing w:before="0" w:after="0"/>
              <w:jc w:val="start"/>
              <w:textAlignment w:val="baseline"/>
              <w:rPr>
                <w:rFonts w:ascii="Times New Roman" w:hAnsi="Times New Roman" w:eastAsia="NSimSun" w:cs="Times New Roman"/>
                <w:kern w:val="2"/>
                <w:sz w:val="18"/>
                <w:szCs w:val="18"/>
                <w:lang w:val="ru-RU" w:eastAsia="zh-CN" w:bidi="hi-IN"/>
              </w:rPr>
            </w:pPr>
            <w:r>
              <w:rPr>
                <w:rFonts w:eastAsia="NSimSun" w:cs="Times New Roman" w:ascii="Times New Roman" w:hAnsi="Times New Roman"/>
                <w:kern w:val="2"/>
                <w:sz w:val="18"/>
                <w:szCs w:val="18"/>
                <w:lang w:val="ru-RU" w:eastAsia="zh-CN" w:bidi="hi-IN"/>
              </w:rPr>
              <w:t>Да. С возможностью выездного ТО и ремонта (при необходимости)</w:t>
            </w:r>
          </w:p>
        </w:tc>
        <w:tc>
          <w:tcPr>
            <w:tcW w:w="812"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39"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714"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900" w:type="dxa"/>
            <w:tcBorders>
              <w:start w:val="single" w:sz="4" w:space="0" w:color="000000"/>
              <w:bottom w:val="single" w:sz="4" w:space="0" w:color="000000"/>
              <w:end w:val="single" w:sz="4" w:space="0" w:color="000000"/>
            </w:tcBorders>
          </w:tcPr>
          <w:p>
            <w:pPr>
              <w:pStyle w:val="Normal"/>
              <w:spacing w:before="120" w:after="120"/>
              <w:jc w:val="center"/>
              <w:rPr>
                <w:sz w:val="24"/>
                <w:szCs w:val="24"/>
              </w:rPr>
            </w:pPr>
            <w:r>
              <w:rPr>
                <w:sz w:val="24"/>
                <w:szCs w:val="24"/>
              </w:rPr>
            </w:r>
          </w:p>
        </w:tc>
        <w:tc>
          <w:tcPr>
            <w:tcW w:w="318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ind w:hanging="0"/>
              <w:textAlignment w:val="baseline"/>
              <w:rPr>
                <w:rFonts w:ascii="Liberation Serif" w:hAnsi="Liberation Serif" w:eastAsia="NSimSun" w:cs="Arial" w:hint="eastAsia"/>
                <w:kern w:val="2"/>
                <w:sz w:val="24"/>
                <w:szCs w:val="24"/>
                <w:lang w:eastAsia="zh-CN" w:bidi="hi-IN"/>
              </w:rPr>
            </w:pPr>
            <w:r>
              <w:rPr>
                <w:rFonts w:eastAsia="NSimSun" w:cs="Arial" w:hint="eastAsia" w:ascii="Liberation Serif" w:hAnsi="Liberation Serif"/>
                <w:kern w:val="2"/>
                <w:sz w:val="24"/>
                <w:szCs w:val="24"/>
                <w:lang w:eastAsia="zh-CN" w:bidi="hi-IN"/>
              </w:rPr>
            </w:r>
          </w:p>
        </w:tc>
      </w:tr>
    </w:tbl>
    <w:p>
      <w:pPr>
        <w:pStyle w:val="Normal"/>
        <w:spacing w:lineRule="auto" w:line="240"/>
        <w:ind w:hanging="0" w:start="0"/>
        <w:jc w:val="center"/>
        <w:rPr>
          <w:sz w:val="20"/>
          <w:szCs w:val="20"/>
        </w:rPr>
      </w:pPr>
      <w:r>
        <w:rPr>
          <w:sz w:val="20"/>
          <w:szCs w:val="20"/>
        </w:rPr>
      </w:r>
    </w:p>
    <w:p>
      <w:pPr>
        <w:pStyle w:val="heading1normal"/>
        <w:tabs>
          <w:tab w:val="clear" w:pos="0"/>
        </w:tabs>
        <w:spacing w:lineRule="auto" w:line="240"/>
        <w:rPr>
          <w:sz w:val="20"/>
          <w:szCs w:val="20"/>
        </w:rPr>
      </w:pPr>
      <w:bookmarkStart w:id="21" w:name="_ref_31214294_Копия_1"/>
      <w:r>
        <w:rPr>
          <w:sz w:val="20"/>
          <w:szCs w:val="20"/>
        </w:rPr>
        <w:t>Адреса и реквизиты сторон</w:t>
      </w:r>
    </w:p>
    <w:tbl>
      <w:tblPr>
        <w:tblW w:w="14288" w:type="dxa"/>
        <w:jc w:val="start"/>
        <w:tblInd w:w="115" w:type="dxa"/>
        <w:tblLayout w:type="fixed"/>
        <w:tblCellMar>
          <w:top w:w="0" w:type="dxa"/>
          <w:start w:w="108" w:type="dxa"/>
          <w:bottom w:w="0" w:type="dxa"/>
          <w:end w:w="108" w:type="dxa"/>
        </w:tblCellMar>
        <w:tblLook w:val="00a0" w:firstRow="1" w:noVBand="0" w:lastRow="0" w:firstColumn="1" w:lastColumn="0" w:noHBand="0"/>
      </w:tblPr>
      <w:tblGrid>
        <w:gridCol w:w="10824"/>
        <w:gridCol w:w="3464"/>
      </w:tblGrid>
      <w:tr>
        <w:trPr/>
        <w:tc>
          <w:tcPr>
            <w:tcW w:w="10824" w:type="dxa"/>
            <w:tcBorders>
              <w:top w:val="single" w:sz="6" w:space="0" w:color="000000"/>
              <w:start w:val="single" w:sz="6" w:space="0" w:color="000000"/>
              <w:bottom w:val="single" w:sz="6" w:space="0" w:color="000000"/>
              <w:end w:val="single" w:sz="6" w:space="0" w:color="000000"/>
            </w:tcBorders>
          </w:tcPr>
          <w:p>
            <w:pPr>
              <w:pStyle w:val="Normalunindented"/>
              <w:keepNext w:val="true"/>
              <w:widowControl w:val="false"/>
              <w:spacing w:lineRule="auto" w:line="240" w:before="120" w:after="120"/>
              <w:jc w:val="center"/>
              <w:rPr>
                <w:sz w:val="20"/>
                <w:szCs w:val="20"/>
              </w:rPr>
            </w:pPr>
            <w:r>
              <w:rPr>
                <w:b/>
                <w:sz w:val="20"/>
                <w:szCs w:val="20"/>
              </w:rPr>
              <w:t>Заказчик</w:t>
            </w:r>
          </w:p>
        </w:tc>
        <w:tc>
          <w:tcPr>
            <w:tcW w:w="3464" w:type="dxa"/>
            <w:tcBorders>
              <w:top w:val="single" w:sz="6" w:space="0" w:color="000000"/>
              <w:start w:val="single" w:sz="6" w:space="0" w:color="000000"/>
              <w:bottom w:val="single" w:sz="6" w:space="0" w:color="000000"/>
              <w:end w:val="single" w:sz="6" w:space="0" w:color="000000"/>
            </w:tcBorders>
          </w:tcPr>
          <w:p>
            <w:pPr>
              <w:pStyle w:val="Normalunindented"/>
              <w:keepNext w:val="true"/>
              <w:widowControl w:val="false"/>
              <w:spacing w:lineRule="auto" w:line="240" w:before="120" w:after="120"/>
              <w:jc w:val="center"/>
              <w:rPr>
                <w:sz w:val="20"/>
                <w:szCs w:val="20"/>
              </w:rPr>
            </w:pPr>
            <w:r>
              <w:rPr>
                <w:b/>
                <w:sz w:val="20"/>
                <w:szCs w:val="20"/>
              </w:rPr>
              <w:t>Поставщик</w:t>
            </w:r>
          </w:p>
        </w:tc>
      </w:tr>
      <w:tr>
        <w:trPr/>
        <w:tc>
          <w:tcPr>
            <w:tcW w:w="10824" w:type="dxa"/>
            <w:tcBorders>
              <w:top w:val="single" w:sz="6" w:space="0" w:color="000000"/>
              <w:start w:val="single" w:sz="6" w:space="0" w:color="000000"/>
              <w:bottom w:val="single" w:sz="6" w:space="0" w:color="000000"/>
              <w:end w:val="single" w:sz="6" w:space="0" w:color="000000"/>
            </w:tcBorders>
          </w:tcPr>
          <w:p>
            <w:pPr>
              <w:pStyle w:val="Normal"/>
              <w:widowControl w:val="false"/>
              <w:tabs>
                <w:tab w:val="clear" w:pos="709"/>
                <w:tab w:val="right" w:pos="9600" w:leader="underscore"/>
              </w:tabs>
              <w:spacing w:lineRule="auto" w:line="240" w:before="0" w:after="0"/>
              <w:ind w:hanging="0"/>
              <w:textAlignment w:val="baseline"/>
              <w:rPr>
                <w:sz w:val="20"/>
                <w:szCs w:val="20"/>
              </w:rPr>
            </w:pPr>
            <w:r>
              <w:rPr>
                <w:sz w:val="20"/>
                <w:szCs w:val="20"/>
              </w:rPr>
              <w:t>Наименование:</w:t>
            </w:r>
          </w:p>
          <w:p>
            <w:pPr>
              <w:pStyle w:val="Normal"/>
              <w:widowControl w:val="false"/>
              <w:tabs>
                <w:tab w:val="clear" w:pos="709"/>
                <w:tab w:val="right" w:pos="9600" w:leader="underscore"/>
              </w:tabs>
              <w:spacing w:lineRule="auto" w:line="240" w:before="0" w:after="0"/>
              <w:ind w:hanging="0"/>
              <w:textAlignment w:val="baseline"/>
              <w:rPr>
                <w:b/>
                <w:sz w:val="20"/>
                <w:szCs w:val="20"/>
              </w:rPr>
            </w:pPr>
            <w:r>
              <w:rPr>
                <w:b/>
                <w:sz w:val="20"/>
                <w:szCs w:val="20"/>
              </w:rPr>
              <w:t xml:space="preserve"> </w:t>
            </w:r>
            <w:r>
              <w:rPr>
                <w:b/>
                <w:sz w:val="20"/>
                <w:szCs w:val="20"/>
              </w:rPr>
              <w:t>Государственное бюджетное учреждение дополнительного образования Владимирской области "Комплексная спортивная школа"(ГБУ ДО ВО «КСШ»)</w:t>
            </w:r>
          </w:p>
          <w:p>
            <w:pPr>
              <w:pStyle w:val="Normalunindented"/>
              <w:keepNext w:val="true"/>
              <w:widowControl w:val="false"/>
              <w:spacing w:lineRule="auto" w:line="240" w:before="0" w:after="0"/>
              <w:jc w:val="start"/>
              <w:rPr>
                <w:sz w:val="20"/>
                <w:szCs w:val="20"/>
              </w:rPr>
            </w:pPr>
            <w:r>
              <w:rPr>
                <w:sz w:val="20"/>
                <w:szCs w:val="20"/>
              </w:rPr>
              <w:t>Место нахождения:600023, г. Владимир, п.Заклязьменский, ул.Восточная, д.2</w:t>
            </w:r>
          </w:p>
          <w:p>
            <w:pPr>
              <w:pStyle w:val="Normalunindented"/>
              <w:widowControl w:val="false"/>
              <w:spacing w:lineRule="auto" w:line="240" w:before="0" w:after="0"/>
              <w:jc w:val="start"/>
              <w:rPr>
                <w:sz w:val="20"/>
                <w:szCs w:val="20"/>
              </w:rPr>
            </w:pPr>
            <w:r>
              <w:rPr>
                <w:sz w:val="20"/>
                <w:szCs w:val="20"/>
              </w:rPr>
              <w:t>Почтовый адрес:600023, г. Владимир, п.Заклязьменский, ул.Восточная, д.2</w:t>
            </w:r>
          </w:p>
          <w:p>
            <w:pPr>
              <w:pStyle w:val="Normal"/>
              <w:widowControl w:val="false"/>
              <w:spacing w:lineRule="auto" w:line="240" w:before="0" w:after="0"/>
              <w:ind w:hanging="0"/>
              <w:rPr>
                <w:sz w:val="20"/>
                <w:szCs w:val="20"/>
              </w:rPr>
            </w:pPr>
            <w:r>
              <w:rPr>
                <w:sz w:val="20"/>
                <w:szCs w:val="20"/>
              </w:rPr>
              <w:t>Телефон(4922)22-21-98.</w:t>
            </w:r>
          </w:p>
          <w:p>
            <w:pPr>
              <w:pStyle w:val="Normalunindented"/>
              <w:widowControl w:val="false"/>
              <w:spacing w:lineRule="auto" w:line="240" w:before="0" w:after="0"/>
              <w:jc w:val="start"/>
              <w:rPr>
                <w:sz w:val="20"/>
                <w:szCs w:val="20"/>
              </w:rPr>
            </w:pPr>
            <w:r>
              <w:rPr>
                <w:sz w:val="20"/>
                <w:szCs w:val="20"/>
              </w:rPr>
              <w:t>Электронная почта:</w:t>
            </w:r>
            <w:r>
              <w:rPr>
                <w:sz w:val="20"/>
                <w:szCs w:val="20"/>
                <w:lang w:val="en-US"/>
              </w:rPr>
              <w:t>school</w:t>
            </w:r>
            <w:r>
              <w:rPr>
                <w:sz w:val="20"/>
                <w:szCs w:val="20"/>
              </w:rPr>
              <w:t>_</w:t>
            </w:r>
            <w:r>
              <w:rPr>
                <w:sz w:val="20"/>
                <w:szCs w:val="20"/>
                <w:lang w:val="en-US"/>
              </w:rPr>
              <w:t>koni</w:t>
            </w:r>
            <w:r>
              <w:rPr>
                <w:sz w:val="20"/>
                <w:szCs w:val="20"/>
              </w:rPr>
              <w:t>@</w:t>
            </w:r>
            <w:r>
              <w:rPr>
                <w:sz w:val="20"/>
                <w:szCs w:val="20"/>
                <w:lang w:val="en-US"/>
              </w:rPr>
              <w:t>mail</w:t>
            </w:r>
            <w:r>
              <w:rPr>
                <w:sz w:val="20"/>
                <w:szCs w:val="20"/>
              </w:rPr>
              <w:t>.</w:t>
            </w:r>
            <w:r>
              <w:rPr>
                <w:sz w:val="20"/>
                <w:szCs w:val="20"/>
                <w:lang w:val="en-US"/>
              </w:rPr>
              <w:t>ru</w:t>
            </w:r>
          </w:p>
          <w:p>
            <w:pPr>
              <w:pStyle w:val="Normal"/>
              <w:widowControl w:val="false"/>
              <w:spacing w:lineRule="auto" w:line="240" w:before="0" w:after="0"/>
              <w:ind w:hanging="0"/>
              <w:rPr>
                <w:sz w:val="20"/>
                <w:szCs w:val="20"/>
              </w:rPr>
            </w:pPr>
            <w:r>
              <w:rPr>
                <w:sz w:val="20"/>
                <w:szCs w:val="20"/>
              </w:rPr>
              <w:t>ИНН/КПП 3329049990/332901001</w:t>
            </w:r>
          </w:p>
          <w:p>
            <w:pPr>
              <w:pStyle w:val="Normal"/>
              <w:widowControl w:val="false"/>
              <w:spacing w:lineRule="auto" w:line="240" w:before="0" w:after="0"/>
              <w:ind w:hanging="0"/>
              <w:rPr>
                <w:sz w:val="20"/>
                <w:szCs w:val="20"/>
              </w:rPr>
            </w:pPr>
            <w:r>
              <w:rPr>
                <w:sz w:val="20"/>
                <w:szCs w:val="20"/>
              </w:rPr>
              <w:t>ОГРН 1083327002879</w:t>
            </w:r>
          </w:p>
          <w:p>
            <w:pPr>
              <w:pStyle w:val="Normal"/>
              <w:widowControl w:val="false"/>
              <w:spacing w:lineRule="auto" w:line="240" w:before="0" w:after="0"/>
              <w:ind w:hanging="0"/>
              <w:rPr>
                <w:sz w:val="20"/>
                <w:szCs w:val="20"/>
              </w:rPr>
            </w:pPr>
            <w:r>
              <w:rPr>
                <w:sz w:val="20"/>
                <w:szCs w:val="20"/>
              </w:rPr>
              <w:t>Банковские реквизиты:</w:t>
            </w:r>
          </w:p>
          <w:p>
            <w:pPr>
              <w:pStyle w:val="Normal"/>
              <w:spacing w:lineRule="auto" w:line="240"/>
              <w:ind w:hanging="0"/>
              <w:rPr>
                <w:sz w:val="20"/>
                <w:szCs w:val="20"/>
              </w:rPr>
            </w:pPr>
            <w:r>
              <w:rPr>
                <w:sz w:val="20"/>
                <w:szCs w:val="20"/>
              </w:rPr>
              <w:t>Получатель: МФ ВО (ГБУ ДО ВО «КСШ», л/с 802Ц0185000)</w:t>
            </w:r>
          </w:p>
          <w:p>
            <w:pPr>
              <w:pStyle w:val="Normal"/>
              <w:widowControl w:val="false"/>
              <w:tabs>
                <w:tab w:val="clear" w:pos="709"/>
                <w:tab w:val="left" w:pos="1680" w:leader="none"/>
              </w:tabs>
              <w:spacing w:before="0" w:after="0"/>
              <w:ind w:hanging="0"/>
              <w:rPr>
                <w:sz w:val="20"/>
                <w:szCs w:val="20"/>
              </w:rPr>
            </w:pPr>
            <w:r>
              <w:rPr>
                <w:sz w:val="20"/>
                <w:szCs w:val="20"/>
              </w:rPr>
              <w:t>Банк: ОКЦ № 1 ВВГУ Банка России //УФК по Нижегородской области г. Нижний Новгород</w:t>
            </w:r>
          </w:p>
          <w:p>
            <w:pPr>
              <w:pStyle w:val="Normal"/>
              <w:widowControl w:val="false"/>
              <w:tabs>
                <w:tab w:val="clear" w:pos="709"/>
                <w:tab w:val="left" w:pos="1680" w:leader="none"/>
              </w:tabs>
              <w:spacing w:before="0" w:after="0"/>
              <w:ind w:hanging="0"/>
              <w:rPr>
                <w:sz w:val="20"/>
                <w:szCs w:val="20"/>
              </w:rPr>
            </w:pPr>
            <w:r>
              <w:rPr>
                <w:sz w:val="20"/>
                <w:szCs w:val="20"/>
              </w:rPr>
              <w:t>Расчетный счет: 03224643170000003201</w:t>
            </w:r>
          </w:p>
          <w:p>
            <w:pPr>
              <w:pStyle w:val="Normal"/>
              <w:spacing w:before="0" w:after="0"/>
              <w:ind w:hanging="0"/>
              <w:rPr>
                <w:sz w:val="20"/>
                <w:szCs w:val="20"/>
              </w:rPr>
            </w:pPr>
            <w:r>
              <w:rPr>
                <w:sz w:val="20"/>
                <w:szCs w:val="20"/>
              </w:rPr>
              <w:t>БИК 012202102</w:t>
            </w:r>
          </w:p>
          <w:p>
            <w:pPr>
              <w:pStyle w:val="Normal"/>
              <w:spacing w:before="120" w:after="120"/>
              <w:rPr/>
            </w:pPr>
            <w:r>
              <w:rPr>
                <w:sz w:val="20"/>
                <w:szCs w:val="20"/>
              </w:rPr>
              <w:t>к/с 40102810745370000024</w:t>
            </w:r>
          </w:p>
        </w:tc>
        <w:tc>
          <w:tcPr>
            <w:tcW w:w="3464" w:type="dxa"/>
            <w:tcBorders>
              <w:top w:val="single" w:sz="6" w:space="0" w:color="000000"/>
              <w:start w:val="single" w:sz="6" w:space="0" w:color="000000"/>
              <w:bottom w:val="single" w:sz="6" w:space="0" w:color="000000"/>
              <w:end w:val="single" w:sz="6" w:space="0" w:color="000000"/>
            </w:tcBorders>
          </w:tcPr>
          <w:p>
            <w:pPr>
              <w:pStyle w:val="Normalunindented"/>
              <w:keepNext w:val="true"/>
              <w:widowControl w:val="false"/>
              <w:spacing w:lineRule="auto" w:line="240" w:before="120" w:after="120"/>
              <w:jc w:val="start"/>
              <w:rPr>
                <w:sz w:val="20"/>
                <w:szCs w:val="20"/>
              </w:rPr>
            </w:pPr>
            <w:r>
              <w:rPr>
                <w:sz w:val="20"/>
                <w:szCs w:val="20"/>
              </w:rPr>
              <w:br/>
              <w:t>Место нахождения:</w:t>
              <w:br/>
              <w:t>ОГРН</w:t>
              <w:br/>
              <w:t>ИНН</w:t>
            </w:r>
          </w:p>
        </w:tc>
      </w:tr>
      <w:tr>
        <w:trPr/>
        <w:tc>
          <w:tcPr>
            <w:tcW w:w="10824" w:type="dxa"/>
            <w:tcBorders>
              <w:top w:val="single" w:sz="6" w:space="0" w:color="000000"/>
              <w:start w:val="single" w:sz="6" w:space="0" w:color="000000"/>
              <w:bottom w:val="single" w:sz="6" w:space="0" w:color="000000"/>
              <w:end w:val="single" w:sz="6" w:space="0" w:color="000000"/>
            </w:tcBorders>
          </w:tcPr>
          <w:p>
            <w:pPr>
              <w:pStyle w:val="Normalunindented"/>
              <w:keepNext w:val="true"/>
              <w:widowControl w:val="false"/>
              <w:spacing w:lineRule="auto" w:line="240" w:before="120" w:after="120"/>
              <w:jc w:val="start"/>
              <w:rPr>
                <w:sz w:val="20"/>
                <w:szCs w:val="20"/>
              </w:rPr>
            </w:pPr>
            <w:r>
              <w:rPr>
                <w:sz w:val="20"/>
                <w:szCs w:val="20"/>
              </w:rPr>
              <w:t>от имени Заказчика:</w:t>
              <w:br/>
            </w:r>
            <w:r>
              <w:rPr>
                <w:sz w:val="20"/>
                <w:szCs w:val="20"/>
                <w:u w:val="single"/>
              </w:rPr>
              <w:t>Директор</w:t>
            </w:r>
          </w:p>
          <w:p>
            <w:pPr>
              <w:pStyle w:val="Normalunindented"/>
              <w:widowControl w:val="false"/>
              <w:spacing w:lineRule="auto" w:line="240" w:before="120" w:after="120"/>
              <w:jc w:val="start"/>
              <w:rPr>
                <w:sz w:val="20"/>
                <w:szCs w:val="20"/>
              </w:rPr>
            </w:pPr>
            <w:r>
              <w:rPr>
                <w:sz w:val="20"/>
                <w:szCs w:val="20"/>
                <w:u w:val="single"/>
              </w:rPr>
              <w:t xml:space="preserve">  </w:t>
            </w:r>
            <w:r>
              <w:rPr>
                <w:sz w:val="20"/>
                <w:szCs w:val="20"/>
              </w:rPr>
              <w:br/>
            </w:r>
            <w:r>
              <w:rPr>
                <w:sz w:val="20"/>
                <w:szCs w:val="20"/>
                <w:u w:val="single"/>
              </w:rPr>
              <w:t>    (подпись)    /</w:t>
            </w:r>
            <w:r>
              <w:rPr>
                <w:sz w:val="20"/>
                <w:szCs w:val="20"/>
              </w:rPr>
              <w:t>Е.В.Горбунова</w:t>
            </w:r>
            <w:r>
              <w:rPr>
                <w:sz w:val="20"/>
                <w:szCs w:val="20"/>
                <w:u w:val="single"/>
              </w:rPr>
              <w:t> </w:t>
            </w:r>
            <w:r>
              <w:rPr>
                <w:sz w:val="20"/>
                <w:szCs w:val="20"/>
              </w:rPr>
              <w:t>/</w:t>
              <w:br/>
              <w:t>М.П.</w:t>
            </w:r>
          </w:p>
        </w:tc>
        <w:tc>
          <w:tcPr>
            <w:tcW w:w="3464" w:type="dxa"/>
            <w:tcBorders>
              <w:top w:val="single" w:sz="6" w:space="0" w:color="000000"/>
              <w:start w:val="single" w:sz="6" w:space="0" w:color="000000"/>
              <w:bottom w:val="single" w:sz="6" w:space="0" w:color="000000"/>
              <w:end w:val="single" w:sz="6" w:space="0" w:color="000000"/>
            </w:tcBorders>
          </w:tcPr>
          <w:p>
            <w:pPr>
              <w:pStyle w:val="Normalunindented"/>
              <w:keepNext w:val="true"/>
              <w:widowControl w:val="false"/>
              <w:spacing w:lineRule="auto" w:line="240" w:before="120" w:after="120"/>
              <w:jc w:val="start"/>
              <w:rPr>
                <w:sz w:val="20"/>
                <w:szCs w:val="20"/>
              </w:rPr>
            </w:pPr>
            <w:r>
              <w:rPr>
                <w:sz w:val="20"/>
                <w:szCs w:val="20"/>
              </w:rPr>
              <w:t>от имени Поставщика:</w:t>
              <w:br/>
            </w:r>
            <w:r>
              <w:rPr>
                <w:sz w:val="20"/>
                <w:szCs w:val="20"/>
                <w:u w:val="single"/>
              </w:rPr>
              <w:t>(должность)</w:t>
            </w:r>
            <w:r>
              <w:rPr>
                <w:sz w:val="20"/>
                <w:szCs w:val="20"/>
              </w:rPr>
              <w:br/>
            </w:r>
            <w:r>
              <w:rPr>
                <w:sz w:val="20"/>
                <w:szCs w:val="20"/>
                <w:u w:val="single"/>
              </w:rPr>
              <w:t>(подпись)</w:t>
            </w:r>
            <w:r>
              <w:rPr>
                <w:sz w:val="20"/>
                <w:szCs w:val="20"/>
              </w:rPr>
              <w:t>/</w:t>
            </w:r>
            <w:r>
              <w:rPr>
                <w:sz w:val="20"/>
                <w:szCs w:val="20"/>
                <w:u w:val="single"/>
              </w:rPr>
              <w:t>(Ф.И.О.)</w:t>
            </w:r>
            <w:r>
              <w:rPr>
                <w:sz w:val="20"/>
                <w:szCs w:val="20"/>
              </w:rPr>
              <w:t>/</w:t>
              <w:br/>
              <w:t>М.П.</w:t>
            </w:r>
            <w:bookmarkEnd w:id="21"/>
          </w:p>
        </w:tc>
      </w:tr>
    </w:tbl>
    <w:p>
      <w:pPr>
        <w:pStyle w:val="Normal"/>
        <w:spacing w:lineRule="auto" w:line="240" w:before="0" w:after="120"/>
        <w:ind w:hanging="0" w:start="0"/>
        <w:jc w:val="end"/>
        <w:rPr/>
      </w:pPr>
      <w:r>
        <w:rPr/>
        <w:t xml:space="preserve">Приложение № </w:t>
      </w:r>
      <w:r>
        <w:rPr>
          <w:lang w:val="en-US"/>
        </w:rPr>
        <w:t>2</w:t>
      </w:r>
      <w:r>
        <w:rPr/>
        <w:br/>
        <w:t xml:space="preserve">к контракту на поставку </w:t>
        <w:br/>
        <w:t>№ ____ от "____" _______________ _____ г.</w:t>
      </w:r>
    </w:p>
    <w:p>
      <w:pPr>
        <w:pStyle w:val="BodyText"/>
        <w:spacing w:before="0" w:after="0"/>
        <w:jc w:val="end"/>
        <w:rPr/>
      </w:pPr>
      <w:r>
        <w:rPr/>
      </w:r>
    </w:p>
    <w:p>
      <w:pPr>
        <w:pStyle w:val="BodyText"/>
        <w:spacing w:before="0" w:after="0"/>
        <w:jc w:val="end"/>
        <w:rPr/>
      </w:pPr>
      <w:r>
        <w:rPr/>
      </w:r>
    </w:p>
    <w:p>
      <w:pPr>
        <w:pStyle w:val="Heading3"/>
        <w:numPr>
          <w:ilvl w:val="0"/>
          <w:numId w:val="0"/>
        </w:numPr>
        <w:ind w:hanging="0" w:start="0"/>
        <w:rPr>
          <w:sz w:val="24"/>
          <w:szCs w:val="24"/>
        </w:rPr>
      </w:pPr>
      <w:r>
        <w:rPr>
          <w:sz w:val="24"/>
          <w:szCs w:val="24"/>
        </w:rPr>
        <w:t xml:space="preserve">  </w:t>
      </w:r>
      <w:r>
        <w:rPr>
          <w:sz w:val="24"/>
          <w:szCs w:val="24"/>
        </w:rPr>
        <w:t>г.Владимир                                                                                                                                                                                       _____________ 2026г.</w:t>
      </w:r>
    </w:p>
    <w:p>
      <w:pPr>
        <w:pStyle w:val="Heading3"/>
        <w:numPr>
          <w:ilvl w:val="0"/>
          <w:numId w:val="0"/>
        </w:numPr>
        <w:ind w:hanging="0" w:start="0"/>
        <w:jc w:val="center"/>
        <w:rPr>
          <w:sz w:val="24"/>
          <w:szCs w:val="24"/>
        </w:rPr>
      </w:pPr>
      <w:r>
        <w:rPr>
          <w:sz w:val="24"/>
          <w:szCs w:val="24"/>
        </w:rPr>
      </w:r>
    </w:p>
    <w:p>
      <w:pPr>
        <w:pStyle w:val="Heading3"/>
        <w:numPr>
          <w:ilvl w:val="0"/>
          <w:numId w:val="0"/>
        </w:numPr>
        <w:ind w:hanging="0" w:start="0"/>
        <w:jc w:val="center"/>
        <w:rPr>
          <w:sz w:val="24"/>
          <w:szCs w:val="24"/>
        </w:rPr>
      </w:pPr>
      <w:r>
        <w:rPr>
          <w:sz w:val="24"/>
          <w:szCs w:val="24"/>
        </w:rPr>
        <w:t>АКТ          приема-передачи</w:t>
      </w:r>
    </w:p>
    <w:p>
      <w:pPr>
        <w:pStyle w:val="Normal"/>
        <w:ind w:firstLine="709"/>
        <w:rPr>
          <w:sz w:val="24"/>
          <w:szCs w:val="24"/>
        </w:rPr>
      </w:pPr>
      <w:r>
        <w:rPr>
          <w:sz w:val="24"/>
          <w:szCs w:val="24"/>
        </w:rPr>
        <w:t xml:space="preserve">Государственное бюджетное учреждение дополнительного образования Владимирской области «Комплексная спортивная школа»  (ГБУ ДО ВО «КСШ») в  лице_____, действующего на основании Устава, именуемый в дальнейшем «Заказчик», с одной стороны, и ________________________________________, именуемый в дальнейшем «Поставщик», действующий на основании ___________________________, с другой стороны, совместно именуемые «Стороны», в соответствии    с    государственным    контрактом    от    ___________2026   года   № </w:t>
      </w:r>
      <w:r>
        <w:rPr>
          <w:rStyle w:val="FontStyle83"/>
          <w:sz w:val="24"/>
          <w:szCs w:val="24"/>
        </w:rPr>
        <w:t>_____________________</w:t>
      </w:r>
      <w:r>
        <w:rPr>
          <w:rStyle w:val="FontStyle83"/>
          <w:b w:val="false"/>
          <w:sz w:val="24"/>
          <w:szCs w:val="24"/>
        </w:rPr>
        <w:t>на закупку оборудования</w:t>
      </w:r>
      <w:r>
        <w:rPr>
          <w:sz w:val="24"/>
          <w:szCs w:val="24"/>
        </w:rPr>
        <w:t xml:space="preserve">  для обеспечения нужд ГБУ ДО ВО «КСШ», составили настоящий  Акт о нижеследующем:</w:t>
      </w:r>
    </w:p>
    <w:p>
      <w:pPr>
        <w:pStyle w:val="Normal"/>
        <w:ind w:firstLine="709"/>
        <w:rPr>
          <w:sz w:val="24"/>
          <w:szCs w:val="24"/>
        </w:rPr>
      </w:pPr>
      <w:r>
        <w:rPr>
          <w:sz w:val="24"/>
          <w:szCs w:val="24"/>
        </w:rPr>
      </w:r>
    </w:p>
    <w:p>
      <w:pPr>
        <w:pStyle w:val="user8"/>
        <w:spacing w:before="0" w:after="120"/>
        <w:ind w:firstLine="709"/>
        <w:rPr>
          <w:rFonts w:ascii="Times New Roman" w:hAnsi="Times New Roman" w:cs="Times New Roman"/>
          <w:sz w:val="24"/>
          <w:szCs w:val="24"/>
        </w:rPr>
      </w:pPr>
      <w:r>
        <w:rPr>
          <w:rFonts w:cs="Times New Roman" w:ascii="Times New Roman" w:hAnsi="Times New Roman"/>
          <w:sz w:val="24"/>
          <w:szCs w:val="24"/>
        </w:rPr>
        <w:t xml:space="preserve">1. Согласно п.1.1 настоящего контракта, Поставщик поставил, а Заказчик принял следующий Товар: </w:t>
      </w:r>
    </w:p>
    <w:tbl>
      <w:tblPr>
        <w:tblW w:w="10088" w:type="dxa"/>
        <w:jc w:val="start"/>
        <w:tblInd w:w="230" w:type="dxa"/>
        <w:tblLayout w:type="fixed"/>
        <w:tblCellMar>
          <w:top w:w="0" w:type="dxa"/>
          <w:start w:w="108" w:type="dxa"/>
          <w:bottom w:w="0" w:type="dxa"/>
          <w:end w:w="108" w:type="dxa"/>
        </w:tblCellMar>
        <w:tblLook w:val="0000" w:firstRow="0" w:noVBand="0" w:lastRow="0" w:firstColumn="0" w:lastColumn="0" w:noHBand="0"/>
      </w:tblPr>
      <w:tblGrid>
        <w:gridCol w:w="412"/>
        <w:gridCol w:w="3188"/>
        <w:gridCol w:w="1153"/>
        <w:gridCol w:w="922"/>
        <w:gridCol w:w="900"/>
        <w:gridCol w:w="1184"/>
        <w:gridCol w:w="1025"/>
        <w:gridCol w:w="1304"/>
      </w:tblGrid>
      <w:tr>
        <w:trPr/>
        <w:tc>
          <w:tcPr>
            <w:tcW w:w="412" w:type="dxa"/>
            <w:tcBorders>
              <w:top w:val="single" w:sz="4" w:space="0" w:color="000000"/>
              <w:start w:val="single" w:sz="4" w:space="0" w:color="000000"/>
              <w:bottom w:val="single" w:sz="4" w:space="0" w:color="000000"/>
            </w:tcBorders>
            <w:vAlign w:val="center"/>
          </w:tcPr>
          <w:p>
            <w:pPr>
              <w:pStyle w:val="Normal"/>
              <w:spacing w:before="120" w:after="120"/>
              <w:ind w:hanging="0"/>
              <w:jc w:val="center"/>
              <w:rPr>
                <w:sz w:val="24"/>
                <w:szCs w:val="24"/>
              </w:rPr>
            </w:pPr>
            <w:r>
              <w:rPr>
                <w:sz w:val="24"/>
                <w:szCs w:val="24"/>
              </w:rPr>
              <w:t>№</w:t>
            </w:r>
          </w:p>
          <w:p>
            <w:pPr>
              <w:pStyle w:val="Normal"/>
              <w:spacing w:before="120" w:after="120"/>
              <w:ind w:hanging="0"/>
              <w:jc w:val="center"/>
              <w:rPr>
                <w:sz w:val="24"/>
                <w:szCs w:val="24"/>
              </w:rPr>
            </w:pPr>
            <w:r>
              <w:rPr>
                <w:sz w:val="24"/>
                <w:szCs w:val="24"/>
              </w:rPr>
              <w:t>п/п</w:t>
            </w:r>
          </w:p>
        </w:tc>
        <w:tc>
          <w:tcPr>
            <w:tcW w:w="3188" w:type="dxa"/>
            <w:tcBorders>
              <w:top w:val="single" w:sz="4" w:space="0" w:color="000000"/>
              <w:start w:val="single" w:sz="4" w:space="0" w:color="000000"/>
              <w:bottom w:val="single" w:sz="4" w:space="0" w:color="000000"/>
            </w:tcBorders>
            <w:vAlign w:val="center"/>
          </w:tcPr>
          <w:p>
            <w:pPr>
              <w:pStyle w:val="Normal"/>
              <w:spacing w:before="120" w:after="120"/>
              <w:jc w:val="center"/>
              <w:rPr>
                <w:sz w:val="24"/>
                <w:szCs w:val="24"/>
              </w:rPr>
            </w:pPr>
            <w:r>
              <w:rPr>
                <w:sz w:val="24"/>
                <w:szCs w:val="24"/>
              </w:rPr>
            </w:r>
          </w:p>
          <w:p>
            <w:pPr>
              <w:pStyle w:val="Normal"/>
              <w:spacing w:before="120" w:after="120"/>
              <w:jc w:val="center"/>
              <w:rPr>
                <w:sz w:val="24"/>
                <w:szCs w:val="24"/>
              </w:rPr>
            </w:pPr>
            <w:r>
              <w:rPr>
                <w:sz w:val="24"/>
                <w:szCs w:val="24"/>
              </w:rPr>
              <w:t>Наименование товара</w:t>
            </w:r>
          </w:p>
        </w:tc>
        <w:tc>
          <w:tcPr>
            <w:tcW w:w="1153" w:type="dxa"/>
            <w:tcBorders>
              <w:top w:val="single" w:sz="4" w:space="0" w:color="000000"/>
              <w:start w:val="single" w:sz="4" w:space="0" w:color="000000"/>
              <w:bottom w:val="single" w:sz="4" w:space="0" w:color="000000"/>
            </w:tcBorders>
            <w:vAlign w:val="center"/>
          </w:tcPr>
          <w:p>
            <w:pPr>
              <w:pStyle w:val="Normal"/>
              <w:spacing w:before="120" w:after="120"/>
              <w:ind w:hanging="0"/>
              <w:jc w:val="center"/>
              <w:rPr>
                <w:sz w:val="24"/>
                <w:szCs w:val="24"/>
              </w:rPr>
            </w:pPr>
            <w:r>
              <w:rPr>
                <w:sz w:val="24"/>
                <w:szCs w:val="24"/>
              </w:rPr>
              <w:t>Ед.</w:t>
            </w:r>
          </w:p>
          <w:p>
            <w:pPr>
              <w:pStyle w:val="Normal"/>
              <w:spacing w:before="120" w:after="120"/>
              <w:ind w:hanging="0" w:start="-108"/>
              <w:jc w:val="center"/>
              <w:rPr>
                <w:sz w:val="24"/>
                <w:szCs w:val="24"/>
              </w:rPr>
            </w:pPr>
            <w:r>
              <w:rPr>
                <w:sz w:val="24"/>
                <w:szCs w:val="24"/>
              </w:rPr>
              <w:t>изм</w:t>
            </w:r>
          </w:p>
        </w:tc>
        <w:tc>
          <w:tcPr>
            <w:tcW w:w="922" w:type="dxa"/>
            <w:tcBorders>
              <w:top w:val="single" w:sz="4" w:space="0" w:color="000000"/>
              <w:start w:val="single" w:sz="4" w:space="0" w:color="000000"/>
              <w:bottom w:val="single" w:sz="4" w:space="0" w:color="000000"/>
            </w:tcBorders>
            <w:vAlign w:val="center"/>
          </w:tcPr>
          <w:p>
            <w:pPr>
              <w:pStyle w:val="Normal"/>
              <w:spacing w:before="120" w:after="120"/>
              <w:jc w:val="center"/>
              <w:rPr>
                <w:sz w:val="24"/>
                <w:szCs w:val="24"/>
              </w:rPr>
            </w:pPr>
            <w:r>
              <w:rPr>
                <w:sz w:val="24"/>
                <w:szCs w:val="24"/>
              </w:rPr>
            </w:r>
          </w:p>
          <w:p>
            <w:pPr>
              <w:pStyle w:val="Normal"/>
              <w:spacing w:before="120" w:after="120"/>
              <w:ind w:hanging="0"/>
              <w:jc w:val="center"/>
              <w:rPr>
                <w:sz w:val="24"/>
                <w:szCs w:val="24"/>
              </w:rPr>
            </w:pPr>
            <w:r>
              <w:rPr>
                <w:sz w:val="24"/>
                <w:szCs w:val="24"/>
              </w:rPr>
              <w:t>Кол-во</w:t>
            </w:r>
          </w:p>
        </w:tc>
        <w:tc>
          <w:tcPr>
            <w:tcW w:w="900" w:type="dxa"/>
            <w:tcBorders>
              <w:top w:val="single" w:sz="4" w:space="0" w:color="000000"/>
              <w:start w:val="single" w:sz="4" w:space="0" w:color="000000"/>
              <w:bottom w:val="single" w:sz="4" w:space="0" w:color="000000"/>
            </w:tcBorders>
            <w:vAlign w:val="center"/>
          </w:tcPr>
          <w:p>
            <w:pPr>
              <w:pStyle w:val="Normal"/>
              <w:spacing w:before="120" w:after="120"/>
              <w:ind w:hanging="0"/>
              <w:jc w:val="center"/>
              <w:rPr>
                <w:sz w:val="24"/>
                <w:szCs w:val="24"/>
              </w:rPr>
            </w:pPr>
            <w:r>
              <w:rPr>
                <w:sz w:val="24"/>
                <w:szCs w:val="24"/>
              </w:rPr>
              <w:t>Цена за ед. изм., руб.</w:t>
            </w:r>
          </w:p>
        </w:tc>
        <w:tc>
          <w:tcPr>
            <w:tcW w:w="1184" w:type="dxa"/>
            <w:tcBorders>
              <w:top w:val="single" w:sz="4" w:space="0" w:color="000000"/>
              <w:start w:val="single" w:sz="4" w:space="0" w:color="000000"/>
              <w:bottom w:val="single" w:sz="4" w:space="0" w:color="000000"/>
            </w:tcBorders>
            <w:vAlign w:val="center"/>
          </w:tcPr>
          <w:p>
            <w:pPr>
              <w:pStyle w:val="Normal"/>
              <w:spacing w:before="120" w:after="120"/>
              <w:ind w:hanging="0"/>
              <w:jc w:val="center"/>
              <w:rPr>
                <w:sz w:val="24"/>
                <w:szCs w:val="24"/>
              </w:rPr>
            </w:pPr>
            <w:r>
              <w:rPr>
                <w:sz w:val="24"/>
                <w:szCs w:val="24"/>
              </w:rPr>
              <w:t>Сумма без НДС, руб.</w:t>
            </w:r>
          </w:p>
        </w:tc>
        <w:tc>
          <w:tcPr>
            <w:tcW w:w="1025" w:type="dxa"/>
            <w:tcBorders>
              <w:top w:val="single" w:sz="4" w:space="0" w:color="000000"/>
              <w:start w:val="single" w:sz="4" w:space="0" w:color="000000"/>
              <w:bottom w:val="single" w:sz="4" w:space="0" w:color="000000"/>
            </w:tcBorders>
            <w:vAlign w:val="center"/>
          </w:tcPr>
          <w:p>
            <w:pPr>
              <w:pStyle w:val="Normal"/>
              <w:spacing w:before="120" w:after="120"/>
              <w:ind w:hanging="0"/>
              <w:jc w:val="center"/>
              <w:rPr>
                <w:sz w:val="24"/>
                <w:szCs w:val="24"/>
              </w:rPr>
            </w:pPr>
            <w:r>
              <w:rPr>
                <w:sz w:val="24"/>
                <w:szCs w:val="24"/>
              </w:rPr>
              <w:t>НДС, руб.</w:t>
            </w:r>
          </w:p>
        </w:tc>
        <w:tc>
          <w:tcPr>
            <w:tcW w:w="1304"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jc w:val="center"/>
              <w:rPr>
                <w:sz w:val="24"/>
                <w:szCs w:val="24"/>
              </w:rPr>
            </w:pPr>
            <w:r>
              <w:rPr>
                <w:sz w:val="24"/>
                <w:szCs w:val="24"/>
              </w:rPr>
            </w:r>
          </w:p>
          <w:p>
            <w:pPr>
              <w:pStyle w:val="Normal"/>
              <w:spacing w:before="120" w:after="120"/>
              <w:ind w:hanging="0"/>
              <w:jc w:val="center"/>
              <w:rPr>
                <w:sz w:val="24"/>
                <w:szCs w:val="24"/>
              </w:rPr>
            </w:pPr>
            <w:r>
              <w:rPr>
                <w:sz w:val="24"/>
                <w:szCs w:val="24"/>
              </w:rPr>
              <w:t>Всего, руб.</w:t>
            </w:r>
          </w:p>
        </w:tc>
      </w:tr>
      <w:tr>
        <w:trPr/>
        <w:tc>
          <w:tcPr>
            <w:tcW w:w="412" w:type="dxa"/>
            <w:tcBorders>
              <w:top w:val="single" w:sz="4" w:space="0" w:color="000000"/>
              <w:start w:val="single" w:sz="4" w:space="0" w:color="000000"/>
              <w:bottom w:val="single" w:sz="4" w:space="0" w:color="000000"/>
            </w:tcBorders>
          </w:tcPr>
          <w:p>
            <w:pPr>
              <w:pStyle w:val="Normal"/>
              <w:suppressLineNumbers/>
              <w:spacing w:before="120" w:after="120"/>
              <w:ind w:hanging="0"/>
              <w:jc w:val="center"/>
              <w:rPr>
                <w:sz w:val="24"/>
                <w:szCs w:val="24"/>
              </w:rPr>
            </w:pPr>
            <w:r>
              <w:rPr>
                <w:sz w:val="24"/>
                <w:szCs w:val="24"/>
              </w:rPr>
              <w:t>1</w:t>
            </w:r>
          </w:p>
        </w:tc>
        <w:tc>
          <w:tcPr>
            <w:tcW w:w="3188" w:type="dxa"/>
            <w:tcBorders>
              <w:top w:val="single" w:sz="4" w:space="0" w:color="000000"/>
              <w:start w:val="single" w:sz="4" w:space="0" w:color="000000"/>
              <w:bottom w:val="single" w:sz="4" w:space="0" w:color="000000"/>
            </w:tcBorders>
          </w:tcPr>
          <w:p>
            <w:pPr>
              <w:pStyle w:val="Normal"/>
              <w:spacing w:before="120" w:after="120"/>
              <w:jc w:val="center"/>
              <w:rPr>
                <w:lang w:val="ru-RU"/>
              </w:rPr>
            </w:pPr>
            <w:r>
              <w:rPr>
                <w:sz w:val="24"/>
                <w:szCs w:val="24"/>
                <w:lang w:val="ru-RU"/>
              </w:rPr>
              <w:t xml:space="preserve">Аппарат УВТ </w:t>
            </w:r>
            <w:r>
              <w:rPr>
                <w:sz w:val="24"/>
                <w:szCs w:val="24"/>
                <w:lang w:val="en-US"/>
              </w:rPr>
              <w:t>SW-</w:t>
            </w:r>
            <w:r>
              <w:rPr>
                <w:sz w:val="24"/>
                <w:szCs w:val="24"/>
                <w:lang w:val="ru-RU"/>
              </w:rPr>
              <w:t>10</w:t>
            </w:r>
          </w:p>
        </w:tc>
        <w:tc>
          <w:tcPr>
            <w:tcW w:w="1153" w:type="dxa"/>
            <w:tcBorders>
              <w:top w:val="single" w:sz="4" w:space="0" w:color="000000"/>
              <w:start w:val="single" w:sz="4" w:space="0" w:color="000000"/>
              <w:bottom w:val="single" w:sz="4" w:space="0" w:color="000000"/>
            </w:tcBorders>
          </w:tcPr>
          <w:p>
            <w:pPr>
              <w:pStyle w:val="Style20"/>
              <w:snapToGrid w:val="false"/>
              <w:spacing w:before="120" w:after="120"/>
              <w:ind w:hanging="0"/>
              <w:jc w:val="center"/>
              <w:rPr>
                <w:rFonts w:eastAsia="SimSun"/>
              </w:rPr>
            </w:pPr>
            <w:r>
              <w:rPr>
                <w:rFonts w:eastAsia="SimSun"/>
              </w:rPr>
              <w:t>шт.</w:t>
            </w:r>
          </w:p>
        </w:tc>
        <w:tc>
          <w:tcPr>
            <w:tcW w:w="922" w:type="dxa"/>
            <w:tcBorders>
              <w:top w:val="single" w:sz="4" w:space="0" w:color="000000"/>
              <w:start w:val="single" w:sz="4" w:space="0" w:color="000000"/>
              <w:bottom w:val="single" w:sz="4" w:space="0" w:color="000000"/>
            </w:tcBorders>
          </w:tcPr>
          <w:p>
            <w:pPr>
              <w:pStyle w:val="Normal"/>
              <w:spacing w:before="120" w:after="120"/>
              <w:ind w:hanging="0"/>
              <w:jc w:val="center"/>
              <w:rPr>
                <w:sz w:val="24"/>
                <w:szCs w:val="24"/>
              </w:rPr>
            </w:pPr>
            <w:r>
              <w:rPr>
                <w:sz w:val="24"/>
                <w:szCs w:val="24"/>
              </w:rPr>
              <w:t>1</w:t>
            </w:r>
          </w:p>
        </w:tc>
        <w:tc>
          <w:tcPr>
            <w:tcW w:w="900" w:type="dxa"/>
            <w:tcBorders>
              <w:top w:val="single" w:sz="4" w:space="0" w:color="000000"/>
              <w:start w:val="single" w:sz="4" w:space="0" w:color="000000"/>
              <w:bottom w:val="single" w:sz="4" w:space="0" w:color="000000"/>
            </w:tcBorders>
          </w:tcPr>
          <w:p>
            <w:pPr>
              <w:pStyle w:val="Normal"/>
              <w:suppressLineNumbers/>
              <w:spacing w:before="120" w:after="120"/>
              <w:jc w:val="center"/>
              <w:rPr>
                <w:sz w:val="24"/>
                <w:szCs w:val="24"/>
              </w:rPr>
            </w:pPr>
            <w:r>
              <w:rPr>
                <w:sz w:val="24"/>
                <w:szCs w:val="24"/>
              </w:rPr>
            </w:r>
          </w:p>
        </w:tc>
        <w:tc>
          <w:tcPr>
            <w:tcW w:w="1184" w:type="dxa"/>
            <w:tcBorders>
              <w:top w:val="single" w:sz="4" w:space="0" w:color="000000"/>
              <w:start w:val="single" w:sz="4" w:space="0" w:color="000000"/>
              <w:bottom w:val="single" w:sz="4" w:space="0" w:color="000000"/>
            </w:tcBorders>
          </w:tcPr>
          <w:p>
            <w:pPr>
              <w:pStyle w:val="Normal"/>
              <w:suppressLineNumbers/>
              <w:spacing w:before="120" w:after="120"/>
              <w:jc w:val="center"/>
              <w:rPr>
                <w:sz w:val="24"/>
                <w:szCs w:val="24"/>
              </w:rPr>
            </w:pPr>
            <w:r>
              <w:rPr>
                <w:sz w:val="24"/>
                <w:szCs w:val="24"/>
              </w:rPr>
            </w:r>
          </w:p>
        </w:tc>
        <w:tc>
          <w:tcPr>
            <w:tcW w:w="1025" w:type="dxa"/>
            <w:tcBorders>
              <w:top w:val="single" w:sz="4" w:space="0" w:color="000000"/>
              <w:start w:val="single" w:sz="4" w:space="0" w:color="000000"/>
              <w:bottom w:val="single" w:sz="4" w:space="0" w:color="000000"/>
            </w:tcBorders>
          </w:tcPr>
          <w:p>
            <w:pPr>
              <w:pStyle w:val="Normal"/>
              <w:suppressLineNumbers/>
              <w:spacing w:before="120" w:after="120"/>
              <w:jc w:val="center"/>
              <w:rPr>
                <w:sz w:val="24"/>
                <w:szCs w:val="24"/>
              </w:rPr>
            </w:pPr>
            <w:r>
              <w:rPr>
                <w:sz w:val="24"/>
                <w:szCs w:val="24"/>
              </w:rPr>
            </w:r>
          </w:p>
        </w:tc>
        <w:tc>
          <w:tcPr>
            <w:tcW w:w="1304" w:type="dxa"/>
            <w:tcBorders>
              <w:top w:val="single" w:sz="4" w:space="0" w:color="000000"/>
              <w:start w:val="single" w:sz="4" w:space="0" w:color="000000"/>
              <w:bottom w:val="single" w:sz="4" w:space="0" w:color="000000"/>
              <w:end w:val="single" w:sz="4" w:space="0" w:color="000000"/>
            </w:tcBorders>
          </w:tcPr>
          <w:p>
            <w:pPr>
              <w:pStyle w:val="Normal"/>
              <w:suppressLineNumbers/>
              <w:spacing w:before="120" w:after="120"/>
              <w:jc w:val="center"/>
              <w:rPr>
                <w:sz w:val="24"/>
                <w:szCs w:val="24"/>
              </w:rPr>
            </w:pPr>
            <w:r>
              <w:rPr>
                <w:sz w:val="24"/>
                <w:szCs w:val="24"/>
              </w:rPr>
            </w:r>
          </w:p>
        </w:tc>
      </w:tr>
    </w:tbl>
    <w:p>
      <w:pPr>
        <w:pStyle w:val="user8"/>
        <w:ind w:firstLine="709"/>
        <w:rPr/>
      </w:pPr>
      <w:r>
        <w:rPr/>
      </w:r>
    </w:p>
    <w:p>
      <w:pPr>
        <w:pStyle w:val="BodyText"/>
        <w:ind w:firstLine="709"/>
        <w:rPr/>
      </w:pPr>
      <w:r>
        <w:rPr/>
        <w:t>1. Товар поставлен в срок и в комплектации  согласно п.п. 1.1 настоящего контракта.</w:t>
      </w:r>
    </w:p>
    <w:p>
      <w:pPr>
        <w:pStyle w:val="BodyText"/>
        <w:ind w:firstLine="709"/>
        <w:rPr/>
      </w:pPr>
      <w:r>
        <w:rPr/>
        <w:t>2. Настоящий акт составлен и подписан в двух экземплярах, имеющих равную силу, и хранится по одному у каждой из Сторон, подписавших настоящий акт.</w:t>
      </w:r>
    </w:p>
    <w:p>
      <w:pPr>
        <w:pStyle w:val="user8"/>
        <w:jc w:val="center"/>
        <w:rPr>
          <w:rFonts w:ascii="Times New Roman" w:hAnsi="Times New Roman" w:cs="Times New Roman"/>
          <w:b/>
          <w:sz w:val="24"/>
          <w:szCs w:val="24"/>
        </w:rPr>
      </w:pPr>
      <w:r>
        <w:rPr>
          <w:rFonts w:cs="Times New Roman" w:ascii="Times New Roman" w:hAnsi="Times New Roman"/>
          <w:b/>
          <w:sz w:val="24"/>
          <w:szCs w:val="24"/>
        </w:rPr>
      </w:r>
    </w:p>
    <w:p>
      <w:pPr>
        <w:pStyle w:val="user8"/>
        <w:jc w:val="center"/>
        <w:rPr>
          <w:rFonts w:ascii="Times New Roman" w:hAnsi="Times New Roman" w:cs="Times New Roman"/>
          <w:b/>
          <w:sz w:val="24"/>
          <w:szCs w:val="24"/>
        </w:rPr>
      </w:pPr>
      <w:r>
        <w:rPr>
          <w:rFonts w:cs="Times New Roman" w:ascii="Times New Roman" w:hAnsi="Times New Roman"/>
          <w:b/>
          <w:sz w:val="24"/>
          <w:szCs w:val="24"/>
        </w:rPr>
        <w:t>ПОДПИСИ СТОРОН:</w:t>
      </w:r>
    </w:p>
    <w:p>
      <w:pPr>
        <w:pStyle w:val="user8"/>
        <w:jc w:val="center"/>
        <w:rPr>
          <w:rFonts w:ascii="Times New Roman" w:hAnsi="Times New Roman" w:cs="Times New Roman"/>
          <w:sz w:val="24"/>
          <w:szCs w:val="24"/>
        </w:rPr>
      </w:pPr>
      <w:r>
        <w:rPr>
          <w:rFonts w:cs="Times New Roman" w:ascii="Times New Roman" w:hAnsi="Times New Roman"/>
          <w:sz w:val="24"/>
          <w:szCs w:val="24"/>
        </w:rPr>
      </w:r>
    </w:p>
    <w:tbl>
      <w:tblPr>
        <w:tblW w:w="10375" w:type="dxa"/>
        <w:jc w:val="start"/>
        <w:tblInd w:w="110" w:type="dxa"/>
        <w:tblLayout w:type="fixed"/>
        <w:tblCellMar>
          <w:top w:w="55" w:type="dxa"/>
          <w:start w:w="55" w:type="dxa"/>
          <w:bottom w:w="55" w:type="dxa"/>
          <w:end w:w="55" w:type="dxa"/>
        </w:tblCellMar>
        <w:tblLook w:val="0000" w:firstRow="0" w:noVBand="0" w:lastRow="0" w:firstColumn="0" w:lastColumn="0" w:noHBand="0"/>
      </w:tblPr>
      <w:tblGrid>
        <w:gridCol w:w="4988"/>
        <w:gridCol w:w="5387"/>
      </w:tblGrid>
      <w:tr>
        <w:trPr>
          <w:trHeight w:val="1077" w:hRule="atLeast"/>
        </w:trPr>
        <w:tc>
          <w:tcPr>
            <w:tcW w:w="4988" w:type="dxa"/>
            <w:tcBorders/>
          </w:tcPr>
          <w:p>
            <w:pPr>
              <w:pStyle w:val="user8"/>
              <w:spacing w:before="120" w:after="120"/>
              <w:ind w:hanging="0"/>
              <w:jc w:val="center"/>
              <w:rPr>
                <w:rFonts w:ascii="Times New Roman" w:hAnsi="Times New Roman" w:cs="Times New Roman"/>
                <w:sz w:val="24"/>
                <w:szCs w:val="24"/>
              </w:rPr>
            </w:pPr>
            <w:r>
              <w:rPr>
                <w:rFonts w:cs="Times New Roman" w:ascii="Times New Roman" w:hAnsi="Times New Roman"/>
                <w:sz w:val="24"/>
                <w:szCs w:val="24"/>
              </w:rPr>
              <w:t>Заказчик: ГБУ ДО ВО «КСШ»</w:t>
            </w:r>
          </w:p>
          <w:p>
            <w:pPr>
              <w:pStyle w:val="user8"/>
              <w:jc w:val="center"/>
              <w:rPr>
                <w:rFonts w:ascii="Times New Roman" w:hAnsi="Times New Roman" w:cs="Times New Roman"/>
                <w:sz w:val="24"/>
                <w:szCs w:val="24"/>
              </w:rPr>
            </w:pPr>
            <w:r>
              <w:rPr>
                <w:rFonts w:cs="Times New Roman" w:ascii="Times New Roman" w:hAnsi="Times New Roman"/>
                <w:sz w:val="24"/>
                <w:szCs w:val="24"/>
              </w:rPr>
            </w:r>
          </w:p>
          <w:p>
            <w:pPr>
              <w:pStyle w:val="user8"/>
              <w:spacing w:before="0" w:after="283"/>
              <w:jc w:val="center"/>
              <w:rPr>
                <w:rFonts w:ascii="Times New Roman" w:hAnsi="Times New Roman" w:cs="Times New Roman"/>
                <w:sz w:val="24"/>
                <w:szCs w:val="24"/>
              </w:rPr>
            </w:pPr>
            <w:r>
              <w:rPr>
                <w:rFonts w:cs="Times New Roman" w:ascii="Times New Roman" w:hAnsi="Times New Roman"/>
                <w:sz w:val="24"/>
                <w:szCs w:val="24"/>
              </w:rPr>
              <w:t>Директор  __________/Е.В.Горбунова</w:t>
            </w:r>
          </w:p>
        </w:tc>
        <w:tc>
          <w:tcPr>
            <w:tcW w:w="5387" w:type="dxa"/>
            <w:tcBorders/>
          </w:tcPr>
          <w:p>
            <w:pPr>
              <w:pStyle w:val="user8"/>
              <w:spacing w:before="120" w:after="120"/>
              <w:ind w:hanging="0"/>
              <w:jc w:val="center"/>
              <w:rPr>
                <w:rFonts w:ascii="Times New Roman" w:hAnsi="Times New Roman" w:cs="Times New Roman"/>
                <w:sz w:val="24"/>
                <w:szCs w:val="24"/>
              </w:rPr>
            </w:pPr>
            <w:r>
              <w:rPr>
                <w:rFonts w:cs="Times New Roman" w:ascii="Times New Roman" w:hAnsi="Times New Roman"/>
                <w:sz w:val="24"/>
                <w:szCs w:val="24"/>
              </w:rPr>
              <w:t>Поставщик:</w:t>
            </w:r>
          </w:p>
          <w:p>
            <w:pPr>
              <w:pStyle w:val="user8"/>
              <w:jc w:val="center"/>
              <w:rPr>
                <w:rFonts w:ascii="Times New Roman" w:hAnsi="Times New Roman" w:cs="Times New Roman"/>
                <w:sz w:val="24"/>
                <w:szCs w:val="24"/>
              </w:rPr>
            </w:pPr>
            <w:r>
              <w:rPr>
                <w:rFonts w:cs="Times New Roman" w:ascii="Times New Roman" w:hAnsi="Times New Roman"/>
                <w:sz w:val="24"/>
                <w:szCs w:val="24"/>
              </w:rPr>
            </w:r>
          </w:p>
          <w:p>
            <w:pPr>
              <w:pStyle w:val="user8"/>
              <w:spacing w:before="120" w:after="120"/>
              <w:jc w:val="center"/>
              <w:rPr>
                <w:rFonts w:ascii="Times New Roman" w:hAnsi="Times New Roman" w:cs="Times New Roman"/>
                <w:sz w:val="24"/>
                <w:szCs w:val="24"/>
              </w:rPr>
            </w:pPr>
            <w:r>
              <w:rPr>
                <w:rFonts w:cs="Times New Roman" w:ascii="Times New Roman" w:hAnsi="Times New Roman"/>
                <w:sz w:val="24"/>
                <w:szCs w:val="24"/>
              </w:rPr>
              <w:t>__________/_______________________/</w:t>
            </w:r>
          </w:p>
        </w:tc>
      </w:tr>
    </w:tbl>
    <w:p>
      <w:pPr>
        <w:pStyle w:val="user8"/>
        <w:jc w:val="center"/>
        <w:rPr>
          <w:rFonts w:ascii="Times New Roman" w:hAnsi="Times New Roman" w:cs="Times New Roman"/>
          <w:sz w:val="24"/>
          <w:szCs w:val="24"/>
        </w:rPr>
      </w:pPr>
      <w:r>
        <w:rPr>
          <w:rFonts w:cs="Times New Roman" w:ascii="Times New Roman" w:hAnsi="Times New Roman"/>
          <w:sz w:val="24"/>
          <w:szCs w:val="24"/>
        </w:rPr>
      </w:r>
    </w:p>
    <w:p>
      <w:pPr>
        <w:pStyle w:val="Normal"/>
        <w:spacing w:before="120" w:after="120"/>
        <w:jc w:val="center"/>
        <w:rPr>
          <w:sz w:val="24"/>
          <w:szCs w:val="24"/>
        </w:rPr>
      </w:pPr>
      <w:r>
        <w:rPr>
          <w:sz w:val="24"/>
          <w:szCs w:val="24"/>
        </w:rPr>
      </w:r>
    </w:p>
    <w:sectPr>
      <w:footerReference w:type="even" r:id="rId9"/>
      <w:footerReference w:type="default" r:id="rId10"/>
      <w:footerReference w:type="first" r:id="rId11"/>
      <w:type w:val="nextPage"/>
      <w:pgSz w:orient="landscape" w:w="16838" w:h="11906"/>
      <w:pgMar w:left="1134" w:right="1134" w:gutter="0" w:header="0" w:top="850" w:footer="708" w:bottom="170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swiss"/>
    <w:pitch w:val="variable"/>
  </w:font>
  <w:font w:name="Times New Roman">
    <w:charset w:val="cc" w:characterSet="windows-1251"/>
    <w:family w:val="roman"/>
    <w:pitch w:val="variable"/>
  </w:font>
  <w:font w:name="Tahoma">
    <w:charset w:val="cc" w:characterSet="windows-1251"/>
    <w:family w:val="swiss"/>
    <w:pitch w:val="variable"/>
  </w:font>
  <w:font w:name="Liberation Sans">
    <w:altName w:val="Arial"/>
    <w:charset w:val="cc" w:characterSet="windows-1251"/>
    <w:family w:val="swiss"/>
    <w:pitch w:val="variable"/>
  </w:font>
  <w:font w:name="Courier New">
    <w:charset w:val="cc" w:characterSet="windows-1251"/>
    <w:family w:val="roman"/>
    <w:pitch w:val="variable"/>
  </w:font>
  <w:font w:name="Arial">
    <w:charset w:val="cc" w:characterSet="windows-1251"/>
    <w:family w:val="swiss"/>
    <w:pitch w:val="variable"/>
  </w:font>
  <w:font w:name="Tahoma">
    <w:altName w:val="Geneva"/>
    <w:charset w:val="cc" w:characterSet="windows-125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10</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10</w:t>
    </w:r>
    <w:r>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14</w:t>
        </w:r>
        <w:r>
          <w:rPr/>
          <w:fldChar w:fldCharType="end"/>
        </w:r>
      </w:p>
    </w:sdtContent>
  </w:sdt>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14</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993"/>
        </w:tabs>
        <w:ind w:start="993" w:hanging="0"/>
      </w:pPr>
      <w:rPr>
        <w:rFonts w:cs="Times New Roman"/>
      </w:rPr>
    </w:lvl>
    <w:lvl w:ilvl="1">
      <w:start w:val="1"/>
      <w:numFmt w:val="decimal"/>
      <w:pStyle w:val="Heading2"/>
      <w:lvlText w:val="%1.%2."/>
      <w:lvlJc w:val="start"/>
      <w:pPr>
        <w:tabs>
          <w:tab w:val="num" w:pos="0"/>
        </w:tabs>
        <w:ind w:start="4254" w:hanging="0"/>
      </w:pPr>
      <w:rPr>
        <w:rFonts w:cs="Times New Roman"/>
        <w:i w:val="false"/>
        <w:color w:val="auto"/>
      </w:rPr>
    </w:lvl>
    <w:lvl w:ilvl="2">
      <w:start w:val="1"/>
      <w:numFmt w:val="decimal"/>
      <w:pStyle w:val="Heading3"/>
      <w:lvlText w:val="%1.%2.%3."/>
      <w:lvlJc w:val="start"/>
      <w:pPr>
        <w:tabs>
          <w:tab w:val="num" w:pos="0"/>
        </w:tabs>
        <w:ind w:start="0" w:hanging="0"/>
      </w:pPr>
      <w:rPr>
        <w:rFonts w:cs="Times New Roman"/>
        <w:i w:val="false"/>
      </w:rPr>
    </w:lvl>
    <w:lvl w:ilvl="3">
      <w:start w:val="1"/>
      <w:numFmt w:val="decimal"/>
      <w:pStyle w:val="Heading4"/>
      <w:lvlText w:val="%1.%2.%3.%4."/>
      <w:lvlJc w:val="start"/>
      <w:pPr>
        <w:tabs>
          <w:tab w:val="num" w:pos="0"/>
        </w:tabs>
        <w:ind w:start="0" w:hanging="0"/>
      </w:pPr>
      <w:rPr>
        <w:rFonts w:cs="Times New Roman"/>
      </w:rPr>
    </w:lvl>
    <w:lvl w:ilvl="4">
      <w:start w:val="1"/>
      <w:numFmt w:val="decimal"/>
      <w:pStyle w:val="Heading5"/>
      <w:lvlText w:val="%1.%2.%3.%4.%5."/>
      <w:lvlJc w:val="start"/>
      <w:pPr>
        <w:tabs>
          <w:tab w:val="num" w:pos="0"/>
        </w:tabs>
        <w:ind w:start="0" w:hanging="0"/>
      </w:pPr>
      <w:rPr>
        <w:rFonts w:cs="Times New Roman"/>
      </w:rPr>
    </w:lvl>
    <w:lvl w:ilvl="5">
      <w:start w:val="1"/>
      <w:numFmt w:val="decimal"/>
      <w:pStyle w:val="Heading6"/>
      <w:lvlText w:val="%1.%2.%3.%4.%5.%6."/>
      <w:lvlJc w:val="start"/>
      <w:pPr>
        <w:tabs>
          <w:tab w:val="num" w:pos="0"/>
        </w:tabs>
        <w:ind w:start="0" w:hanging="0"/>
      </w:pPr>
      <w:rPr>
        <w:rFonts w:cs="Times New Roman"/>
      </w:rPr>
    </w:lvl>
    <w:lvl w:ilvl="6">
      <w:start w:val="1"/>
      <w:numFmt w:val="decimal"/>
      <w:pStyle w:val="Heading7"/>
      <w:lvlText w:val="%1.%2.%3.%4.%5.%6.%7."/>
      <w:lvlJc w:val="start"/>
      <w:pPr>
        <w:tabs>
          <w:tab w:val="num" w:pos="0"/>
        </w:tabs>
        <w:ind w:start="0" w:hanging="0"/>
      </w:pPr>
      <w:rPr>
        <w:rFonts w:cs="Times New Roman"/>
      </w:rPr>
    </w:lvl>
    <w:lvl w:ilvl="7">
      <w:start w:val="1"/>
      <w:numFmt w:val="decimal"/>
      <w:pStyle w:val="Heading8"/>
      <w:lvlText w:val="%1.%2.%3.%4.%5.%6.%7.%8."/>
      <w:lvlJc w:val="start"/>
      <w:pPr>
        <w:tabs>
          <w:tab w:val="num" w:pos="0"/>
        </w:tabs>
        <w:ind w:start="0" w:hanging="0"/>
      </w:pPr>
      <w:rPr>
        <w:rFonts w:cs="Times New Roman"/>
      </w:rPr>
    </w:lvl>
    <w:lvl w:ilvl="8">
      <w:start w:val="1"/>
      <w:numFmt w:val="decimal"/>
      <w:pStyle w:val="Heading9"/>
      <w:lvlText w:val="%1.%2.%3.%4.%5.%6.%7.%8.%9."/>
      <w:lvlJc w:val="start"/>
      <w:pPr>
        <w:tabs>
          <w:tab w:val="num" w:pos="0"/>
        </w:tabs>
        <w:ind w:start="0" w:hanging="0"/>
      </w:pPr>
      <w:rPr>
        <w:rFonts w:cs="Times New Roman"/>
      </w:rPr>
    </w:lvl>
  </w:abstractNum>
  <w:num w:numId="1">
    <w:abstractNumId w:val="1"/>
  </w:num>
</w:numbering>
</file>

<file path=word/settings.xml><?xml version="1.0" encoding="utf-8"?>
<w:settings xmlns:w="http://schemas.openxmlformats.org/wordprocessingml/2006/main">
  <w:zoom w:percent="120"/>
  <w:defaultTabStop w:val="709"/>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0" w:defQFormat="0" w:count="267">
    <w:lsdException w:name="Normal" w:locked="1" w:uiPriority="0" w:semiHidden="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uiPriority="0" w:semiHidden="0"/>
    <w:lsdException w:name="toc 2" w:locked="1" w:uiPriority="0" w:semiHidden="0"/>
    <w:lsdException w:name="toc 3" w:locked="1" w:uiPriority="0" w:semiHidden="0"/>
    <w:lsdException w:name="toc 4" w:locked="1" w:uiPriority="0" w:semiHidden="0"/>
    <w:lsdException w:name="toc 5" w:locked="1" w:uiPriority="0" w:semiHidden="0"/>
    <w:lsdException w:name="toc 6" w:locked="1" w:uiPriority="0" w:semiHidden="0"/>
    <w:lsdException w:name="toc 7" w:locked="1" w:uiPriority="0" w:semiHidden="0"/>
    <w:lsdException w:name="toc 8" w:locked="1" w:uiPriority="0" w:semiHidden="0"/>
    <w:lsdException w:name="toc 9" w:locked="1" w:uiPriority="0" w:semiHidden="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uiPriority="0" w:semiHidden="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uiPriority="0"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uiPriority="0" w:semiHidden="0" w:qFormat="1"/>
    <w:lsdException w:name="Emphasis" w:locked="1" w:uiPriority="0"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uiPriority="0" w:semiHidden="0"/>
    <w:lsdException w:name="Table Theme" w:unhideWhenUsed="1"/>
    <w:lsdException w:name="No Spacing" w:uiPriority="1" w:semiHidden="0" w:qFormat="1"/>
    <w:lsdException w:name="Light Shading" w:uiPriority="60" w:semiHidden="0"/>
    <w:lsdException w:name="Light List" w:uiPriority="61" w:semiHidden="0"/>
    <w:lsdException w:name="Light Grid" w:uiPriority="62" w:semiHidden="0"/>
    <w:lsdException w:name="Medium Shading 1" w:uiPriority="63" w:semiHidden="0"/>
    <w:lsdException w:name="Medium Shading 2" w:uiPriority="64" w:semiHidden="0"/>
    <w:lsdException w:name="Medium List 1" w:uiPriority="65" w:semiHidden="0"/>
    <w:lsdException w:name="Medium List 2" w:uiPriority="66" w:semiHidden="0"/>
    <w:lsdException w:name="Medium Grid 1" w:uiPriority="67" w:semiHidden="0"/>
    <w:lsdException w:name="Medium Grid 2" w:uiPriority="68" w:semiHidden="0"/>
    <w:lsdException w:name="Medium Grid 3" w:uiPriority="69" w:semiHidden="0"/>
    <w:lsdException w:name="Dark List" w:uiPriority="70" w:semiHidden="0"/>
    <w:lsdException w:name="Colorful Shading" w:uiPriority="71" w:semiHidden="0"/>
    <w:lsdException w:name="Colorful List" w:uiPriority="72" w:semiHidden="0"/>
    <w:lsdException w:name="Colorful Grid" w:uiPriority="73" w:semiHidden="0"/>
    <w:lsdException w:name="Light Shading Accent 1" w:uiPriority="60" w:semiHidden="0"/>
    <w:lsdException w:name="Light List Accent 1" w:uiPriority="61" w:semiHidden="0"/>
    <w:lsdException w:name="Light Grid Accent 1" w:uiPriority="62" w:semiHidden="0"/>
    <w:lsdException w:name="Medium Shading 1 Accent 1" w:uiPriority="63" w:semiHidden="0"/>
    <w:lsdException w:name="Medium Shading 2 Accent 1" w:uiPriority="64" w:semiHidden="0"/>
    <w:lsdException w:name="Medium List 1 Accent 1" w:uiPriority="65" w:semiHidden="0"/>
    <w:lsdException w:name="List Paragraph" w:uiPriority="34" w:semiHidden="0" w:qFormat="1"/>
    <w:lsdException w:name="Quote" w:uiPriority="29" w:semiHidden="0" w:qFormat="1"/>
    <w:lsdException w:name="Intense Quote" w:uiPriority="30" w:semiHidden="0" w:qFormat="1"/>
    <w:lsdException w:name="Medium List 2 Accent 1" w:uiPriority="66" w:semiHidden="0"/>
    <w:lsdException w:name="Medium Grid 1 Accent 1" w:uiPriority="67" w:semiHidden="0"/>
    <w:lsdException w:name="Medium Grid 2 Accent 1" w:uiPriority="68" w:semiHidden="0"/>
    <w:lsdException w:name="Medium Grid 3 Accent 1" w:uiPriority="69" w:semiHidden="0"/>
    <w:lsdException w:name="Dark List Accent 1" w:uiPriority="70" w:semiHidden="0"/>
    <w:lsdException w:name="Colorful Shading Accent 1" w:uiPriority="71" w:semiHidden="0"/>
    <w:lsdException w:name="Colorful List Accent 1" w:uiPriority="72" w:semiHidden="0"/>
    <w:lsdException w:name="Colorful Grid Accent 1" w:uiPriority="73" w:semiHidden="0"/>
    <w:lsdException w:name="Light Shading Accent 2" w:uiPriority="60" w:semiHidden="0"/>
    <w:lsdException w:name="Light List Accent 2" w:uiPriority="61" w:semiHidden="0"/>
    <w:lsdException w:name="Light Grid Accent 2" w:uiPriority="62" w:semiHidden="0"/>
    <w:lsdException w:name="Medium Shading 1 Accent 2" w:uiPriority="63" w:semiHidden="0"/>
    <w:lsdException w:name="Medium Shading 2 Accent 2" w:uiPriority="64" w:semiHidden="0"/>
    <w:lsdException w:name="Medium List 1 Accent 2" w:uiPriority="65" w:semiHidden="0"/>
    <w:lsdException w:name="Medium List 2 Accent 2" w:uiPriority="66" w:semiHidden="0"/>
    <w:lsdException w:name="Medium Grid 1 Accent 2" w:uiPriority="67" w:semiHidden="0"/>
    <w:lsdException w:name="Medium Grid 2 Accent 2" w:uiPriority="68" w:semiHidden="0"/>
    <w:lsdException w:name="Medium Grid 3 Accent 2" w:uiPriority="69" w:semiHidden="0"/>
    <w:lsdException w:name="Dark List Accent 2" w:uiPriority="70" w:semiHidden="0"/>
    <w:lsdException w:name="Colorful Shading Accent 2" w:uiPriority="71" w:semiHidden="0"/>
    <w:lsdException w:name="Colorful List Accent 2" w:uiPriority="72" w:semiHidden="0"/>
    <w:lsdException w:name="Colorful Grid Accent 2" w:uiPriority="73" w:semiHidden="0"/>
    <w:lsdException w:name="Light Shading Accent 3" w:uiPriority="60" w:semiHidden="0"/>
    <w:lsdException w:name="Light List Accent 3" w:uiPriority="61" w:semiHidden="0"/>
    <w:lsdException w:name="Light Grid Accent 3" w:uiPriority="62" w:semiHidden="0"/>
    <w:lsdException w:name="Medium Shading 1 Accent 3" w:uiPriority="63" w:semiHidden="0"/>
    <w:lsdException w:name="Medium Shading 2 Accent 3" w:uiPriority="64" w:semiHidden="0"/>
    <w:lsdException w:name="Medium List 1 Accent 3" w:uiPriority="65" w:semiHidden="0"/>
    <w:lsdException w:name="Medium List 2 Accent 3" w:uiPriority="66" w:semiHidden="0"/>
    <w:lsdException w:name="Medium Grid 1 Accent 3" w:uiPriority="67" w:semiHidden="0"/>
    <w:lsdException w:name="Medium Grid 2 Accent 3" w:uiPriority="68" w:semiHidden="0"/>
    <w:lsdException w:name="Medium Grid 3 Accent 3" w:uiPriority="69" w:semiHidden="0"/>
    <w:lsdException w:name="Dark List Accent 3" w:uiPriority="70" w:semiHidden="0"/>
    <w:lsdException w:name="Colorful Shading Accent 3" w:uiPriority="71" w:semiHidden="0"/>
    <w:lsdException w:name="Colorful List Accent 3" w:uiPriority="72" w:semiHidden="0"/>
    <w:lsdException w:name="Colorful Grid Accent 3" w:uiPriority="73" w:semiHidden="0"/>
    <w:lsdException w:name="Light Shading Accent 4" w:uiPriority="60" w:semiHidden="0"/>
    <w:lsdException w:name="Light List Accent 4" w:uiPriority="61" w:semiHidden="0"/>
    <w:lsdException w:name="Light Grid Accent 4" w:uiPriority="62" w:semiHidden="0"/>
    <w:lsdException w:name="Medium Shading 1 Accent 4" w:uiPriority="63" w:semiHidden="0"/>
    <w:lsdException w:name="Medium Shading 2 Accent 4" w:uiPriority="64" w:semiHidden="0"/>
    <w:lsdException w:name="Medium List 1 Accent 4" w:uiPriority="65" w:semiHidden="0"/>
    <w:lsdException w:name="Medium List 2 Accent 4" w:uiPriority="66" w:semiHidden="0"/>
    <w:lsdException w:name="Medium Grid 1 Accent 4" w:uiPriority="67" w:semiHidden="0"/>
    <w:lsdException w:name="Medium Grid 2 Accent 4" w:uiPriority="68" w:semiHidden="0"/>
    <w:lsdException w:name="Medium Grid 3 Accent 4" w:uiPriority="69" w:semiHidden="0"/>
    <w:lsdException w:name="Dark List Accent 4" w:uiPriority="70" w:semiHidden="0"/>
    <w:lsdException w:name="Colorful Shading Accent 4" w:uiPriority="71" w:semiHidden="0"/>
    <w:lsdException w:name="Colorful List Accent 4" w:uiPriority="72" w:semiHidden="0"/>
    <w:lsdException w:name="Colorful Grid Accent 4" w:uiPriority="73" w:semiHidden="0"/>
    <w:lsdException w:name="Light Shading Accent 5" w:uiPriority="60" w:semiHidden="0"/>
    <w:lsdException w:name="Light List Accent 5" w:uiPriority="61" w:semiHidden="0"/>
    <w:lsdException w:name="Light Grid Accent 5" w:uiPriority="62" w:semiHidden="0"/>
    <w:lsdException w:name="Medium Shading 1 Accent 5" w:uiPriority="63" w:semiHidden="0"/>
    <w:lsdException w:name="Medium Shading 2 Accent 5" w:uiPriority="64" w:semiHidden="0"/>
    <w:lsdException w:name="Medium List 1 Accent 5" w:uiPriority="65" w:semiHidden="0"/>
    <w:lsdException w:name="Medium List 2 Accent 5" w:uiPriority="66" w:semiHidden="0"/>
    <w:lsdException w:name="Medium Grid 1 Accent 5" w:uiPriority="67" w:semiHidden="0"/>
    <w:lsdException w:name="Medium Grid 2 Accent 5" w:uiPriority="68" w:semiHidden="0"/>
    <w:lsdException w:name="Medium Grid 3 Accent 5" w:uiPriority="69" w:semiHidden="0"/>
    <w:lsdException w:name="Dark List Accent 5" w:uiPriority="70" w:semiHidden="0"/>
    <w:lsdException w:name="Colorful Shading Accent 5" w:uiPriority="71" w:semiHidden="0"/>
    <w:lsdException w:name="Colorful List Accent 5" w:uiPriority="72" w:semiHidden="0"/>
    <w:lsdException w:name="Colorful Grid Accent 5" w:uiPriority="73" w:semiHidden="0"/>
    <w:lsdException w:name="Light Shading Accent 6" w:uiPriority="60" w:semiHidden="0"/>
    <w:lsdException w:name="Light List Accent 6" w:uiPriority="61" w:semiHidden="0"/>
    <w:lsdException w:name="Light Grid Accent 6" w:uiPriority="62" w:semiHidden="0"/>
    <w:lsdException w:name="Medium Shading 1 Accent 6" w:uiPriority="63" w:semiHidden="0"/>
    <w:lsdException w:name="Medium Shading 2 Accent 6" w:uiPriority="64" w:semiHidden="0"/>
    <w:lsdException w:name="Medium List 1 Accent 6" w:uiPriority="65" w:semiHidden="0"/>
    <w:lsdException w:name="Medium List 2 Accent 6" w:uiPriority="66" w:semiHidden="0"/>
    <w:lsdException w:name="Medium Grid 1 Accent 6" w:uiPriority="67" w:semiHidden="0"/>
    <w:lsdException w:name="Medium Grid 2 Accent 6" w:uiPriority="68" w:semiHidden="0"/>
    <w:lsdException w:name="Medium Grid 3 Accent 6" w:uiPriority="69" w:semiHidden="0"/>
    <w:lsdException w:name="Dark List Accent 6" w:uiPriority="70" w:semiHidden="0"/>
    <w:lsdException w:name="Colorful Shading Accent 6" w:uiPriority="71" w:semiHidden="0"/>
    <w:lsdException w:name="Colorful List Accent 6" w:uiPriority="72" w:semiHidden="0"/>
    <w:lsdException w:name="Colorful Grid Accent 6" w:uiPriority="73" w:semiHidden="0"/>
    <w:lsdException w:name="Subtle Emphasis" w:uiPriority="19" w:semiHidden="0" w:qFormat="1"/>
    <w:lsdException w:name="Intense Emphasis" w:uiPriority="21" w:semiHidden="0" w:qFormat="1"/>
    <w:lsdException w:name="Subtle Reference" w:uiPriority="31" w:semiHidden="0" w:qFormat="1"/>
    <w:lsdException w:name="Intense Reference" w:uiPriority="32" w:semiHidden="0" w:qFormat="1"/>
    <w:lsdException w:name="Book Title" w:uiPriority="33" w:semiHidden="0" w:qFormat="1"/>
    <w:lsdException w:name="Bibliography" w:uiPriority="37" w:unhideWhenUsed="1"/>
    <w:lsdException w:name="TOC Heading" w:uiPriority="39" w:unhideWhenUsed="1" w:qFormat="1"/>
  </w:latentStyles>
  <w:style w:type="paragraph" w:styleId="Normal" w:default="1">
    <w:name w:val="Normal"/>
    <w:qFormat/>
    <w:rsid w:val="00b017ab"/>
    <w:pPr>
      <w:widowControl/>
      <w:suppressAutoHyphens w:val="true"/>
      <w:bidi w:val="0"/>
      <w:spacing w:lineRule="auto" w:line="276" w:before="120" w:after="120"/>
      <w:ind w:firstLine="708"/>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link w:val="1"/>
    <w:uiPriority w:val="99"/>
    <w:qFormat/>
    <w:rsid w:val="00c358b6"/>
    <w:pPr>
      <w:keepNext w:val="true"/>
      <w:keepLines/>
      <w:numPr>
        <w:ilvl w:val="0"/>
        <w:numId w:val="1"/>
      </w:numPr>
      <w:tabs>
        <w:tab w:val="clear" w:pos="709"/>
        <w:tab w:val="left" w:pos="0" w:leader="none"/>
      </w:tabs>
      <w:spacing w:before="240" w:after="120"/>
      <w:ind w:start="0"/>
      <w:jc w:val="center"/>
      <w:outlineLvl w:val="0"/>
    </w:pPr>
    <w:rPr>
      <w:b/>
      <w:bCs/>
      <w:sz w:val="24"/>
      <w:szCs w:val="28"/>
    </w:rPr>
  </w:style>
  <w:style w:type="paragraph" w:styleId="Heading2">
    <w:name w:val="heading 2"/>
    <w:basedOn w:val="Normal"/>
    <w:next w:val="Normal"/>
    <w:link w:val="2"/>
    <w:uiPriority w:val="99"/>
    <w:qFormat/>
    <w:rsid w:val="00c358b6"/>
    <w:pPr>
      <w:numPr>
        <w:ilvl w:val="1"/>
        <w:numId w:val="1"/>
      </w:numPr>
      <w:outlineLvl w:val="1"/>
    </w:pPr>
    <w:rPr>
      <w:bCs/>
      <w:szCs w:val="26"/>
    </w:rPr>
  </w:style>
  <w:style w:type="paragraph" w:styleId="Heading3">
    <w:name w:val="heading 3"/>
    <w:basedOn w:val="Normal"/>
    <w:next w:val="Normal"/>
    <w:link w:val="3"/>
    <w:uiPriority w:val="99"/>
    <w:qFormat/>
    <w:rsid w:val="00c358b6"/>
    <w:pPr>
      <w:numPr>
        <w:ilvl w:val="2"/>
        <w:numId w:val="1"/>
      </w:numPr>
      <w:outlineLvl w:val="2"/>
    </w:pPr>
    <w:rPr>
      <w:bCs/>
    </w:rPr>
  </w:style>
  <w:style w:type="paragraph" w:styleId="Heading4">
    <w:name w:val="heading 4"/>
    <w:basedOn w:val="Normal"/>
    <w:next w:val="Normal"/>
    <w:link w:val="4"/>
    <w:uiPriority w:val="99"/>
    <w:qFormat/>
    <w:rsid w:val="00c358b6"/>
    <w:pPr>
      <w:numPr>
        <w:ilvl w:val="3"/>
        <w:numId w:val="1"/>
      </w:numPr>
      <w:outlineLvl w:val="3"/>
    </w:pPr>
    <w:rPr>
      <w:bCs/>
      <w:iCs/>
    </w:rPr>
  </w:style>
  <w:style w:type="paragraph" w:styleId="Heading5">
    <w:name w:val="heading 5"/>
    <w:basedOn w:val="Normal"/>
    <w:next w:val="Normal"/>
    <w:link w:val="5"/>
    <w:uiPriority w:val="99"/>
    <w:qFormat/>
    <w:rsid w:val="00c358b6"/>
    <w:pPr>
      <w:keepNext w:val="true"/>
      <w:keepLines/>
      <w:numPr>
        <w:ilvl w:val="4"/>
        <w:numId w:val="1"/>
      </w:numPr>
      <w:spacing w:before="200" w:after="0"/>
      <w:outlineLvl w:val="4"/>
    </w:pPr>
    <w:rPr/>
  </w:style>
  <w:style w:type="paragraph" w:styleId="Heading6">
    <w:name w:val="heading 6"/>
    <w:basedOn w:val="Normal"/>
    <w:next w:val="Normal"/>
    <w:link w:val="6"/>
    <w:uiPriority w:val="99"/>
    <w:qFormat/>
    <w:rsid w:val="00c358b6"/>
    <w:pPr>
      <w:keepNext w:val="true"/>
      <w:keepLines/>
      <w:numPr>
        <w:ilvl w:val="5"/>
        <w:numId w:val="1"/>
      </w:numPr>
      <w:spacing w:before="200" w:after="0"/>
      <w:outlineLvl w:val="5"/>
    </w:pPr>
    <w:rPr>
      <w:i/>
      <w:iCs/>
      <w:color w:val="243F60"/>
    </w:rPr>
  </w:style>
  <w:style w:type="paragraph" w:styleId="Heading7">
    <w:name w:val="heading 7"/>
    <w:basedOn w:val="Normal"/>
    <w:next w:val="Normal"/>
    <w:link w:val="7"/>
    <w:uiPriority w:val="99"/>
    <w:qFormat/>
    <w:rsid w:val="00c358b6"/>
    <w:pPr>
      <w:keepNext w:val="true"/>
      <w:keepLines/>
      <w:numPr>
        <w:ilvl w:val="6"/>
        <w:numId w:val="1"/>
      </w:numPr>
      <w:spacing w:before="200" w:after="0"/>
      <w:outlineLvl w:val="6"/>
    </w:pPr>
    <w:rPr>
      <w:i/>
      <w:iCs/>
      <w:color w:val="404040"/>
    </w:rPr>
  </w:style>
  <w:style w:type="paragraph" w:styleId="Heading8">
    <w:name w:val="heading 8"/>
    <w:basedOn w:val="Normal"/>
    <w:next w:val="Normal"/>
    <w:link w:val="8"/>
    <w:uiPriority w:val="99"/>
    <w:qFormat/>
    <w:rsid w:val="00c358b6"/>
    <w:pPr>
      <w:keepNext w:val="true"/>
      <w:keepLines/>
      <w:numPr>
        <w:ilvl w:val="7"/>
        <w:numId w:val="1"/>
      </w:numPr>
      <w:spacing w:before="200" w:after="0"/>
      <w:outlineLvl w:val="7"/>
    </w:pPr>
    <w:rPr>
      <w:color w:val="4F81BD"/>
      <w:szCs w:val="20"/>
    </w:rPr>
  </w:style>
  <w:style w:type="paragraph" w:styleId="Heading9">
    <w:name w:val="heading 9"/>
    <w:basedOn w:val="Normal"/>
    <w:next w:val="Normal"/>
    <w:link w:val="9"/>
    <w:uiPriority w:val="99"/>
    <w:qFormat/>
    <w:rsid w:val="00c358b6"/>
    <w:pPr>
      <w:keepNext w:val="true"/>
      <w:keepLines/>
      <w:numPr>
        <w:ilvl w:val="8"/>
        <w:numId w:val="1"/>
      </w:numPr>
      <w:spacing w:before="200" w:after="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9"/>
    <w:qFormat/>
    <w:locked/>
    <w:rsid w:val="00c358b6"/>
    <w:rPr>
      <w:rFonts w:ascii="Times New Roman" w:hAnsi="Times New Roman" w:eastAsia="Times New Roman"/>
      <w:b/>
      <w:bCs/>
      <w:sz w:val="24"/>
      <w:szCs w:val="28"/>
    </w:rPr>
  </w:style>
  <w:style w:type="character" w:styleId="2" w:customStyle="1">
    <w:name w:val="Заголовок 2 Знак"/>
    <w:basedOn w:val="DefaultParagraphFont"/>
    <w:uiPriority w:val="99"/>
    <w:qFormat/>
    <w:locked/>
    <w:rsid w:val="00c358b6"/>
    <w:rPr>
      <w:rFonts w:ascii="Times New Roman" w:hAnsi="Times New Roman" w:cs="Times New Roman"/>
      <w:bCs/>
      <w:sz w:val="26"/>
      <w:szCs w:val="26"/>
      <w:lang w:eastAsia="ru-RU"/>
    </w:rPr>
  </w:style>
  <w:style w:type="character" w:styleId="3" w:customStyle="1">
    <w:name w:val="Заголовок 3 Знак"/>
    <w:basedOn w:val="DefaultParagraphFont"/>
    <w:uiPriority w:val="99"/>
    <w:qFormat/>
    <w:locked/>
    <w:rsid w:val="00c358b6"/>
    <w:rPr>
      <w:rFonts w:ascii="Times New Roman" w:hAnsi="Times New Roman" w:cs="Times New Roman"/>
      <w:bCs/>
      <w:lang w:eastAsia="ru-RU"/>
    </w:rPr>
  </w:style>
  <w:style w:type="character" w:styleId="4" w:customStyle="1">
    <w:name w:val="Заголовок 4 Знак"/>
    <w:basedOn w:val="DefaultParagraphFont"/>
    <w:uiPriority w:val="99"/>
    <w:qFormat/>
    <w:locked/>
    <w:rsid w:val="00c358b6"/>
    <w:rPr>
      <w:rFonts w:ascii="Times New Roman" w:hAnsi="Times New Roman" w:cs="Times New Roman"/>
      <w:bCs/>
      <w:iCs/>
      <w:lang w:eastAsia="ru-RU"/>
    </w:rPr>
  </w:style>
  <w:style w:type="character" w:styleId="5" w:customStyle="1">
    <w:name w:val="Заголовок 5 Знак"/>
    <w:basedOn w:val="DefaultParagraphFont"/>
    <w:uiPriority w:val="99"/>
    <w:qFormat/>
    <w:locked/>
    <w:rsid w:val="00c358b6"/>
    <w:rPr>
      <w:rFonts w:ascii="Times New Roman" w:hAnsi="Times New Roman" w:cs="Times New Roman"/>
      <w:lang w:eastAsia="ru-RU"/>
    </w:rPr>
  </w:style>
  <w:style w:type="character" w:styleId="6" w:customStyle="1">
    <w:name w:val="Заголовок 6 Знак"/>
    <w:basedOn w:val="DefaultParagraphFont"/>
    <w:uiPriority w:val="99"/>
    <w:qFormat/>
    <w:locked/>
    <w:rsid w:val="00c358b6"/>
    <w:rPr>
      <w:rFonts w:ascii="Times New Roman" w:hAnsi="Times New Roman" w:cs="Times New Roman"/>
      <w:i/>
      <w:iCs/>
      <w:color w:val="243F60"/>
      <w:lang w:eastAsia="ru-RU"/>
    </w:rPr>
  </w:style>
  <w:style w:type="character" w:styleId="7" w:customStyle="1">
    <w:name w:val="Заголовок 7 Знак"/>
    <w:basedOn w:val="DefaultParagraphFont"/>
    <w:uiPriority w:val="99"/>
    <w:qFormat/>
    <w:locked/>
    <w:rsid w:val="00c358b6"/>
    <w:rPr>
      <w:rFonts w:ascii="Times New Roman" w:hAnsi="Times New Roman" w:cs="Times New Roman"/>
      <w:i/>
      <w:iCs/>
      <w:color w:val="404040"/>
      <w:lang w:eastAsia="ru-RU"/>
    </w:rPr>
  </w:style>
  <w:style w:type="character" w:styleId="8" w:customStyle="1">
    <w:name w:val="Заголовок 8 Знак"/>
    <w:basedOn w:val="DefaultParagraphFont"/>
    <w:uiPriority w:val="99"/>
    <w:qFormat/>
    <w:locked/>
    <w:rsid w:val="00c358b6"/>
    <w:rPr>
      <w:rFonts w:ascii="Times New Roman" w:hAnsi="Times New Roman" w:cs="Times New Roman"/>
      <w:color w:val="4F81BD"/>
      <w:sz w:val="20"/>
      <w:szCs w:val="20"/>
      <w:lang w:eastAsia="ru-RU"/>
    </w:rPr>
  </w:style>
  <w:style w:type="character" w:styleId="9" w:customStyle="1">
    <w:name w:val="Заголовок 9 Знак"/>
    <w:basedOn w:val="DefaultParagraphFont"/>
    <w:uiPriority w:val="99"/>
    <w:qFormat/>
    <w:locked/>
    <w:rsid w:val="00c358b6"/>
    <w:rPr>
      <w:rFonts w:ascii="Times New Roman" w:hAnsi="Times New Roman" w:cs="Times New Roman"/>
      <w:i/>
      <w:iCs/>
      <w:color w:val="404040"/>
      <w:sz w:val="20"/>
      <w:szCs w:val="20"/>
      <w:lang w:eastAsia="ru-RU"/>
    </w:rPr>
  </w:style>
  <w:style w:type="character" w:styleId="Style5" w:customStyle="1">
    <w:name w:val="Название Знак"/>
    <w:basedOn w:val="DefaultParagraphFont"/>
    <w:uiPriority w:val="99"/>
    <w:qFormat/>
    <w:locked/>
    <w:rsid w:val="00c358b6"/>
    <w:rPr>
      <w:rFonts w:ascii="Times New Roman" w:hAnsi="Times New Roman" w:cs="Times New Roman"/>
      <w:b/>
      <w:spacing w:val="5"/>
      <w:kern w:val="2"/>
      <w:sz w:val="52"/>
      <w:szCs w:val="52"/>
      <w:lang w:eastAsia="ru-RU"/>
    </w:rPr>
  </w:style>
  <w:style w:type="character" w:styleId="21" w:customStyle="1">
    <w:name w:val="Цитата 2 Знак"/>
    <w:basedOn w:val="DefaultParagraphFont"/>
    <w:link w:val="Quote"/>
    <w:uiPriority w:val="99"/>
    <w:qFormat/>
    <w:locked/>
    <w:rsid w:val="00c358b6"/>
    <w:rPr>
      <w:rFonts w:ascii="Times New Roman" w:hAnsi="Times New Roman" w:cs="Times New Roman"/>
      <w:i/>
      <w:iCs/>
      <w:color w:val="8064A2"/>
      <w:lang w:eastAsia="ru-RU"/>
    </w:rPr>
  </w:style>
  <w:style w:type="character" w:styleId="Style6" w:customStyle="1">
    <w:name w:val="Нижний колонтитул Знак"/>
    <w:basedOn w:val="DefaultParagraphFont"/>
    <w:uiPriority w:val="99"/>
    <w:qFormat/>
    <w:locked/>
    <w:rsid w:val="00c358b6"/>
    <w:rPr>
      <w:rFonts w:ascii="Times New Roman" w:hAnsi="Times New Roman" w:cs="Times New Roman"/>
      <w:sz w:val="20"/>
      <w:szCs w:val="20"/>
      <w:lang w:eastAsia="ru-RU"/>
    </w:rPr>
  </w:style>
  <w:style w:type="character" w:styleId="Style7" w:customStyle="1">
    <w:name w:val="Текст выноски Знак"/>
    <w:basedOn w:val="DefaultParagraphFont"/>
    <w:link w:val="BalloonText"/>
    <w:uiPriority w:val="99"/>
    <w:semiHidden/>
    <w:qFormat/>
    <w:locked/>
    <w:rsid w:val="00c358b6"/>
    <w:rPr>
      <w:rFonts w:ascii="Tahoma" w:hAnsi="Tahoma" w:cs="Tahoma"/>
      <w:sz w:val="16"/>
      <w:szCs w:val="16"/>
      <w:lang w:eastAsia="ru-RU"/>
    </w:rPr>
  </w:style>
  <w:style w:type="character" w:styleId="Hyperlink">
    <w:name w:val="Hyperlink"/>
    <w:basedOn w:val="DefaultParagraphFont"/>
    <w:uiPriority w:val="99"/>
    <w:unhideWhenUsed/>
    <w:rsid w:val="0023648d"/>
    <w:rPr>
      <w:color w:val="0000FF"/>
      <w:u w:val="single"/>
    </w:rPr>
  </w:style>
  <w:style w:type="character" w:styleId="Style8" w:customStyle="1">
    <w:name w:val="Без интервала Знак"/>
    <w:link w:val="NoSpacing"/>
    <w:qFormat/>
    <w:locked/>
    <w:rsid w:val="00770e8f"/>
    <w:rPr>
      <w:rFonts w:cs="Calibri"/>
    </w:rPr>
  </w:style>
  <w:style w:type="character" w:styleId="apple-converted-space" w:customStyle="1">
    <w:name w:val="apple-converted-space"/>
    <w:basedOn w:val="DefaultParagraphFont"/>
    <w:qFormat/>
    <w:rsid w:val="00560f53"/>
    <w:rPr/>
  </w:style>
  <w:style w:type="character" w:styleId="Style9" w:customStyle="1">
    <w:name w:val="Текст концевой сноски Знак"/>
    <w:basedOn w:val="DefaultParagraphFont"/>
    <w:uiPriority w:val="99"/>
    <w:semiHidden/>
    <w:qFormat/>
    <w:rsid w:val="00560f53"/>
    <w:rPr>
      <w:rFonts w:ascii="Times New Roman" w:hAnsi="Times New Roman" w:eastAsia="Times New Roman"/>
      <w:sz w:val="20"/>
      <w:szCs w:val="20"/>
    </w:rPr>
  </w:style>
  <w:style w:type="character" w:styleId="user" w:customStyle="1">
    <w:name w:val="Символ концевой сноски (user)"/>
    <w:uiPriority w:val="99"/>
    <w:unhideWhenUsed/>
    <w:qFormat/>
    <w:rsid w:val="00560f53"/>
    <w:rPr>
      <w:vertAlign w:val="superscript"/>
    </w:rPr>
  </w:style>
  <w:style w:type="character" w:styleId="Style10" w:customStyle="1">
    <w:name w:val="Символ концевой сноски"/>
    <w:qFormat/>
    <w:rsid w:val="00543993"/>
    <w:rPr>
      <w:vertAlign w:val="superscript"/>
    </w:rPr>
  </w:style>
  <w:style w:type="character" w:styleId="EndnoteReference">
    <w:name w:val="endnote reference"/>
    <w:rPr>
      <w:vertAlign w:val="superscript"/>
    </w:rPr>
  </w:style>
  <w:style w:type="character" w:styleId="Style11" w:customStyle="1">
    <w:name w:val="Текст сноски Знак"/>
    <w:basedOn w:val="DefaultParagraphFont"/>
    <w:uiPriority w:val="99"/>
    <w:semiHidden/>
    <w:qFormat/>
    <w:rsid w:val="00f4015c"/>
    <w:rPr>
      <w:rFonts w:ascii="Times New Roman" w:hAnsi="Times New Roman" w:eastAsia="Times New Roman"/>
      <w:sz w:val="20"/>
      <w:szCs w:val="20"/>
    </w:rPr>
  </w:style>
  <w:style w:type="character" w:styleId="11" w:customStyle="1">
    <w:name w:val="Текст сноски Знак1"/>
    <w:basedOn w:val="DefaultParagraphFont"/>
    <w:uiPriority w:val="99"/>
    <w:qFormat/>
    <w:rsid w:val="00f4015c"/>
    <w:rPr>
      <w:rFonts w:ascii="Tahoma" w:hAnsi="Tahoma" w:eastAsia="Times New Roman"/>
      <w:sz w:val="20"/>
      <w:szCs w:val="20"/>
      <w:lang w:val="en-US" w:eastAsia="en-US"/>
    </w:rPr>
  </w:style>
  <w:style w:type="character" w:styleId="user1" w:customStyle="1">
    <w:name w:val="Символ сноски (user)"/>
    <w:link w:val="14"/>
    <w:uiPriority w:val="99"/>
    <w:unhideWhenUsed/>
    <w:qFormat/>
    <w:rsid w:val="00f4015c"/>
    <w:rPr>
      <w:vertAlign w:val="superscript"/>
    </w:rPr>
  </w:style>
  <w:style w:type="character" w:styleId="Style12" w:customStyle="1">
    <w:name w:val="Символ сноски"/>
    <w:qFormat/>
    <w:rsid w:val="00543993"/>
    <w:rPr>
      <w:vertAlign w:val="superscript"/>
    </w:rPr>
  </w:style>
  <w:style w:type="character" w:styleId="FootnoteReference">
    <w:name w:val="footnote reference"/>
    <w:rPr>
      <w:vertAlign w:val="superscript"/>
    </w:rPr>
  </w:style>
  <w:style w:type="character" w:styleId="ConsPlusNormal" w:customStyle="1">
    <w:name w:val="ConsPlusNormal Знак"/>
    <w:link w:val="ConsPlusNormal1"/>
    <w:qFormat/>
    <w:locked/>
    <w:rsid w:val="00f4015c"/>
    <w:rPr>
      <w:rFonts w:ascii="Times New Roman" w:hAnsi="Times New Roman"/>
      <w:lang w:eastAsia="en-US"/>
    </w:rPr>
  </w:style>
  <w:style w:type="character" w:styleId="CommentReference">
    <w:name w:val="annotation reference"/>
    <w:basedOn w:val="DefaultParagraphFont"/>
    <w:uiPriority w:val="99"/>
    <w:semiHidden/>
    <w:unhideWhenUsed/>
    <w:qFormat/>
    <w:rsid w:val="009600fb"/>
    <w:rPr>
      <w:sz w:val="16"/>
      <w:szCs w:val="16"/>
    </w:rPr>
  </w:style>
  <w:style w:type="character" w:styleId="Style13" w:customStyle="1">
    <w:name w:val="Текст примечания Знак"/>
    <w:basedOn w:val="DefaultParagraphFont"/>
    <w:uiPriority w:val="99"/>
    <w:semiHidden/>
    <w:qFormat/>
    <w:rsid w:val="009600fb"/>
    <w:rPr>
      <w:rFonts w:ascii="Times New Roman" w:hAnsi="Times New Roman" w:eastAsia="Times New Roman"/>
      <w:sz w:val="20"/>
      <w:szCs w:val="20"/>
    </w:rPr>
  </w:style>
  <w:style w:type="character" w:styleId="Style14" w:customStyle="1">
    <w:name w:val="Тема примечания Знак"/>
    <w:basedOn w:val="Style13"/>
    <w:link w:val="annotationsubject"/>
    <w:uiPriority w:val="99"/>
    <w:semiHidden/>
    <w:qFormat/>
    <w:rsid w:val="009600fb"/>
    <w:rPr>
      <w:rFonts w:ascii="Times New Roman" w:hAnsi="Times New Roman" w:eastAsia="Times New Roman"/>
      <w:b/>
      <w:bCs/>
      <w:sz w:val="20"/>
      <w:szCs w:val="20"/>
    </w:rPr>
  </w:style>
  <w:style w:type="character" w:styleId="Style15" w:customStyle="1">
    <w:name w:val="Верхний колонтитул Знак"/>
    <w:basedOn w:val="DefaultParagraphFont"/>
    <w:uiPriority w:val="99"/>
    <w:qFormat/>
    <w:rsid w:val="00066d73"/>
    <w:rPr>
      <w:rFonts w:ascii="Times New Roman" w:hAnsi="Times New Roman" w:eastAsia="Times New Roman"/>
    </w:rPr>
  </w:style>
  <w:style w:type="character" w:styleId="12" w:customStyle="1">
    <w:name w:val="Название Знак1"/>
    <w:basedOn w:val="DefaultParagraphFont"/>
    <w:uiPriority w:val="99"/>
    <w:qFormat/>
    <w:locked/>
    <w:rsid w:val="00a6017e"/>
    <w:rPr>
      <w:rFonts w:ascii="Times New Roman" w:hAnsi="Times New Roman" w:cs="Times New Roman"/>
      <w:b/>
      <w:spacing w:val="5"/>
      <w:kern w:val="2"/>
      <w:sz w:val="52"/>
      <w:szCs w:val="52"/>
      <w:lang w:eastAsia="ru-RU"/>
    </w:rPr>
  </w:style>
  <w:style w:type="character" w:styleId="FontStyle83" w:customStyle="1">
    <w:name w:val="Font Style83"/>
    <w:qFormat/>
    <w:rPr>
      <w:rFonts w:ascii="Times New Roman" w:hAnsi="Times New Roman"/>
      <w:b/>
      <w:sz w:val="20"/>
    </w:rPr>
  </w:style>
  <w:style w:type="paragraph" w:styleId="Style16" w:customStyle="1">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543993"/>
    <w:pPr>
      <w:spacing w:before="0" w:after="140"/>
    </w:pPr>
    <w:rPr/>
  </w:style>
  <w:style w:type="paragraph" w:styleId="List">
    <w:name w:val="List"/>
    <w:basedOn w:val="BodyText"/>
    <w:rsid w:val="00543993"/>
    <w:pPr/>
    <w:rPr>
      <w:rFonts w:cs="Arial"/>
    </w:rPr>
  </w:style>
  <w:style w:type="paragraph" w:styleId="Caption">
    <w:name w:val="caption"/>
    <w:basedOn w:val="Normal"/>
    <w:qFormat/>
    <w:rsid w:val="00543993"/>
    <w:pPr>
      <w:suppressLineNumbers/>
    </w:pPr>
    <w:rPr>
      <w:rFonts w:cs="Arial"/>
      <w:i/>
      <w:iCs/>
      <w:sz w:val="24"/>
      <w:szCs w:val="24"/>
    </w:rPr>
  </w:style>
  <w:style w:type="paragraph" w:styleId="Style17">
    <w:name w:val="Указатель"/>
    <w:basedOn w:val="Normal"/>
    <w:qFormat/>
    <w:pPr>
      <w:suppressLineNumbers/>
    </w:pPr>
    <w:rPr>
      <w:rFonts w:cs="Arial"/>
    </w:rPr>
  </w:style>
  <w:style w:type="paragraph" w:styleId="user2" w:customStyle="1">
    <w:name w:val="Заголовок (user)"/>
    <w:basedOn w:val="Normal"/>
    <w:next w:val="BodyText"/>
    <w:qFormat/>
    <w:rsid w:val="00543993"/>
    <w:pPr>
      <w:keepNext w:val="true"/>
      <w:spacing w:before="240" w:after="120"/>
    </w:pPr>
    <w:rPr>
      <w:rFonts w:ascii="Liberation Sans" w:hAnsi="Liberation Sans" w:eastAsia="Microsoft YaHei" w:cs="Arial"/>
      <w:sz w:val="28"/>
      <w:szCs w:val="28"/>
    </w:rPr>
  </w:style>
  <w:style w:type="paragraph" w:styleId="user3" w:customStyle="1">
    <w:name w:val="Указатель (user)"/>
    <w:basedOn w:val="Normal"/>
    <w:qFormat/>
    <w:pPr>
      <w:suppressLineNumbers/>
    </w:pPr>
    <w:rPr>
      <w:rFonts w:cs="Arial"/>
    </w:rPr>
  </w:style>
  <w:style w:type="paragraph" w:styleId="IndexHeading">
    <w:name w:val="index heading"/>
    <w:basedOn w:val="Normal"/>
    <w:qFormat/>
    <w:rsid w:val="00543993"/>
    <w:pPr>
      <w:suppressLineNumbers/>
    </w:pPr>
    <w:rPr>
      <w:rFonts w:cs="Arial"/>
    </w:rPr>
  </w:style>
  <w:style w:type="paragraph" w:styleId="Normalunindented" w:customStyle="1">
    <w:name w:val="Normal unindented"/>
    <w:uiPriority w:val="99"/>
    <w:qFormat/>
    <w:rsid w:val="00c358b6"/>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normal" w:customStyle="1">
    <w:name w:val="heading 1 normal"/>
    <w:basedOn w:val="Normal"/>
    <w:next w:val="Normal"/>
    <w:uiPriority w:val="99"/>
    <w:qFormat/>
    <w:rsid w:val="00c358b6"/>
    <w:pPr>
      <w:tabs>
        <w:tab w:val="clear" w:pos="709"/>
        <w:tab w:val="left" w:pos="0" w:leader="none"/>
      </w:tabs>
      <w:ind w:hanging="0"/>
      <w:outlineLvl w:val="0"/>
    </w:pPr>
    <w:rPr/>
  </w:style>
  <w:style w:type="paragraph" w:styleId="Title">
    <w:name w:val="Title"/>
    <w:basedOn w:val="Normal"/>
    <w:next w:val="Normal"/>
    <w:link w:val="Style5"/>
    <w:uiPriority w:val="99"/>
    <w:qFormat/>
    <w:rsid w:val="00c358b6"/>
    <w:pPr>
      <w:spacing w:lineRule="auto" w:line="240" w:before="120" w:after="300"/>
      <w:contextualSpacing/>
      <w:jc w:val="center"/>
      <w:outlineLvl w:val="0"/>
    </w:pPr>
    <w:rPr>
      <w:b/>
      <w:spacing w:val="5"/>
      <w:kern w:val="2"/>
      <w:sz w:val="28"/>
      <w:szCs w:val="52"/>
    </w:rPr>
  </w:style>
  <w:style w:type="paragraph" w:styleId="ListParagraph">
    <w:name w:val="List Paragraph"/>
    <w:basedOn w:val="Normal"/>
    <w:uiPriority w:val="99"/>
    <w:qFormat/>
    <w:rsid w:val="00c358b6"/>
    <w:pPr>
      <w:spacing w:before="120" w:after="120"/>
      <w:contextualSpacing/>
      <w:jc w:val="start"/>
    </w:pPr>
    <w:rPr/>
  </w:style>
  <w:style w:type="paragraph" w:styleId="Quote">
    <w:name w:val="Quote"/>
    <w:basedOn w:val="Normal"/>
    <w:next w:val="Normal"/>
    <w:link w:val="21"/>
    <w:uiPriority w:val="99"/>
    <w:qFormat/>
    <w:rsid w:val="00c358b6"/>
    <w:pPr/>
    <w:rPr>
      <w:i/>
      <w:iCs/>
      <w:color w:val="8064A2"/>
    </w:rPr>
  </w:style>
  <w:style w:type="paragraph" w:styleId="Warning" w:customStyle="1">
    <w:name w:val="Warning"/>
    <w:basedOn w:val="Normal"/>
    <w:next w:val="Normal"/>
    <w:uiPriority w:val="99"/>
    <w:qFormat/>
    <w:rsid w:val="00c358b6"/>
    <w:pPr/>
    <w:rPr>
      <w:i/>
      <w:iCs/>
      <w:color w:val="E36C0A"/>
    </w:rPr>
  </w:style>
  <w:style w:type="paragraph" w:styleId="user4" w:customStyle="1">
    <w:name w:val="Колонтитулы (user)"/>
    <w:basedOn w:val="Normal"/>
    <w:qFormat/>
    <w:rsid w:val="00543993"/>
    <w:pPr/>
    <w:rPr/>
  </w:style>
  <w:style w:type="paragraph" w:styleId="Style18" w:customStyle="1">
    <w:name w:val="Колонтитулы"/>
    <w:basedOn w:val="Normal"/>
    <w:qFormat/>
    <w:pPr/>
    <w:rPr/>
  </w:style>
  <w:style w:type="paragraph" w:styleId="Footer">
    <w:name w:val="footer"/>
    <w:basedOn w:val="Normal"/>
    <w:link w:val="Style6"/>
    <w:uiPriority w:val="99"/>
    <w:rsid w:val="00c358b6"/>
    <w:pPr>
      <w:tabs>
        <w:tab w:val="clear" w:pos="709"/>
        <w:tab w:val="center" w:pos="4677" w:leader="none"/>
        <w:tab w:val="right" w:pos="9355" w:leader="none"/>
      </w:tabs>
      <w:spacing w:lineRule="auto" w:line="240" w:before="0" w:after="0"/>
      <w:jc w:val="center"/>
    </w:pPr>
    <w:rPr>
      <w:sz w:val="16"/>
      <w:szCs w:val="20"/>
    </w:rPr>
  </w:style>
  <w:style w:type="paragraph" w:styleId="BalloonText">
    <w:name w:val="Balloon Text"/>
    <w:basedOn w:val="Normal"/>
    <w:link w:val="Style7"/>
    <w:uiPriority w:val="99"/>
    <w:semiHidden/>
    <w:qFormat/>
    <w:rsid w:val="00c358b6"/>
    <w:pPr>
      <w:spacing w:lineRule="auto" w:line="240" w:before="0" w:after="0"/>
    </w:pPr>
    <w:rPr>
      <w:rFonts w:ascii="Tahoma" w:hAnsi="Tahoma" w:cs="Tahoma"/>
      <w:sz w:val="16"/>
      <w:szCs w:val="16"/>
    </w:rPr>
  </w:style>
  <w:style w:type="paragraph" w:styleId="ConsPlusNormal1" w:customStyle="1">
    <w:name w:val="ConsPlusNormal"/>
    <w:link w:val="ConsPlusNormal"/>
    <w:qFormat/>
    <w:rsid w:val="00d4268e"/>
    <w:pPr>
      <w:widowControl/>
      <w:suppressAutoHyphens w:val="true"/>
      <w:bidi w:val="0"/>
      <w:spacing w:before="0" w:after="0"/>
      <w:jc w:val="start"/>
    </w:pPr>
    <w:rPr>
      <w:rFonts w:ascii="Times New Roman" w:hAnsi="Times New Roman" w:eastAsia="Calibri" w:cs="Times New Roman"/>
      <w:color w:val="auto"/>
      <w:kern w:val="0"/>
      <w:sz w:val="22"/>
      <w:szCs w:val="22"/>
      <w:lang w:val="ru-RU" w:eastAsia="en-US" w:bidi="ar-SA"/>
    </w:rPr>
  </w:style>
  <w:style w:type="paragraph" w:styleId="13" w:customStyle="1">
    <w:name w:val="Маркер1"/>
    <w:basedOn w:val="Normal"/>
    <w:qFormat/>
    <w:rsid w:val="00770e8f"/>
    <w:pPr>
      <w:widowControl w:val="false"/>
      <w:tabs>
        <w:tab w:val="clear" w:pos="709"/>
        <w:tab w:val="left" w:pos="360" w:leader="none"/>
      </w:tabs>
      <w:spacing w:lineRule="atLeast" w:line="300" w:before="120" w:after="0"/>
      <w:ind w:hanging="0"/>
    </w:pPr>
    <w:rPr>
      <w:sz w:val="24"/>
      <w:szCs w:val="20"/>
      <w:lang w:eastAsia="zh-CN"/>
    </w:rPr>
  </w:style>
  <w:style w:type="paragraph" w:styleId="NoSpacing">
    <w:name w:val="No Spacing"/>
    <w:link w:val="Style8"/>
    <w:uiPriority w:val="1"/>
    <w:qFormat/>
    <w:rsid w:val="00770e8f"/>
    <w:pPr>
      <w:widowControl/>
      <w:suppressAutoHyphens w:val="true"/>
      <w:bidi w:val="0"/>
      <w:spacing w:before="0" w:after="0"/>
      <w:jc w:val="start"/>
    </w:pPr>
    <w:rPr>
      <w:rFonts w:ascii="Calibri" w:hAnsi="Calibri" w:eastAsia="Calibri" w:cs="Calibri"/>
      <w:color w:val="auto"/>
      <w:kern w:val="0"/>
      <w:sz w:val="22"/>
      <w:szCs w:val="22"/>
      <w:lang w:val="ru-RU" w:eastAsia="ru-RU" w:bidi="ar-SA"/>
    </w:rPr>
  </w:style>
  <w:style w:type="paragraph" w:styleId="NormalWeb">
    <w:name w:val="Normal (Web)"/>
    <w:basedOn w:val="Normal"/>
    <w:uiPriority w:val="99"/>
    <w:unhideWhenUsed/>
    <w:qFormat/>
    <w:rsid w:val="00560f53"/>
    <w:pPr>
      <w:spacing w:lineRule="auto" w:line="240" w:beforeAutospacing="1" w:afterAutospacing="1"/>
      <w:ind w:hanging="0"/>
      <w:jc w:val="start"/>
    </w:pPr>
    <w:rPr>
      <w:sz w:val="24"/>
      <w:szCs w:val="24"/>
    </w:rPr>
  </w:style>
  <w:style w:type="paragraph" w:styleId="EndnoteText">
    <w:name w:val="endnote text"/>
    <w:basedOn w:val="Normal"/>
    <w:link w:val="Style9"/>
    <w:uiPriority w:val="99"/>
    <w:semiHidden/>
    <w:unhideWhenUsed/>
    <w:rsid w:val="00560f53"/>
    <w:pPr>
      <w:spacing w:lineRule="auto" w:line="240" w:before="0" w:after="0"/>
      <w:ind w:hanging="0"/>
      <w:jc w:val="start"/>
    </w:pPr>
    <w:rPr>
      <w:sz w:val="20"/>
      <w:szCs w:val="20"/>
    </w:rPr>
  </w:style>
  <w:style w:type="paragraph" w:styleId="FootnoteText">
    <w:name w:val="footnote text"/>
    <w:basedOn w:val="Normal"/>
    <w:link w:val="11"/>
    <w:uiPriority w:val="99"/>
    <w:unhideWhenUsed/>
    <w:qFormat/>
    <w:rsid w:val="00f4015c"/>
    <w:pPr>
      <w:spacing w:lineRule="auto" w:line="240" w:beforeAutospacing="1" w:afterAutospacing="1"/>
      <w:ind w:hanging="0"/>
      <w:jc w:val="start"/>
    </w:pPr>
    <w:rPr>
      <w:rFonts w:ascii="Tahoma" w:hAnsi="Tahoma"/>
      <w:sz w:val="20"/>
      <w:szCs w:val="20"/>
      <w:lang w:val="en-US" w:eastAsia="en-US"/>
    </w:rPr>
  </w:style>
  <w:style w:type="paragraph" w:styleId="14" w:customStyle="1">
    <w:name w:val="Знак сноски1"/>
    <w:basedOn w:val="Normal"/>
    <w:link w:val="Style12"/>
    <w:uiPriority w:val="99"/>
    <w:qFormat/>
    <w:rsid w:val="00f4015c"/>
    <w:pPr>
      <w:spacing w:before="0" w:after="200"/>
      <w:ind w:hanging="0"/>
      <w:jc w:val="start"/>
    </w:pPr>
    <w:rPr>
      <w:rFonts w:ascii="Calibri" w:hAnsi="Calibri" w:eastAsia="Calibri"/>
      <w:vertAlign w:val="superscript"/>
    </w:rPr>
  </w:style>
  <w:style w:type="paragraph" w:styleId="CommentText">
    <w:name w:val="annotation text"/>
    <w:basedOn w:val="Normal"/>
    <w:link w:val="Style13"/>
    <w:uiPriority w:val="99"/>
    <w:semiHidden/>
    <w:unhideWhenUsed/>
    <w:rsid w:val="009600fb"/>
    <w:pPr>
      <w:spacing w:lineRule="auto" w:line="240"/>
    </w:pPr>
    <w:rPr>
      <w:sz w:val="20"/>
      <w:szCs w:val="20"/>
    </w:rPr>
  </w:style>
  <w:style w:type="paragraph" w:styleId="annotationsubject">
    <w:name w:val="annotation subject"/>
    <w:basedOn w:val="CommentText"/>
    <w:next w:val="CommentText"/>
    <w:link w:val="Style14"/>
    <w:uiPriority w:val="99"/>
    <w:semiHidden/>
    <w:unhideWhenUsed/>
    <w:qFormat/>
    <w:rsid w:val="009600fb"/>
    <w:pPr/>
    <w:rPr>
      <w:b/>
      <w:bCs/>
    </w:rPr>
  </w:style>
  <w:style w:type="paragraph" w:styleId="Header">
    <w:name w:val="header"/>
    <w:basedOn w:val="Normal"/>
    <w:link w:val="Style15"/>
    <w:uiPriority w:val="99"/>
    <w:unhideWhenUsed/>
    <w:rsid w:val="00066d73"/>
    <w:pPr>
      <w:tabs>
        <w:tab w:val="clear" w:pos="709"/>
        <w:tab w:val="center" w:pos="4677" w:leader="none"/>
        <w:tab w:val="right" w:pos="9355" w:leader="none"/>
      </w:tabs>
      <w:spacing w:lineRule="auto" w:line="240" w:before="0" w:after="0"/>
    </w:pPr>
    <w:rPr/>
  </w:style>
  <w:style w:type="paragraph" w:styleId="Style19" w:customStyle="1">
    <w:name w:val="Содержимое врезки"/>
    <w:basedOn w:val="Normal"/>
    <w:qFormat/>
    <w:pPr/>
    <w:rPr/>
  </w:style>
  <w:style w:type="paragraph" w:styleId="user5" w:customStyle="1">
    <w:name w:val="Содержимое врезки (user)"/>
    <w:basedOn w:val="Normal"/>
    <w:qFormat/>
    <w:pPr/>
    <w:rPr/>
  </w:style>
  <w:style w:type="paragraph" w:styleId="user6" w:customStyle="1">
    <w:name w:val="Содержимое таблицы (user)"/>
    <w:basedOn w:val="Normal"/>
    <w:qFormat/>
    <w:pPr>
      <w:widowControl w:val="false"/>
      <w:suppressLineNumbers/>
    </w:pPr>
    <w:rPr/>
  </w:style>
  <w:style w:type="paragraph" w:styleId="user7" w:customStyle="1">
    <w:name w:val="Заголовок таблицы (user)"/>
    <w:basedOn w:val="user6"/>
    <w:qFormat/>
    <w:pPr>
      <w:jc w:val="center"/>
    </w:pPr>
    <w:rPr>
      <w:b/>
      <w:bCs/>
    </w:rPr>
  </w:style>
  <w:style w:type="paragraph" w:styleId="user8" w:customStyle="1">
    <w:name w:val="Текст в заданном формате (user)"/>
    <w:basedOn w:val="Normal"/>
    <w:qFormat/>
    <w:pPr>
      <w:widowControl w:val="false"/>
    </w:pPr>
    <w:rPr>
      <w:rFonts w:ascii="Courier New" w:hAnsi="Courier New" w:eastAsia="NSimSun" w:cs="Courier New"/>
      <w:kern w:val="2"/>
      <w:sz w:val="20"/>
      <w:szCs w:val="20"/>
      <w:lang w:eastAsia="hi-IN" w:bidi="hi-IN"/>
    </w:rPr>
  </w:style>
  <w:style w:type="paragraph" w:styleId="Style20" w:customStyle="1">
    <w:name w:val="Содержимое таблицы"/>
    <w:basedOn w:val="Normal"/>
    <w:qFormat/>
    <w:pPr>
      <w:suppressLineNumbers/>
    </w:pPr>
    <w:rPr>
      <w:kern w:val="2"/>
      <w:sz w:val="24"/>
      <w:szCs w:val="24"/>
      <w:lang w:eastAsia="ar-SA"/>
    </w:rPr>
  </w:style>
  <w:style w:type="paragraph" w:styleId="ConsNormal">
    <w:name w:val="ConsNormal"/>
    <w:qFormat/>
    <w:pPr>
      <w:widowControl w:val="false"/>
      <w:suppressAutoHyphens w:val="true"/>
      <w:bidi w:val="0"/>
      <w:spacing w:before="0" w:after="0"/>
      <w:ind w:firstLine="720"/>
      <w:jc w:val="start"/>
      <w:textAlignment w:val="auto"/>
    </w:pPr>
    <w:rPr>
      <w:rFonts w:ascii="Arial" w:hAnsi="Arial" w:eastAsia="Courier New" w:cs="Arial"/>
      <w:color w:val="auto"/>
      <w:kern w:val="0"/>
      <w:sz w:val="20"/>
      <w:szCs w:val="20"/>
      <w:lang w:val="ru-RU" w:eastAsia="ru-RU" w:bidi="ar-SA"/>
    </w:rPr>
  </w:style>
  <w:style w:type="paragraph" w:styleId="Standard">
    <w:name w:val="Standard"/>
    <w:qFormat/>
    <w:pPr>
      <w:widowControl/>
      <w:suppressAutoHyphens w:val="true"/>
      <w:bidi w:val="0"/>
      <w:spacing w:before="0" w:after="0"/>
      <w:jc w:val="start"/>
      <w:textAlignment w:val="baseline"/>
    </w:pPr>
    <w:rPr>
      <w:rFonts w:ascii="Calibri" w:hAnsi="Calibri" w:eastAsia="Calibri" w:cs="Times New Roman"/>
      <w:color w:val="auto"/>
      <w:kern w:val="0"/>
      <w:sz w:val="22"/>
      <w:szCs w:val="22"/>
      <w:lang w:val="ru-RU" w:eastAsia="ru-RU" w:bidi="ar-SA"/>
    </w:rPr>
  </w:style>
  <w:style w:type="paragraph" w:styleId="Style21">
    <w:name w:val="Заголовок таблицы"/>
    <w:basedOn w:val="Style20"/>
    <w:qFormat/>
    <w:pPr>
      <w:suppressLineNumbers/>
      <w:jc w:val="center"/>
    </w:pPr>
    <w:rPr>
      <w:b/>
      <w:bCs/>
    </w:rPr>
  </w:style>
  <w:style w:type="numbering" w:styleId="user9" w:customStyle="1">
    <w:name w:val="Без списка (user)"/>
    <w:uiPriority w:val="99"/>
    <w:semiHidden/>
    <w:unhideWhenUsed/>
    <w:qFormat/>
    <w:rsid w:val="00543993"/>
  </w:style>
  <w:style w:type="numbering" w:styleId="Style22"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A0C22ED73F26C9D6D9B7A143878F9FA7E796E35F0B5B51C9C2CA224AB40F6B5B11C5F58F8B8F88879A637832785E91DCDEE3EA34D8Dc0W3S" TargetMode="External"/><Relationship Id="rId3" Type="http://schemas.openxmlformats.org/officeDocument/2006/relationships/hyperlink" Target="https://login.consultant.ru/link/?req=doc&amp;base=LAW&amp;n=466154&amp;dst=12374&amp;field=134&amp;date=21.01.2025" TargetMode="External"/><Relationship Id="rId4" Type="http://schemas.openxmlformats.org/officeDocument/2006/relationships/hyperlink" Target="https://login.consultant.ru/link/?req=doc&amp;base=LAW&amp;n=466154&amp;dst=12375&amp;field=134&amp;date=21.01.2025" TargetMode="External"/><Relationship Id="rId5" Type="http://schemas.openxmlformats.org/officeDocument/2006/relationships/hyperlink" Target="https://login.consultant.ru/link/?req=doc&amp;base=LAW&amp;n=466154&amp;dst=12376&amp;field=134&amp;date=21.01.2025"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2BD63-B2D4-4596-A0D0-A6CAA3CFA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Application>LibreOffice/26.2.5.2$Windows_X86_64 LibreOffice_project/cd7284b4cbbfeb507e630c1aac019f4157393acb</Application>
  <AppVersion>15.0000</AppVersion>
  <Pages>14</Pages>
  <Words>4323</Words>
  <Characters>30430</Characters>
  <CharactersWithSpaces>34799</CharactersWithSpaces>
  <Paragraphs>291</Paragraphs>
  <Company>ДИЗО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2026-04-17T13:09:00Z</dcterms:created>
  <dc:creator>Морозова</dc:creator>
  <dc:description/>
  <dc:language>ru-RU</dc:language>
  <cp:lastModifiedBy/>
  <cp:lastPrinted>2026-01-28T11:15:00Z</cp:lastPrinted>
  <dcterms:modified xsi:type="dcterms:W3CDTF">2026-09-24T10:49:30Z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