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ДОГОВОР</w:t>
      </w:r>
      <w:r>
        <w:rPr>
          <w:rFonts w:ascii="Times New Roman" w:hAnsi="Times New Roman"/>
          <w:b w:val="1"/>
          <w:sz w:val="24"/>
        </w:rPr>
        <w:t xml:space="preserve"> №  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0A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на </w:t>
      </w:r>
      <w:r>
        <w:rPr>
          <w:rFonts w:ascii="Times New Roman" w:hAnsi="Times New Roman"/>
          <w:b w:val="1"/>
          <w:sz w:val="24"/>
        </w:rPr>
        <w:t>оказани</w:t>
      </w:r>
      <w:r>
        <w:rPr>
          <w:rFonts w:ascii="Times New Roman" w:hAnsi="Times New Roman"/>
          <w:b w:val="1"/>
          <w:sz w:val="24"/>
        </w:rPr>
        <w:t>е</w:t>
      </w:r>
      <w:r>
        <w:rPr>
          <w:rFonts w:ascii="Times New Roman" w:hAnsi="Times New Roman"/>
          <w:b w:val="1"/>
          <w:sz w:val="24"/>
        </w:rPr>
        <w:t xml:space="preserve"> метрологических услуг</w:t>
      </w:r>
    </w:p>
    <w:p w14:paraId="0B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C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Симферополь                                        </w:t>
      </w:r>
      <w:r>
        <w:rPr>
          <w:rFonts w:ascii="Times New Roman" w:hAnsi="Times New Roman"/>
          <w:sz w:val="24"/>
        </w:rPr>
        <w:t xml:space="preserve">                  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______»____________</w:t>
      </w:r>
      <w:r>
        <w:rPr>
          <w:rFonts w:ascii="Times New Roman" w:hAnsi="Times New Roman"/>
          <w:sz w:val="24"/>
        </w:rPr>
        <w:t xml:space="preserve"> 2026</w:t>
      </w:r>
      <w:r>
        <w:rPr>
          <w:rFonts w:ascii="Times New Roman" w:hAnsi="Times New Roman"/>
          <w:sz w:val="24"/>
        </w:rPr>
        <w:t>г.</w:t>
      </w:r>
    </w:p>
    <w:p w14:paraId="0D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0E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____________________________, именуемое в дальнейшем «ИСПОЛНИТ</w:t>
      </w:r>
      <w:r>
        <w:rPr>
          <w:rFonts w:ascii="Times New Roman" w:hAnsi="Times New Roman"/>
          <w:b w:val="1"/>
          <w:sz w:val="24"/>
        </w:rPr>
        <w:t xml:space="preserve">ЕЛЬ», </w:t>
      </w:r>
      <w:r>
        <w:rPr>
          <w:rFonts w:ascii="Times New Roman" w:hAnsi="Times New Roman"/>
          <w:b w:val="1"/>
          <w:sz w:val="24"/>
        </w:rPr>
        <w:t xml:space="preserve"> в лице</w:t>
      </w:r>
      <w:r>
        <w:rPr>
          <w:rFonts w:ascii="Times New Roman" w:hAnsi="Times New Roman"/>
          <w:b w:val="1"/>
          <w:sz w:val="24"/>
        </w:rPr>
        <w:t xml:space="preserve"> ________________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одной стороны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b w:val="1"/>
          <w:sz w:val="24"/>
        </w:rPr>
        <w:t xml:space="preserve">Федеральное казенное учреждение «Главное </w:t>
      </w:r>
      <w:r>
        <w:rPr>
          <w:rFonts w:ascii="Times New Roman" w:hAnsi="Times New Roman"/>
          <w:b w:val="1"/>
          <w:sz w:val="24"/>
        </w:rPr>
        <w:t>бюpo</w:t>
      </w:r>
      <w:r>
        <w:rPr>
          <w:rFonts w:ascii="Times New Roman" w:hAnsi="Times New Roman"/>
          <w:b w:val="1"/>
          <w:sz w:val="24"/>
        </w:rPr>
        <w:t xml:space="preserve"> медико-социальной экспертизы по Республике Крым» Министерства труда и социальной защиты Российской Федерации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именуемое в дальнейшем «ЗАКАЗЧИК», в лице заместителя руководителя по общим вопросам деятельности учреждения </w:t>
      </w:r>
      <w:r>
        <w:rPr>
          <w:rFonts w:ascii="Times New Roman" w:hAnsi="Times New Roman"/>
          <w:sz w:val="24"/>
        </w:rPr>
        <w:t>Посторонко</w:t>
      </w:r>
      <w:r>
        <w:rPr>
          <w:rFonts w:ascii="Times New Roman" w:hAnsi="Times New Roman"/>
          <w:sz w:val="24"/>
        </w:rPr>
        <w:t xml:space="preserve"> Ирины Павловны, действующего на </w:t>
      </w:r>
      <w:r>
        <w:rPr>
          <w:rFonts w:ascii="Times New Roman" w:hAnsi="Times New Roman"/>
          <w:sz w:val="24"/>
        </w:rPr>
        <w:t>основании</w:t>
      </w:r>
      <w:r>
        <w:rPr>
          <w:rFonts w:ascii="Times New Roman" w:hAnsi="Times New Roman"/>
          <w:sz w:val="24"/>
        </w:rPr>
        <w:t xml:space="preserve"> Приказа </w:t>
      </w:r>
      <w:r>
        <w:rPr>
          <w:rFonts w:ascii="Times New Roman" w:hAnsi="Times New Roman"/>
          <w:sz w:val="24"/>
        </w:rPr>
        <w:t>от 01 ноября 2023 г. № 413</w:t>
      </w:r>
      <w:r>
        <w:rPr>
          <w:rFonts w:ascii="Times New Roman" w:hAnsi="Times New Roman"/>
          <w:sz w:val="24"/>
        </w:rPr>
        <w:t xml:space="preserve">, с другой стороны, именуемые вместе «Стороны», а по отдельности «Сторона», в соответствии  с п. 4  ч. 1 ст. 93 Федерального закона от 05.04.2013 № 44 - ФЗ «О контрактной системе в сфере закупок товаров, работ, услуг для обеспечения государственных  и муниципальных нужд» заключили настоящий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(далее -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) о нижеследующем: </w:t>
      </w:r>
    </w:p>
    <w:p w14:paraId="0F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  <w:r>
        <w:rPr>
          <w:rStyle w:val="Style_3_ch"/>
          <w:rFonts w:ascii="Times New Roman" w:hAnsi="Times New Roman"/>
          <w:b w:val="1"/>
          <w:sz w:val="24"/>
        </w:rPr>
        <w:t>(</w:t>
      </w:r>
      <w:r>
        <w:rPr>
          <w:rStyle w:val="Style_3_ch"/>
          <w:rFonts w:ascii="Times New Roman" w:hAnsi="Times New Roman"/>
          <w:b w:val="1"/>
          <w:sz w:val="24"/>
        </w:rPr>
        <w:t xml:space="preserve">ИКЗ </w:t>
      </w:r>
      <w:r>
        <w:rPr>
          <w:rStyle w:val="Style_3_ch"/>
          <w:rFonts w:ascii="Times New Roman" w:hAnsi="Times New Roman"/>
          <w:b w:val="1"/>
          <w:sz w:val="24"/>
        </w:rPr>
        <w:t>261910200990891020100100210000000244</w:t>
      </w:r>
      <w:r>
        <w:rPr>
          <w:rStyle w:val="Style_3_ch"/>
          <w:rFonts w:ascii="Times New Roman" w:hAnsi="Times New Roman"/>
          <w:b w:val="1"/>
          <w:sz w:val="24"/>
        </w:rPr>
        <w:t>)</w:t>
      </w:r>
    </w:p>
    <w:p w14:paraId="10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11000000">
      <w:pPr>
        <w:pStyle w:val="Style_4"/>
        <w:widowControl w:val="1"/>
        <w:numPr>
          <w:ilvl w:val="0"/>
          <w:numId w:val="1"/>
        </w:num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ПРЕДМЕТ </w:t>
      </w:r>
      <w:r>
        <w:rPr>
          <w:rFonts w:ascii="Times New Roman" w:hAnsi="Times New Roman"/>
          <w:b w:val="1"/>
          <w:sz w:val="24"/>
        </w:rPr>
        <w:t>ДОГОВОР</w:t>
      </w:r>
      <w:r>
        <w:rPr>
          <w:rFonts w:ascii="Times New Roman" w:hAnsi="Times New Roman"/>
          <w:b w:val="1"/>
          <w:sz w:val="24"/>
        </w:rPr>
        <w:t>А</w:t>
      </w:r>
    </w:p>
    <w:p w14:paraId="12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ЗАКАЗЧИК поручает, а ИСПОЛНИТЕЛЬ,</w:t>
      </w:r>
      <w:r>
        <w:rPr>
          <w:rFonts w:ascii="Times New Roman" w:hAnsi="Times New Roman"/>
          <w:sz w:val="24"/>
        </w:rPr>
        <w:t xml:space="preserve"> приним</w:t>
      </w:r>
      <w:r>
        <w:rPr>
          <w:rFonts w:ascii="Times New Roman" w:hAnsi="Times New Roman"/>
          <w:sz w:val="24"/>
        </w:rPr>
        <w:t xml:space="preserve">ает на себя </w:t>
      </w:r>
      <w:r>
        <w:rPr>
          <w:rFonts w:ascii="Times New Roman" w:hAnsi="Times New Roman"/>
          <w:sz w:val="24"/>
        </w:rPr>
        <w:t>обязательства</w:t>
      </w:r>
      <w:r>
        <w:rPr>
          <w:rFonts w:ascii="Times New Roman" w:hAnsi="Times New Roman"/>
          <w:sz w:val="24"/>
        </w:rPr>
        <w:t xml:space="preserve"> по оказанию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метрологи</w:t>
      </w:r>
      <w:r>
        <w:rPr>
          <w:rFonts w:ascii="Times New Roman" w:hAnsi="Times New Roman"/>
          <w:sz w:val="24"/>
        </w:rPr>
        <w:t>чес</w:t>
      </w:r>
      <w:r>
        <w:rPr>
          <w:rFonts w:ascii="Times New Roman" w:hAnsi="Times New Roman"/>
          <w:sz w:val="24"/>
        </w:rPr>
        <w:t>ких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(далее -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и):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поверке (калибровке</w:t>
      </w:r>
      <w:r>
        <w:rPr>
          <w:rFonts w:ascii="Times New Roman" w:hAnsi="Times New Roman"/>
          <w:sz w:val="24"/>
        </w:rPr>
        <w:t>) средств измерений (далее- СИ)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 порядке и на условиях, определенных настоящим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ом, в полном соответствии с требованиями технического з</w:t>
      </w:r>
      <w:r>
        <w:rPr>
          <w:rFonts w:ascii="Times New Roman" w:hAnsi="Times New Roman"/>
          <w:sz w:val="24"/>
        </w:rPr>
        <w:t xml:space="preserve">адания, (далее – ТЗ) </w:t>
      </w:r>
      <w:r>
        <w:rPr>
          <w:rFonts w:ascii="Times New Roman" w:hAnsi="Times New Roman"/>
          <w:sz w:val="24"/>
        </w:rPr>
        <w:t>(Приложение № 1), являющ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z w:val="24"/>
        </w:rPr>
        <w:t xml:space="preserve">ся неотъемлемой частью настоящего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</w:t>
      </w:r>
      <w:r>
        <w:rPr>
          <w:rFonts w:ascii="Times New Roman" w:hAnsi="Times New Roman"/>
          <w:sz w:val="24"/>
        </w:rPr>
        <w:t xml:space="preserve">а ЗАКАЗЧИК обязуется принять и оплатить результат </w:t>
      </w:r>
      <w:r>
        <w:rPr>
          <w:rFonts w:ascii="Times New Roman" w:hAnsi="Times New Roman"/>
          <w:sz w:val="24"/>
        </w:rPr>
        <w:t xml:space="preserve">оказания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ИСПОЛНИТЕЛЕМ.</w:t>
      </w:r>
    </w:p>
    <w:p w14:paraId="13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</w:t>
      </w:r>
      <w:r>
        <w:rPr>
          <w:rFonts w:ascii="Times New Roman" w:hAnsi="Times New Roman"/>
          <w:sz w:val="24"/>
        </w:rPr>
        <w:t xml:space="preserve">. Требования, предъявляемые к предоставленным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ам, а также содержание и объем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определяются ТЗ (Приложение № 1). </w:t>
      </w:r>
    </w:p>
    <w:p w14:paraId="14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</w:p>
    <w:p w14:paraId="15000000">
      <w:pPr>
        <w:pStyle w:val="Style_4"/>
        <w:widowControl w:val="1"/>
        <w:numPr>
          <w:ilvl w:val="0"/>
          <w:numId w:val="1"/>
        </w:num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УСЛОВИЯ ОКАЗАНИЯ </w:t>
      </w:r>
      <w:r>
        <w:rPr>
          <w:rFonts w:ascii="Times New Roman" w:hAnsi="Times New Roman"/>
          <w:b w:val="1"/>
          <w:sz w:val="24"/>
        </w:rPr>
        <w:t>УСЛУГ</w:t>
      </w:r>
    </w:p>
    <w:p w14:paraId="1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и в области метрологии оказываются в соответствии с Федеральным законом от 26.06.2008  № 102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ФЗ «Об обеспечении единства средств измерений»,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Постановлением</w:t>
      </w:r>
      <w:r>
        <w:rPr>
          <w:rFonts w:ascii="Times New Roman" w:hAnsi="Times New Roman"/>
          <w:sz w:val="24"/>
        </w:rPr>
        <w:t xml:space="preserve"> Правительства Российской Федерации от 20.04.2010 № 250 «О перечне средств измерений,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метрологии»</w:t>
      </w:r>
      <w:r>
        <w:rPr>
          <w:rFonts w:ascii="Times New Roman" w:hAnsi="Times New Roman"/>
          <w:sz w:val="24"/>
        </w:rPr>
        <w:t>, Приказом</w:t>
      </w:r>
      <w:r>
        <w:rPr>
          <w:rFonts w:ascii="Times New Roman" w:hAnsi="Times New Roman"/>
          <w:sz w:val="24"/>
        </w:rPr>
        <w:t xml:space="preserve"> Министерства промышленности и торговли Ро</w:t>
      </w:r>
      <w:r>
        <w:rPr>
          <w:rFonts w:ascii="Times New Roman" w:hAnsi="Times New Roman"/>
          <w:sz w:val="24"/>
        </w:rPr>
        <w:t>ссийской Федерации от 31.07.2020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№ 2510</w:t>
      </w:r>
      <w:r>
        <w:rPr>
          <w:rFonts w:ascii="Times New Roman" w:hAnsi="Times New Roman"/>
          <w:sz w:val="24"/>
        </w:rPr>
        <w:t xml:space="preserve"> «Об утверж</w:t>
      </w:r>
      <w:r>
        <w:rPr>
          <w:rFonts w:ascii="Times New Roman" w:hAnsi="Times New Roman"/>
          <w:sz w:val="24"/>
        </w:rPr>
        <w:t>дении Порядка проведения поверки средств измерений, требования к знаку поверки сод</w:t>
      </w:r>
      <w:r>
        <w:rPr>
          <w:rFonts w:ascii="Times New Roman" w:hAnsi="Times New Roman"/>
          <w:sz w:val="24"/>
        </w:rPr>
        <w:t>ержанию свидетельства о поверке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техническими, научными и другими</w:t>
      </w:r>
      <w:r>
        <w:rPr>
          <w:rFonts w:ascii="Times New Roman" w:hAnsi="Times New Roman"/>
          <w:sz w:val="24"/>
        </w:rPr>
        <w:t xml:space="preserve"> требования</w:t>
      </w:r>
      <w:r>
        <w:rPr>
          <w:rFonts w:ascii="Times New Roman" w:hAnsi="Times New Roman"/>
          <w:sz w:val="24"/>
        </w:rPr>
        <w:t>ми</w:t>
      </w:r>
      <w:r>
        <w:rPr>
          <w:rFonts w:ascii="Times New Roman" w:hAnsi="Times New Roman"/>
          <w:sz w:val="24"/>
        </w:rPr>
        <w:t xml:space="preserve"> к оказанию и оформлению результатов оказания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, являющихся предметом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</w:t>
      </w:r>
      <w:r>
        <w:rPr>
          <w:rFonts w:ascii="Times New Roman" w:hAnsi="Times New Roman"/>
          <w:sz w:val="24"/>
        </w:rPr>
        <w:t xml:space="preserve"> методиками поверки (калибровки) СИ и иными нормативными</w:t>
      </w:r>
      <w:r>
        <w:rPr>
          <w:rFonts w:ascii="Times New Roman" w:hAnsi="Times New Roman"/>
          <w:sz w:val="24"/>
        </w:rPr>
        <w:t xml:space="preserve"> докуме</w:t>
      </w:r>
      <w:r>
        <w:rPr>
          <w:rFonts w:ascii="Times New Roman" w:hAnsi="Times New Roman"/>
          <w:sz w:val="24"/>
        </w:rPr>
        <w:t>нтами</w:t>
      </w:r>
      <w:r>
        <w:rPr>
          <w:rFonts w:ascii="Times New Roman" w:hAnsi="Times New Roman"/>
          <w:sz w:val="24"/>
        </w:rPr>
        <w:t xml:space="preserve"> в области метрологии.</w:t>
      </w:r>
    </w:p>
    <w:p w14:paraId="17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ИСПОЛНИТЕЛЬ предоставляет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и своими силами и с использованием своего оборудования и материалов. Оборудование и материалы, используемые при оказании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, должны соответствовать требованиям качества, безопасности жизни и здоровья, а также иным требованиям, предъявляемым действующим законодательством РФ.</w:t>
      </w:r>
    </w:p>
    <w:p w14:paraId="18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При оказании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ИСПОЛНИТЕЛЬ </w:t>
      </w:r>
      <w:r>
        <w:rPr>
          <w:rFonts w:ascii="Times New Roman" w:hAnsi="Times New Roman"/>
          <w:sz w:val="24"/>
        </w:rPr>
        <w:t xml:space="preserve">обязан обеспечивать: </w:t>
      </w:r>
    </w:p>
    <w:p w14:paraId="19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соблюдение правил техники безопасности; </w:t>
      </w:r>
    </w:p>
    <w:p w14:paraId="1A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соблюдение требований охраны труда;</w:t>
      </w:r>
    </w:p>
    <w:p w14:paraId="1B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соблюдение правил пожарной без</w:t>
      </w:r>
      <w:r>
        <w:rPr>
          <w:rFonts w:ascii="Times New Roman" w:hAnsi="Times New Roman"/>
          <w:sz w:val="24"/>
        </w:rPr>
        <w:t>опасности.</w:t>
      </w:r>
    </w:p>
    <w:p w14:paraId="1C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соблюдение требований охраны окружающей среды;</w:t>
      </w:r>
    </w:p>
    <w:p w14:paraId="1D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соблюдение требова</w:t>
      </w:r>
      <w:r>
        <w:rPr>
          <w:rFonts w:ascii="Times New Roman" w:hAnsi="Times New Roman"/>
          <w:sz w:val="24"/>
        </w:rPr>
        <w:t>ний производственных инструкций.</w:t>
      </w:r>
    </w:p>
    <w:p w14:paraId="1E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 Объем выполняемых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должен включать:</w:t>
      </w:r>
    </w:p>
    <w:p w14:paraId="1F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проведение поверки (калибровки) средств измерений;</w:t>
      </w:r>
    </w:p>
    <w:p w14:paraId="20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оформление результата поверки (калибровки) СИ знаком поверки (калибровки) и (или) свидетельством о поверке (сертификатом о калибровке);</w:t>
      </w:r>
    </w:p>
    <w:p w14:paraId="21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оформление на СИ, признанное непригодным в результате поверки и калибровки, извещения о непригодности;</w:t>
      </w:r>
    </w:p>
    <w:p w14:paraId="22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если по результатам калибровки метрологические характеристики СИ выходят за установленные пределы, обнар</w:t>
      </w:r>
      <w:r>
        <w:rPr>
          <w:rFonts w:ascii="Times New Roman" w:hAnsi="Times New Roman"/>
          <w:sz w:val="24"/>
        </w:rPr>
        <w:t>ужены неисправности СИ, делающие</w:t>
      </w:r>
      <w:r>
        <w:rPr>
          <w:rFonts w:ascii="Times New Roman" w:hAnsi="Times New Roman"/>
          <w:sz w:val="24"/>
        </w:rPr>
        <w:t xml:space="preserve"> их эксплуатацию невозможной</w:t>
      </w:r>
      <w:r>
        <w:rPr>
          <w:rFonts w:ascii="Times New Roman" w:hAnsi="Times New Roman"/>
          <w:sz w:val="24"/>
        </w:rPr>
        <w:t xml:space="preserve">, то сертификат о калибровке СИ аннулируется, а оттиск калибровочного клейма </w:t>
      </w:r>
      <w:r>
        <w:rPr>
          <w:rFonts w:ascii="Times New Roman" w:hAnsi="Times New Roman"/>
          <w:sz w:val="24"/>
        </w:rPr>
        <w:t>гасится</w:t>
      </w:r>
      <w:r>
        <w:rPr>
          <w:rFonts w:ascii="Times New Roman" w:hAnsi="Times New Roman"/>
          <w:sz w:val="24"/>
        </w:rPr>
        <w:t xml:space="preserve"> и выдается протокол калибровки;</w:t>
      </w:r>
    </w:p>
    <w:p w14:paraId="23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передачу в ФГИС «АРШИН» сведений о владельце по результатам проверки, согласно приказа </w:t>
      </w:r>
      <w:r>
        <w:rPr>
          <w:rFonts w:ascii="Times New Roman" w:hAnsi="Times New Roman"/>
          <w:sz w:val="24"/>
        </w:rPr>
        <w:t>Минпромторга</w:t>
      </w:r>
      <w:r>
        <w:rPr>
          <w:rFonts w:ascii="Times New Roman" w:hAnsi="Times New Roman"/>
          <w:sz w:val="24"/>
        </w:rPr>
        <w:t xml:space="preserve"> России от 13.01.2022 № 37.</w:t>
      </w:r>
    </w:p>
    <w:p w14:paraId="24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а долж</w:t>
      </w:r>
      <w:r>
        <w:rPr>
          <w:rFonts w:ascii="Times New Roman" w:hAnsi="Times New Roman"/>
          <w:sz w:val="24"/>
        </w:rPr>
        <w:t>на быть оказана в течении 15 (пятнадцати</w:t>
      </w:r>
      <w:r>
        <w:rPr>
          <w:rFonts w:ascii="Times New Roman" w:hAnsi="Times New Roman"/>
          <w:sz w:val="24"/>
        </w:rPr>
        <w:t>) рабочих дней с</w:t>
      </w:r>
      <w:r>
        <w:rPr>
          <w:rFonts w:ascii="Times New Roman" w:hAnsi="Times New Roman"/>
          <w:sz w:val="24"/>
        </w:rPr>
        <w:t xml:space="preserve">о дня предоставления ИСПОЛНИТЕЛЮ СИ на поверку, за исключением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, продолжительность исполнен</w:t>
      </w:r>
      <w:r>
        <w:rPr>
          <w:rFonts w:ascii="Times New Roman" w:hAnsi="Times New Roman"/>
          <w:sz w:val="24"/>
        </w:rPr>
        <w:t>ия которых, согласно нормам затрат рабочего времени</w:t>
      </w:r>
      <w:r>
        <w:rPr>
          <w:rFonts w:ascii="Times New Roman" w:hAnsi="Times New Roman"/>
          <w:sz w:val="24"/>
        </w:rPr>
        <w:t>, превышает установленный срок.</w:t>
      </w:r>
    </w:p>
    <w:p w14:paraId="25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</w:t>
      </w:r>
      <w:r>
        <w:rPr>
          <w:rFonts w:ascii="Times New Roman" w:hAnsi="Times New Roman"/>
          <w:sz w:val="24"/>
        </w:rPr>
        <w:t xml:space="preserve">. Датой исполнения ИСПОЛНИТЕЛЕМ обязательств по настоящему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считается дата подписания ЗАКАЗЧИКОМ Акта сдачи-приемки оказанных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.</w:t>
      </w:r>
    </w:p>
    <w:p w14:paraId="26000000">
      <w:pPr>
        <w:pStyle w:val="Style_4"/>
        <w:widowControl w:val="1"/>
        <w:numPr>
          <w:ilvl w:val="0"/>
          <w:numId w:val="1"/>
        </w:num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ОБЯЗАТЕЛЬСТВА СТОРОН</w:t>
      </w:r>
    </w:p>
    <w:p w14:paraId="27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ЗАКАЗЧИК обязан</w:t>
      </w:r>
      <w:r>
        <w:rPr>
          <w:rFonts w:ascii="Times New Roman" w:hAnsi="Times New Roman"/>
          <w:b w:val="1"/>
          <w:sz w:val="24"/>
        </w:rPr>
        <w:t>:</w:t>
      </w:r>
    </w:p>
    <w:p w14:paraId="2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Создать необходимые условия для оказания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.</w:t>
      </w:r>
    </w:p>
    <w:p w14:paraId="2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Предоставить на поверку (калибровку) СИ </w:t>
      </w:r>
      <w:r>
        <w:rPr>
          <w:rFonts w:ascii="Times New Roman" w:hAnsi="Times New Roman"/>
          <w:sz w:val="24"/>
        </w:rPr>
        <w:t>расконсервированными, очищенными от пыли и грязи, вместе с техническим описанием</w:t>
      </w:r>
      <w:r>
        <w:rPr>
          <w:rFonts w:ascii="Times New Roman" w:hAnsi="Times New Roman"/>
          <w:sz w:val="24"/>
        </w:rPr>
        <w:t>, руководством по эксплуатации, методикой</w:t>
      </w:r>
      <w:r>
        <w:rPr>
          <w:rFonts w:ascii="Times New Roman" w:hAnsi="Times New Roman"/>
          <w:sz w:val="24"/>
        </w:rPr>
        <w:t xml:space="preserve"> по</w:t>
      </w:r>
      <w:r>
        <w:rPr>
          <w:rFonts w:ascii="Times New Roman" w:hAnsi="Times New Roman"/>
          <w:sz w:val="24"/>
        </w:rPr>
        <w:t xml:space="preserve">верки, паспортом или </w:t>
      </w:r>
      <w:r>
        <w:rPr>
          <w:rFonts w:ascii="Times New Roman" w:hAnsi="Times New Roman"/>
          <w:sz w:val="24"/>
        </w:rPr>
        <w:t>свидетельством о последней поверке</w:t>
      </w:r>
      <w:r>
        <w:rPr>
          <w:rFonts w:ascii="Times New Roman" w:hAnsi="Times New Roman"/>
          <w:sz w:val="24"/>
        </w:rPr>
        <w:t xml:space="preserve"> или сертификатом о по</w:t>
      </w:r>
      <w:r>
        <w:rPr>
          <w:rFonts w:ascii="Times New Roman" w:hAnsi="Times New Roman"/>
          <w:sz w:val="24"/>
        </w:rPr>
        <w:t>следней калибровке</w:t>
      </w:r>
      <w:r>
        <w:rPr>
          <w:rFonts w:ascii="Times New Roman" w:hAnsi="Times New Roman"/>
          <w:sz w:val="24"/>
        </w:rPr>
        <w:t xml:space="preserve">, соединительными </w:t>
      </w:r>
      <w:r>
        <w:rPr>
          <w:rFonts w:ascii="Times New Roman" w:hAnsi="Times New Roman"/>
          <w:sz w:val="24"/>
        </w:rPr>
        <w:t>проводами и кабелями и другими устройствами, необходимыми для проведения рабо</w:t>
      </w:r>
      <w:r>
        <w:rPr>
          <w:rFonts w:ascii="Times New Roman" w:hAnsi="Times New Roman"/>
          <w:sz w:val="24"/>
        </w:rPr>
        <w:t>т.</w:t>
      </w:r>
    </w:p>
    <w:p w14:paraId="2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.3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В случае оказания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на территории ЗАКАЗЧИКА обеспечить ИС</w:t>
      </w:r>
      <w:r>
        <w:rPr>
          <w:rFonts w:ascii="Times New Roman" w:hAnsi="Times New Roman"/>
          <w:sz w:val="24"/>
        </w:rPr>
        <w:t>ПОЛНИТЕЛЮ надлежащие условия проведе</w:t>
      </w:r>
      <w:r>
        <w:rPr>
          <w:rFonts w:ascii="Times New Roman" w:hAnsi="Times New Roman"/>
          <w:sz w:val="24"/>
        </w:rPr>
        <w:t>ния работ, в том числе возможность использования средств поверки, калибровки,</w:t>
      </w:r>
      <w:r>
        <w:rPr>
          <w:rFonts w:ascii="Times New Roman" w:hAnsi="Times New Roman"/>
          <w:sz w:val="24"/>
        </w:rPr>
        <w:t xml:space="preserve"> эталонов, государственных стандартных </w:t>
      </w:r>
      <w:r>
        <w:rPr>
          <w:rFonts w:ascii="Times New Roman" w:hAnsi="Times New Roman"/>
          <w:sz w:val="24"/>
        </w:rPr>
        <w:t>образцов и вспомогательного оборудования ЗАКАЗЧИКА.</w:t>
      </w:r>
    </w:p>
    <w:p w14:paraId="2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.4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Оплатить оказанные ИСПОЛНИТЕЛЕМ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и в размерах и в сроки, установленные настоящим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14:paraId="2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.5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После оказания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получить СИ, </w:t>
      </w:r>
      <w:r>
        <w:rPr>
          <w:rFonts w:ascii="Times New Roman" w:hAnsi="Times New Roman"/>
          <w:sz w:val="24"/>
        </w:rPr>
        <w:t xml:space="preserve">документацию, предусмотренную п. 2.4 настоящего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</w:t>
      </w:r>
      <w:r>
        <w:rPr>
          <w:rFonts w:ascii="Times New Roman" w:hAnsi="Times New Roman"/>
          <w:sz w:val="24"/>
        </w:rPr>
        <w:t xml:space="preserve">оформленный </w:t>
      </w:r>
      <w:r>
        <w:rPr>
          <w:rFonts w:ascii="Times New Roman" w:hAnsi="Times New Roman"/>
          <w:sz w:val="24"/>
        </w:rPr>
        <w:t xml:space="preserve">акт </w:t>
      </w:r>
      <w:r>
        <w:rPr>
          <w:rFonts w:ascii="Times New Roman" w:hAnsi="Times New Roman"/>
          <w:sz w:val="24"/>
        </w:rPr>
        <w:t xml:space="preserve">сдачи-приемки </w:t>
      </w:r>
      <w:r>
        <w:rPr>
          <w:rFonts w:ascii="Times New Roman" w:hAnsi="Times New Roman"/>
          <w:sz w:val="24"/>
        </w:rPr>
        <w:t>ок</w:t>
      </w:r>
      <w:r>
        <w:rPr>
          <w:rFonts w:ascii="Times New Roman" w:hAnsi="Times New Roman"/>
          <w:sz w:val="24"/>
        </w:rPr>
        <w:t xml:space="preserve">азанных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.</w:t>
      </w:r>
    </w:p>
    <w:p w14:paraId="2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.6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Прин</w:t>
      </w:r>
      <w:r>
        <w:rPr>
          <w:rFonts w:ascii="Times New Roman" w:hAnsi="Times New Roman"/>
          <w:sz w:val="24"/>
        </w:rPr>
        <w:t xml:space="preserve">ять оказанные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и в течение 5 (пяти)</w:t>
      </w:r>
      <w:r>
        <w:rPr>
          <w:rFonts w:ascii="Times New Roman" w:hAnsi="Times New Roman"/>
          <w:sz w:val="24"/>
        </w:rPr>
        <w:t xml:space="preserve"> рабочих дней</w:t>
      </w:r>
      <w:r>
        <w:rPr>
          <w:rFonts w:ascii="Times New Roman" w:hAnsi="Times New Roman"/>
          <w:sz w:val="24"/>
        </w:rPr>
        <w:t xml:space="preserve"> с даты, следующей за датой</w:t>
      </w:r>
      <w:r>
        <w:rPr>
          <w:rFonts w:ascii="Times New Roman" w:hAnsi="Times New Roman"/>
          <w:sz w:val="24"/>
        </w:rPr>
        <w:t xml:space="preserve"> оказания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и вернуть ИСПОЛНИТЕЛЮ подпи</w:t>
      </w:r>
      <w:r>
        <w:rPr>
          <w:rFonts w:ascii="Times New Roman" w:hAnsi="Times New Roman"/>
          <w:sz w:val="24"/>
        </w:rPr>
        <w:t xml:space="preserve">санный акт </w:t>
      </w:r>
      <w:r>
        <w:rPr>
          <w:rFonts w:ascii="Times New Roman" w:hAnsi="Times New Roman"/>
          <w:sz w:val="24"/>
        </w:rPr>
        <w:t xml:space="preserve">сдачи-приемки </w:t>
      </w:r>
      <w:r>
        <w:rPr>
          <w:rFonts w:ascii="Times New Roman" w:hAnsi="Times New Roman"/>
          <w:sz w:val="24"/>
        </w:rPr>
        <w:t xml:space="preserve">оказанных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или мотивированный от</w:t>
      </w:r>
      <w:r>
        <w:rPr>
          <w:rFonts w:ascii="Times New Roman" w:hAnsi="Times New Roman"/>
          <w:sz w:val="24"/>
        </w:rPr>
        <w:t xml:space="preserve">каз от приемки. Приемка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по акту </w:t>
      </w:r>
      <w:r>
        <w:rPr>
          <w:rFonts w:ascii="Times New Roman" w:hAnsi="Times New Roman"/>
          <w:sz w:val="24"/>
        </w:rPr>
        <w:t xml:space="preserve">сдачи-приемки оказанных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может осуществ</w:t>
      </w:r>
      <w:r>
        <w:rPr>
          <w:rFonts w:ascii="Times New Roman" w:hAnsi="Times New Roman"/>
          <w:sz w:val="24"/>
        </w:rPr>
        <w:t>ляться уполн</w:t>
      </w:r>
      <w:r>
        <w:rPr>
          <w:rFonts w:ascii="Times New Roman" w:hAnsi="Times New Roman"/>
          <w:sz w:val="24"/>
        </w:rPr>
        <w:t xml:space="preserve">омоченным лицом ЗАКАЗЧИКА. </w:t>
      </w:r>
    </w:p>
    <w:p w14:paraId="2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Своевременно в письменной форме сообщать ИСПОЛНИТЕЛЮ об обнаружен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 xml:space="preserve">ых недостатках оказанных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.</w:t>
      </w:r>
    </w:p>
    <w:p w14:paraId="2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3.8</w:t>
      </w:r>
      <w:r>
        <w:rPr>
          <w:rFonts w:ascii="Times New Roman" w:hAnsi="Times New Roman"/>
          <w:sz w:val="24"/>
        </w:rPr>
        <w:t>. Требовать от ИСПОЛНИТЕЛЯ своевременного устранения выявленных недостатков.</w:t>
      </w:r>
    </w:p>
    <w:p w14:paraId="30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ЗАКАЗЧИК имеет </w:t>
      </w:r>
      <w:r>
        <w:rPr>
          <w:rFonts w:ascii="Times New Roman" w:hAnsi="Times New Roman"/>
          <w:b w:val="1"/>
          <w:sz w:val="24"/>
        </w:rPr>
        <w:t>право:</w:t>
      </w:r>
    </w:p>
    <w:p w14:paraId="31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3.9</w:t>
      </w:r>
      <w:r>
        <w:rPr>
          <w:rFonts w:ascii="Times New Roman" w:hAnsi="Times New Roman"/>
          <w:sz w:val="24"/>
        </w:rPr>
        <w:t>. В любое время проверять ход и качество оказ</w:t>
      </w:r>
      <w:r>
        <w:rPr>
          <w:rFonts w:ascii="Times New Roman" w:hAnsi="Times New Roman"/>
          <w:sz w:val="24"/>
        </w:rPr>
        <w:t>ываемых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ИСПОЛНИТЕЛЕМ, не вмешиваясь в его </w:t>
      </w:r>
      <w:r>
        <w:rPr>
          <w:rFonts w:ascii="Times New Roman" w:hAnsi="Times New Roman"/>
          <w:sz w:val="24"/>
        </w:rPr>
        <w:t xml:space="preserve">хозяйственную </w:t>
      </w:r>
      <w:r>
        <w:rPr>
          <w:rFonts w:ascii="Times New Roman" w:hAnsi="Times New Roman"/>
          <w:sz w:val="24"/>
        </w:rPr>
        <w:t>деятельность.</w:t>
      </w:r>
    </w:p>
    <w:p w14:paraId="32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. Отказаться от исполнения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в любой момент, уплатив ИСПОЛНИТЕЛЮ часть установленной цены пропорционально части оказанных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, до получения извещения об отказе ЗАКАЗЧИКА от исполнения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14:paraId="33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. В случае обнаружения недостатков результатов </w:t>
      </w:r>
      <w:r>
        <w:rPr>
          <w:rFonts w:ascii="Times New Roman" w:hAnsi="Times New Roman"/>
          <w:sz w:val="24"/>
        </w:rPr>
        <w:t xml:space="preserve">оказанных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 их приёмки в течении гарантийного срока со дня приёмки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потребовать безвозмездного повторного оказания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или возмещения понесённых ЗАКАЗЧИКОМ расходов на исправление недостатков своими средствами или третьими лицами.</w:t>
      </w:r>
    </w:p>
    <w:p w14:paraId="34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3.12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Определять лиц, непосредственно участвующих в контроле за ходом исполнения ИСПОЛНИТЕЛЕМ обязательств по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и (или) лиц, участвующих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сдаче-приемке исполненных обязательств по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14:paraId="3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оказываемых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, установленных в нормативных и технических документах и настоящем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в ходе приемки оказываемых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.</w:t>
      </w:r>
    </w:p>
    <w:p w14:paraId="3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ИСПОЛНИТЕЛЬ обязан</w:t>
      </w:r>
      <w:r>
        <w:rPr>
          <w:rFonts w:ascii="Times New Roman" w:hAnsi="Times New Roman"/>
          <w:b w:val="1"/>
          <w:sz w:val="24"/>
        </w:rPr>
        <w:t>:</w:t>
      </w:r>
    </w:p>
    <w:p w14:paraId="3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Иметь Аттестат аккредитации в области обеспечения единства измерений с областью аккредитации на оказание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по поверке средств измерений.</w:t>
      </w:r>
    </w:p>
    <w:p w14:paraId="3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Требован</w:t>
      </w:r>
      <w:r>
        <w:rPr>
          <w:rFonts w:ascii="Times New Roman" w:hAnsi="Times New Roman"/>
          <w:sz w:val="24"/>
        </w:rPr>
        <w:t>ие установлено ч. 2 ст. 13,</w:t>
      </w:r>
      <w:r>
        <w:rPr>
          <w:rFonts w:ascii="Times New Roman" w:hAnsi="Times New Roman"/>
          <w:sz w:val="24"/>
        </w:rPr>
        <w:t xml:space="preserve"> ст. </w:t>
      </w:r>
      <w:r>
        <w:rPr>
          <w:rFonts w:ascii="Times New Roman" w:hAnsi="Times New Roman"/>
          <w:sz w:val="24"/>
        </w:rPr>
        <w:t xml:space="preserve">19 Федерального закона от 26.06.2008 </w:t>
      </w:r>
      <w:r>
        <w:rPr>
          <w:rFonts w:ascii="Times New Roman" w:hAnsi="Times New Roman"/>
          <w:sz w:val="24"/>
        </w:rPr>
        <w:t xml:space="preserve">                    </w:t>
      </w:r>
      <w:r>
        <w:rPr>
          <w:rFonts w:ascii="Times New Roman" w:hAnsi="Times New Roman"/>
          <w:sz w:val="24"/>
        </w:rPr>
        <w:t>№102-ФЗ «Обеспечение единства измерений»</w:t>
      </w:r>
    </w:p>
    <w:p w14:paraId="39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3.15</w:t>
      </w:r>
      <w:r>
        <w:rPr>
          <w:rFonts w:ascii="Times New Roman" w:hAnsi="Times New Roman"/>
          <w:sz w:val="24"/>
        </w:rPr>
        <w:t xml:space="preserve">. Своевременно и надлежащим образом оказать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и и представить ЗАКАЗЧИКУ </w:t>
      </w:r>
      <w:r>
        <w:rPr>
          <w:rFonts w:ascii="Times New Roman" w:hAnsi="Times New Roman"/>
          <w:sz w:val="24"/>
        </w:rPr>
        <w:t>Акт приемки товаров, работ, услуг по форме ОКУД № 0510452 (в ред. Приказа Минфина России от 30.10.2023 № 174 н)</w:t>
      </w:r>
      <w:r>
        <w:rPr>
          <w:rFonts w:ascii="Times New Roman" w:hAnsi="Times New Roman"/>
          <w:sz w:val="24"/>
        </w:rPr>
        <w:t xml:space="preserve">, иную обязательную </w:t>
      </w:r>
      <w:r>
        <w:rPr>
          <w:rFonts w:ascii="Times New Roman" w:hAnsi="Times New Roman"/>
          <w:sz w:val="24"/>
        </w:rPr>
        <w:t xml:space="preserve">отчетную документацию по итогам исполнения настоящего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14:paraId="3A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3.16</w:t>
      </w:r>
      <w:r>
        <w:rPr>
          <w:rFonts w:ascii="Times New Roman" w:hAnsi="Times New Roman"/>
          <w:sz w:val="24"/>
        </w:rPr>
        <w:t>. Обеспечи</w:t>
      </w:r>
      <w:r>
        <w:rPr>
          <w:rFonts w:ascii="Times New Roman" w:hAnsi="Times New Roman"/>
          <w:sz w:val="24"/>
        </w:rPr>
        <w:t xml:space="preserve">ть соответствие результатов оказанных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14:paraId="3B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3.17</w:t>
      </w:r>
      <w:r>
        <w:rPr>
          <w:rFonts w:ascii="Times New Roman" w:hAnsi="Times New Roman"/>
          <w:sz w:val="24"/>
        </w:rPr>
        <w:t xml:space="preserve">. Обеспечить ЗАКАЗЧИКУ возможность контроля и надзора за ходом оказания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по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14:paraId="3C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3.18</w:t>
      </w:r>
      <w:r>
        <w:rPr>
          <w:rFonts w:ascii="Times New Roman" w:hAnsi="Times New Roman"/>
          <w:sz w:val="24"/>
        </w:rPr>
        <w:t xml:space="preserve">. Обеспечить устранение недостатков и дефектов, выявленных при сдаче-приемке оказанных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и в течение гарантийного срока за свой счет.</w:t>
      </w:r>
    </w:p>
    <w:p w14:paraId="3D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3.19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случае обнаружения </w:t>
      </w:r>
      <w:r>
        <w:rPr>
          <w:rFonts w:ascii="Times New Roman" w:hAnsi="Times New Roman"/>
          <w:sz w:val="24"/>
        </w:rPr>
        <w:t xml:space="preserve">ЗАКАЗЧИКОМ </w:t>
      </w:r>
      <w:r>
        <w:rPr>
          <w:rFonts w:ascii="Times New Roman" w:hAnsi="Times New Roman"/>
          <w:sz w:val="24"/>
        </w:rPr>
        <w:t xml:space="preserve">недостатков результатов </w:t>
      </w:r>
      <w:r>
        <w:rPr>
          <w:rFonts w:ascii="Times New Roman" w:hAnsi="Times New Roman"/>
          <w:sz w:val="24"/>
        </w:rPr>
        <w:t xml:space="preserve">оказанных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 их приёмки в течении гарантийного срока со дня приёмки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безвозмездно оказа</w:t>
      </w:r>
      <w:r>
        <w:rPr>
          <w:rFonts w:ascii="Times New Roman" w:hAnsi="Times New Roman"/>
          <w:sz w:val="24"/>
        </w:rPr>
        <w:t>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или возме</w:t>
      </w:r>
      <w:r>
        <w:rPr>
          <w:rFonts w:ascii="Times New Roman" w:hAnsi="Times New Roman"/>
          <w:sz w:val="24"/>
        </w:rPr>
        <w:t>стить</w:t>
      </w:r>
      <w:r>
        <w:rPr>
          <w:rFonts w:ascii="Times New Roman" w:hAnsi="Times New Roman"/>
          <w:sz w:val="24"/>
        </w:rPr>
        <w:t xml:space="preserve"> понесённы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ЗАКАЗЧИКОМ расход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на исправление недостатков </w:t>
      </w:r>
      <w:r>
        <w:rPr>
          <w:rFonts w:ascii="Times New Roman" w:hAnsi="Times New Roman"/>
          <w:sz w:val="24"/>
        </w:rPr>
        <w:t xml:space="preserve">силами (за счет средств) ЗАКАЗЧИКА </w:t>
      </w:r>
      <w:r>
        <w:rPr>
          <w:rFonts w:ascii="Times New Roman" w:hAnsi="Times New Roman"/>
          <w:sz w:val="24"/>
        </w:rPr>
        <w:t>или третьи</w:t>
      </w:r>
      <w:r>
        <w:rPr>
          <w:rFonts w:ascii="Times New Roman" w:hAnsi="Times New Roman"/>
          <w:sz w:val="24"/>
        </w:rPr>
        <w:t>х</w:t>
      </w:r>
      <w:r>
        <w:rPr>
          <w:rFonts w:ascii="Times New Roman" w:hAnsi="Times New Roman"/>
          <w:sz w:val="24"/>
        </w:rPr>
        <w:t xml:space="preserve"> лиц.</w:t>
      </w:r>
    </w:p>
    <w:p w14:paraId="3E000000">
      <w:pPr>
        <w:pStyle w:val="Style_6"/>
        <w:widowControl w:val="1"/>
        <w:ind w:firstLine="709"/>
        <w:jc w:val="both"/>
        <w:rPr>
          <w:sz w:val="24"/>
        </w:rPr>
      </w:pPr>
      <w:r>
        <w:rPr>
          <w:b w:val="1"/>
          <w:sz w:val="24"/>
        </w:rPr>
        <w:t xml:space="preserve">ИСПОЛНИТЕЛЬ </w:t>
      </w:r>
      <w:r>
        <w:rPr>
          <w:b w:val="1"/>
          <w:sz w:val="24"/>
        </w:rPr>
        <w:t>имеет право</w:t>
      </w:r>
      <w:r>
        <w:rPr>
          <w:b w:val="1"/>
          <w:sz w:val="24"/>
        </w:rPr>
        <w:t>:</w:t>
      </w:r>
    </w:p>
    <w:p w14:paraId="3F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 xml:space="preserve">согласованию с ЗАКАЗЧИКОМ оказать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rFonts w:ascii="Times New Roman" w:hAnsi="Times New Roman"/>
          <w:sz w:val="24"/>
        </w:rPr>
        <w:t>ТЗ (</w:t>
      </w:r>
      <w:r>
        <w:rPr>
          <w:rFonts w:ascii="Times New Roman" w:hAnsi="Times New Roman"/>
          <w:sz w:val="24"/>
        </w:rPr>
        <w:t>Приложении № 1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к настоящему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14:paraId="40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21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Сд</w:t>
      </w:r>
      <w:r>
        <w:rPr>
          <w:rFonts w:ascii="Times New Roman" w:hAnsi="Times New Roman"/>
          <w:sz w:val="24"/>
        </w:rPr>
        <w:t xml:space="preserve">ать результаты оказанных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в соответствии с требованиями настоящего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досрочно.</w:t>
      </w:r>
    </w:p>
    <w:p w14:paraId="41000000">
      <w:pPr>
        <w:pStyle w:val="Style_7"/>
        <w:widowControl w:val="1"/>
        <w:ind w:firstLine="709"/>
        <w:jc w:val="center"/>
        <w:rPr>
          <w:b w:val="1"/>
          <w:color w:val="000000"/>
        </w:rPr>
      </w:pPr>
      <w:r>
        <w:rPr>
          <w:b w:val="1"/>
          <w:color w:val="000000"/>
        </w:rPr>
        <w:t>4. ОТВЕТСТВЕННОСТЬ СТОРОН</w:t>
      </w:r>
    </w:p>
    <w:p w14:paraId="42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Стороны несут ответственность за неисполнение или ненадлежащее исполнение обязательств по настоящему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в соответствии с действующим законодательством Российской Федерации.</w:t>
      </w:r>
    </w:p>
    <w:p w14:paraId="43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В случае просрочки исполнения ЗАКАЗЧИКОМ обязательств, предусмотренных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ом, ИСПОЛНИТЕЛЬ вправе потребовать уплаты неустоек (штрафов, пеней).</w:t>
      </w:r>
    </w:p>
    <w:p w14:paraId="44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Пеня начисляется за каждый день просрочки исполнения ЗАКАЗЧИКОМ обязательства, предусмотренного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45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нарушения ИСПОЛНИТЕЛЕМ сроков оказания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, предусмотренных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ом, ЗАКАЗЧИК не несет ответственность, установленную настоящим пунктом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а. </w:t>
      </w:r>
    </w:p>
    <w:p w14:paraId="46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За каждый факт неисполнения ЗАКАЗЧИКОМ обязательств, предусмотренных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ом, за исключением просрочки исполнения обязательств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ИСПОЛНИТЕЛЬ вправе взыскать с ЗАКАЗЧИКА штраф в виде фиксированной суммы, определяемой в соответствии </w:t>
      </w:r>
      <w:r>
        <w:rPr>
          <w:rFonts w:ascii="Times New Roman" w:hAnsi="Times New Roman"/>
          <w:sz w:val="24"/>
        </w:rPr>
        <w:t xml:space="preserve">с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"consultantplus://offline/ref=0336324B77B96FACF3BEDAE3EDE9203C0E2B918323B7D3DA1072E17F8Df8AAD"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Постановлением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Правительства Российской Федерации от 30.08.2017 </w:t>
      </w:r>
      <w:r>
        <w:rPr>
          <w:rFonts w:ascii="Times New Roman" w:hAnsi="Times New Roman"/>
          <w:sz w:val="24"/>
        </w:rPr>
        <w:t>№ 1042, и составляющий</w:t>
      </w:r>
      <w:r>
        <w:rPr>
          <w:rFonts w:ascii="Times New Roman" w:hAnsi="Times New Roman"/>
          <w:sz w:val="24"/>
        </w:rPr>
        <w:t xml:space="preserve"> 1000 (одну тысячу) рублей 00 копеек. </w:t>
      </w:r>
    </w:p>
    <w:p w14:paraId="47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4.5. Штрафные санкции могут быть предъявлены ИСПОЛНИТЕЛЕМ к ЗАКАЗЧИКУ в случае неоднократного (от двух и более раз) незаконного отказа от приемки оказанных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по настоящему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14:paraId="48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 В случае просрочки исполнения ИСПОЛНИТЕЛЕМ обязательств, предусмотренных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ом, ЗАКАЗЧИК обязан направить ИСПОЛНИТЕЛЮ требование об уплате неустоек (штрафов, пеней).</w:t>
      </w:r>
    </w:p>
    <w:p w14:paraId="49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4.7. Пеня начисляется за каждый день просрочки исполнения ИСПОЛНИТЕЛЕМ обязательства, предусмотренного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ом, и устанавливается в размере не менее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 и фактически исполненных ИСПОЛНИТЕЛЕМ.</w:t>
      </w:r>
    </w:p>
    <w:p w14:paraId="4A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4.8. За каждый факт неисполнения или ненадлежащего исполнения ИСПОЛНИТЕЛЕМ обязательств, предусмотренных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ом, размер штрафа устанавливается в размере 1 процента цены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но не более 5000 (пяти тысяч) рублей 00 копеек и не менее 1000 (одной тысячи) рублей 00 копеек.</w:t>
      </w:r>
    </w:p>
    <w:p w14:paraId="4B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4.9. За каждый факт неисполнения или ненадлежащего исполнения ИСПОЛНИТЕЛЕМ обязательства, предусмотренного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ом, которое не имеет стоимостного выражения, размер штрафа определяется в соответствии с постановлением Правительства Российской Федерации от 30.08.2017 № 1042 и составляет 1 000 (одну тысячу) рублей 00 копеек.</w:t>
      </w:r>
    </w:p>
    <w:p w14:paraId="4C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4.10. Штрафные санкции могут быть предъявлены ЗАКАЗЧИКОМ к ИСПОЛНИТЕЛЮ в случае не выполнения объема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по настоящему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у; в случае неоказания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в полном объеме; в случае оказания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ненадлежащего качества (данные нарушения должны быть зафиксированы в акте).</w:t>
      </w:r>
    </w:p>
    <w:p w14:paraId="4D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4.11. Стороны настоящего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4E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4.12. Уплата ИСПОЛНИТЕЛЕМ неустойки или применение иной формы ответственности не освобождает его от исполнения обязательств по настоящему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14:paraId="4F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4.13.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14:paraId="50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4.14. Общая сумма начисленной неустойки (штрафов, пени) за ненадлежащее исполнение ЗАКАЗЧИКОМ обязательств, предусмотренных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14:paraId="51000000">
      <w:pPr>
        <w:pStyle w:val="Style_7"/>
        <w:widowControl w:val="1"/>
        <w:ind w:firstLine="709"/>
        <w:jc w:val="center"/>
        <w:rPr>
          <w:b w:val="1"/>
          <w:color w:val="000000"/>
        </w:rPr>
      </w:pPr>
      <w:r>
        <w:rPr>
          <w:b w:val="1"/>
          <w:color w:val="000000"/>
        </w:rPr>
        <w:t xml:space="preserve">5. СТОИМОСТЬ </w:t>
      </w:r>
      <w:r>
        <w:rPr>
          <w:b w:val="1"/>
          <w:color w:val="000000"/>
        </w:rPr>
        <w:t>УСЛУГ</w:t>
      </w:r>
      <w:r>
        <w:rPr>
          <w:b w:val="1"/>
          <w:color w:val="000000"/>
        </w:rPr>
        <w:t xml:space="preserve"> И ПОРЯДОК ВЗАИМОРАСЧЁТОВ</w:t>
      </w:r>
    </w:p>
    <w:p w14:paraId="52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5.1. 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Цена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составляет</w:t>
      </w:r>
      <w:r>
        <w:rPr>
          <w:rFonts w:ascii="Roboto" w:hAnsi="Roboto"/>
          <w:color w:val="334059"/>
          <w:sz w:val="21"/>
          <w:highlight w:val="white"/>
        </w:rPr>
        <w:t xml:space="preserve"> </w:t>
      </w:r>
      <w:r>
        <w:rPr>
          <w:rFonts w:ascii="Times New Roman" w:hAnsi="Times New Roman"/>
          <w:sz w:val="24"/>
        </w:rPr>
        <w:t>____________ согласно Спецификации (Приложение № 2).</w:t>
      </w:r>
    </w:p>
    <w:p w14:paraId="53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</w:t>
      </w:r>
      <w:r>
        <w:rPr>
          <w:rFonts w:ascii="Times New Roman" w:hAnsi="Times New Roman"/>
          <w:sz w:val="24"/>
        </w:rPr>
        <w:t xml:space="preserve">Оплата по настоящему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осуществляется ЗАКАЗЧИКОМ в безналичной форме путем перечисления денежных средств</w:t>
      </w:r>
      <w:r>
        <w:rPr>
          <w:rFonts w:ascii="Times New Roman" w:hAnsi="Times New Roman"/>
          <w:sz w:val="24"/>
        </w:rPr>
        <w:t xml:space="preserve"> на расчетный счет ИСПОЛНИТЕЛЯ, указанный в настоящем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по факту </w:t>
      </w:r>
      <w:r>
        <w:rPr>
          <w:rFonts w:ascii="Times New Roman" w:hAnsi="Times New Roman"/>
          <w:sz w:val="24"/>
        </w:rPr>
        <w:t xml:space="preserve">оказания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в течение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семи</w:t>
      </w:r>
      <w:r>
        <w:rPr>
          <w:rFonts w:ascii="Times New Roman" w:hAnsi="Times New Roman"/>
          <w:sz w:val="24"/>
        </w:rPr>
        <w:t>) банковских дней с даты</w:t>
      </w:r>
      <w:r>
        <w:rPr>
          <w:rFonts w:ascii="Times New Roman" w:hAnsi="Times New Roman"/>
          <w:sz w:val="24"/>
        </w:rPr>
        <w:t xml:space="preserve"> предоставления документов ИСПОЛНИТЕЛЕМ: счет, счёт - фактура, сертифик</w:t>
      </w:r>
      <w:r>
        <w:rPr>
          <w:rFonts w:ascii="Times New Roman" w:hAnsi="Times New Roman"/>
          <w:sz w:val="24"/>
        </w:rPr>
        <w:t>аты/декларации о соответствии, а</w:t>
      </w:r>
      <w:r>
        <w:rPr>
          <w:rFonts w:ascii="Times New Roman" w:hAnsi="Times New Roman"/>
          <w:sz w:val="24"/>
        </w:rPr>
        <w:t>кт</w:t>
      </w:r>
      <w:r>
        <w:rPr>
          <w:rFonts w:ascii="Times New Roman" w:hAnsi="Times New Roman"/>
          <w:sz w:val="24"/>
        </w:rPr>
        <w:t xml:space="preserve"> оказанных услуг (выполненных работ).</w:t>
      </w:r>
      <w:r>
        <w:rPr>
          <w:rFonts w:ascii="Times New Roman" w:hAnsi="Times New Roman"/>
          <w:sz w:val="24"/>
        </w:rPr>
        <w:t xml:space="preserve"> </w:t>
      </w:r>
    </w:p>
    <w:p w14:paraId="54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Цена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является твердой и не может изменяться в ходе исполнения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за исключением случаев, установленных законодательством Российской Федерации.</w:t>
      </w:r>
    </w:p>
    <w:p w14:paraId="55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Оплата по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осуществляется за счет </w:t>
      </w:r>
      <w:r>
        <w:rPr>
          <w:rFonts w:ascii="Times New Roman" w:hAnsi="Times New Roman"/>
          <w:b w:val="1"/>
          <w:sz w:val="24"/>
        </w:rPr>
        <w:t>средств федерального бюджета</w:t>
      </w:r>
      <w:r>
        <w:rPr>
          <w:rFonts w:ascii="Times New Roman" w:hAnsi="Times New Roman"/>
          <w:sz w:val="24"/>
        </w:rPr>
        <w:t xml:space="preserve">, предусмотренных на указанные цели Федеральному казенному учреждению «Главное бюро </w:t>
      </w:r>
      <w:r>
        <w:rPr>
          <w:rFonts w:ascii="Times New Roman" w:hAnsi="Times New Roman"/>
          <w:sz w:val="24"/>
        </w:rPr>
        <w:t>медико-социальной экспертизы по Республике Крым» Министерства труда и социальной защиты Российской Федерации на 2026</w:t>
      </w:r>
      <w:r>
        <w:rPr>
          <w:rFonts w:ascii="Times New Roman" w:hAnsi="Times New Roman"/>
          <w:sz w:val="24"/>
        </w:rPr>
        <w:t xml:space="preserve"> год.</w:t>
      </w:r>
    </w:p>
    <w:p w14:paraId="56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Авансовый платеж не предусмотрен.</w:t>
      </w:r>
    </w:p>
    <w:p w14:paraId="57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5.6. ЗАКАЗЧИК вправе не производить оплату по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до уплаты ИСПОЛНИТЕЛЕМ начисленной и выставленной ЗАКАЗЧИКОМ неустойки (штрафа, пени) и (или) до возмещения ИСПОЛНИТЕЛЕМ убытков, согласно предъявленным ЗАКАЗЧИКОМ требованиям. </w:t>
      </w:r>
    </w:p>
    <w:p w14:paraId="58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5.7. В случаях начисления и выставления ЗАКАЗЧИКОМ неустойки (штрафа, пени), оплата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производится в течение 10 (десяти) рабочих дней со дня поступления ЗАКАЗЧИКУ от ИСПОЛНИТЕЛЯ денежных средств в счет уплаты в полном объеме начисленной и выставленной ЗАКАЗЧИКОМ неустойки (штрафа, пени) и (или) возмещения ИСПОЛНИТЕЛЕМ убытков, согласно предъявленным ЗАКАЗЧИКОМ требованиям.</w:t>
      </w:r>
    </w:p>
    <w:p w14:paraId="59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5.8. 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исполнения ЗАКАЗЧИКОМ обязательств по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у, о чем ЗАКАЗЧИК уведомляет ИСПОЛНИТЕЛЯ, Стороны согласовывают в соответствии с законодательством Российской Федерации новые условия по цене и (или) объему оказания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.</w:t>
      </w:r>
    </w:p>
    <w:p w14:paraId="5A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5.9. ЗАКАЗЧИК имеет право отказаться (полностью или частично) от оплаты оказанных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не соответствующ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z w:val="24"/>
        </w:rPr>
        <w:t xml:space="preserve"> требованиям, установленным </w:t>
      </w:r>
      <w:r>
        <w:rPr>
          <w:rFonts w:ascii="Times New Roman" w:hAnsi="Times New Roman"/>
          <w:sz w:val="24"/>
        </w:rPr>
        <w:t xml:space="preserve">настоящим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</w:t>
      </w:r>
      <w:r>
        <w:rPr>
          <w:rFonts w:ascii="Times New Roman" w:hAnsi="Times New Roman"/>
          <w:sz w:val="24"/>
        </w:rPr>
        <w:t xml:space="preserve">, в том числе в случае оказания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ненадлежащего качества</w:t>
      </w:r>
      <w:r>
        <w:rPr>
          <w:rFonts w:ascii="Times New Roman" w:hAnsi="Times New Roman"/>
          <w:sz w:val="24"/>
        </w:rPr>
        <w:t xml:space="preserve">. </w:t>
      </w:r>
    </w:p>
    <w:p w14:paraId="5B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5.10. Предоставление ИСПОЛНИТЕЛ</w:t>
      </w:r>
      <w:r>
        <w:rPr>
          <w:rFonts w:ascii="Times New Roman" w:hAnsi="Times New Roman"/>
          <w:sz w:val="24"/>
        </w:rPr>
        <w:t>ЕМ полного комплекта документов</w:t>
      </w:r>
      <w:r>
        <w:rPr>
          <w:rFonts w:ascii="Times New Roman" w:hAnsi="Times New Roman"/>
          <w:sz w:val="24"/>
        </w:rPr>
        <w:t xml:space="preserve"> является условием оплаты. При этом не предоставление ИСПОЛНИТЕЛЕМ какого-либо из документов (одного или нескольких) или представление их с нарушением формы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либо с неоговоренными исправлениями, является для ЗАКАЗЧИКА основанием для задержки оплаты до устранения указанных недостатков. В этом случае Заказчик не несет ответственности за просрочку платежа и не возмещает убытки ИСПОЛНИТЕЛЯ, возникшие в связи с данными обстоятельствами.</w:t>
      </w:r>
    </w:p>
    <w:p w14:paraId="5C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5.11. ЗАКАЗЧИК по согласованию с ИСПОЛНИТЕЛЕМ в ходе исполнения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вправе изменить не более чем на десять процентов предусмотренные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ом объем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при изменении потребности в объеме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, на выполнение которых заключен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. При потребности дополнительного объема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ЗАКАЗЧИК, по согласованию с ИСПОЛНИТЕЛЕМ, вправе изменить первоначальную цену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пропорционально объему таких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, но не более чем на десять процентов такой цены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а при внесении соответствующих изменений в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в связи с сокращением потребности в выполнении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, ЗАКАЗЧИК обязан изменить цену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указанным образом.</w:t>
      </w:r>
    </w:p>
    <w:p w14:paraId="5D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5.12. По окончании исполнения Сторонами обязательств по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ИСПОЛНИТЕЛЬ в течение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(трёх) рабочих дней представляет ЗАКАЗЧИКУ Акт сверки расчетов по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14:paraId="5E000000">
      <w:pPr>
        <w:pStyle w:val="Style_7"/>
        <w:widowControl w:val="1"/>
        <w:tabs>
          <w:tab w:leader="none" w:pos="0" w:val="left"/>
          <w:tab w:leader="none" w:pos="540" w:val="left"/>
        </w:tabs>
        <w:ind w:firstLine="709"/>
        <w:jc w:val="center"/>
        <w:rPr>
          <w:b w:val="1"/>
        </w:rPr>
      </w:pPr>
      <w:r>
        <w:rPr>
          <w:b w:val="1"/>
        </w:rPr>
        <w:t>6. УСЛОВИЯ КОНФЕДЕНЦИАЛЬНОСТИ</w:t>
      </w:r>
    </w:p>
    <w:p w14:paraId="5F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Стороны гарантируют сохранение конфиденциальности отношений и условий настоящего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14:paraId="60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Стороны гарантируют строгое соблюдение условий настоящего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14:paraId="61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Стороны гарантируют сохранение конфиденциальной информации, полученной ими во время взаимного сотрудничества на основании настоящего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и неразглашение какой-либо коммерческой и финансовой информации третьим лицам письменно, устно, в электронном виде или иным способом.</w:t>
      </w:r>
    </w:p>
    <w:p w14:paraId="62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Стороны принимают все необходимые меры для того, чтобы их сотрудники и правопреемники без предварительного письменного согласия другой Стороны не информировали третьих лиц о деталях данного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и приложений к нему в течение срока действия настоящего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14:paraId="63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При разглашении одной из Сторон сведений, составляющих коммерческую тайну другой Стороны, при условии, что указанные сведения были ей известны в качестве таковых, виновная Сторона обязана возместить другой Стороне нанесенные ей в связи с этим убытки.</w:t>
      </w:r>
    </w:p>
    <w:p w14:paraId="64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6.6. Обязательства Сторон по конфиденциальности не распространяются на общедоступную информацию.</w:t>
      </w:r>
    </w:p>
    <w:p w14:paraId="65000000">
      <w:pPr>
        <w:pStyle w:val="Style_7"/>
        <w:widowControl w:val="1"/>
        <w:tabs>
          <w:tab w:leader="none" w:pos="0" w:val="left"/>
          <w:tab w:leader="none" w:pos="540" w:val="left"/>
        </w:tabs>
        <w:ind w:firstLine="709"/>
        <w:jc w:val="center"/>
        <w:rPr>
          <w:b w:val="1"/>
        </w:rPr>
      </w:pPr>
      <w:r>
        <w:rPr>
          <w:b w:val="1"/>
        </w:rPr>
        <w:t>7. ОБСТОЯТЕЛЬСТВА НЕПРЕОДОЛИМОЙ СИЛЫ</w:t>
      </w:r>
    </w:p>
    <w:p w14:paraId="66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Стороны не несут ответственности за полное или частичное неисполнение предусмотренных настоящим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 обязательств, если такое неисполнение связано с обстоятельствами непреодолимой силы.</w:t>
      </w:r>
    </w:p>
    <w:p w14:paraId="67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7.2. Сторона, для которой создалась невозможность исполнения обязательств по настоящему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вследствие наступления обстоятельств непреодолимой силы,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календарных дней с даты их наступления. В случае прекращения указанных обстоятельств, Сторона в течение 3 календарных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настоящему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14:paraId="68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7.3. В случае возникновения обстоятельств непреодолимой силы Стороны вправе расторгнуть настоящий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, и в этом случае ни одна из Сторон не вправе требовать возмещения убытков.</w:t>
      </w:r>
    </w:p>
    <w:p w14:paraId="69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14:paraId="6A000000">
      <w:pPr>
        <w:pStyle w:val="Style_4"/>
        <w:widowControl w:val="1"/>
        <w:numPr>
          <w:ilvl w:val="0"/>
          <w:numId w:val="2"/>
        </w:numPr>
        <w:spacing w:after="0"/>
        <w:ind w:firstLine="709" w:left="0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РАССМОТРЕНИЕ И РАЗРЕШЕНИЕ СПОРОВ</w:t>
      </w:r>
    </w:p>
    <w:p w14:paraId="6B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 Претензии Сторон, возникающие в связи с исполнением настоящего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включая споры и разногласия по техническим и финансовым вопросам (условиям), рассматриваются Сторонами в течение 7 дней путем переговоров с оформлением соответствующих документов.</w:t>
      </w:r>
    </w:p>
    <w:p w14:paraId="6C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8.2. </w:t>
      </w:r>
      <w:r>
        <w:rPr>
          <w:rFonts w:ascii="Times New Roman" w:hAnsi="Times New Roman"/>
          <w:color w:val="000000"/>
          <w:sz w:val="24"/>
        </w:rPr>
        <w:t>Расторжение Договора допускается по соглашению Сторон с возмещением понесенных убытков, или вступления решения суда в законную силу, в случае одностороннего отказа от исполнения Договора в соответствии с гражданским законодательством РФ.</w:t>
      </w:r>
    </w:p>
    <w:p w14:paraId="6D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</w:t>
      </w:r>
      <w:r>
        <w:rPr>
          <w:rFonts w:ascii="Times New Roman" w:hAnsi="Times New Roman"/>
          <w:sz w:val="24"/>
        </w:rPr>
        <w:t>. Неурегулированные споры передаются на разрешение в Арбитражный суд только после принятия мер по их досудебному урегулированию.</w:t>
      </w:r>
    </w:p>
    <w:p w14:paraId="6E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</w:p>
    <w:p w14:paraId="6F000000">
      <w:pPr>
        <w:pStyle w:val="Style_4"/>
        <w:widowControl w:val="1"/>
        <w:numPr>
          <w:ilvl w:val="0"/>
          <w:numId w:val="2"/>
        </w:numPr>
        <w:spacing w:after="0"/>
        <w:ind w:firstLine="709" w:left="-142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СРОК ДЕЙСТВИЯ </w:t>
      </w:r>
      <w:r>
        <w:rPr>
          <w:rFonts w:ascii="Times New Roman" w:hAnsi="Times New Roman"/>
          <w:b w:val="1"/>
          <w:color w:val="000000"/>
          <w:sz w:val="24"/>
        </w:rPr>
        <w:t>ДОГОВОР</w:t>
      </w:r>
      <w:r>
        <w:rPr>
          <w:rFonts w:ascii="Times New Roman" w:hAnsi="Times New Roman"/>
          <w:b w:val="1"/>
          <w:color w:val="000000"/>
          <w:sz w:val="24"/>
        </w:rPr>
        <w:t>А</w:t>
      </w:r>
    </w:p>
    <w:p w14:paraId="70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9.1. Настоящий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</w:t>
      </w:r>
      <w:r>
        <w:rPr>
          <w:rFonts w:ascii="Times New Roman" w:hAnsi="Times New Roman"/>
          <w:sz w:val="24"/>
        </w:rPr>
        <w:t xml:space="preserve"> в 2 (двух) экземплярах на бумажном носителе, один из которых передается ИСПОЛНИТЕЛЮ, а второй находится у ЗАКАЗЧИКА. </w:t>
      </w:r>
    </w:p>
    <w:p w14:paraId="71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9.2. Настоящий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вступает в силу со дня его подписания Сторонами и действует до полного исполнения сторонами своих обязательств по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у, но не позднее 31.12.2026</w:t>
      </w:r>
      <w:r>
        <w:rPr>
          <w:rFonts w:ascii="Times New Roman" w:hAnsi="Times New Roman"/>
          <w:sz w:val="24"/>
        </w:rPr>
        <w:t>.</w:t>
      </w:r>
    </w:p>
    <w:p w14:paraId="72000000">
      <w:pPr>
        <w:pStyle w:val="Style_4"/>
        <w:widowControl w:val="1"/>
        <w:numPr>
          <w:ilvl w:val="0"/>
          <w:numId w:val="2"/>
        </w:numPr>
        <w:spacing w:after="0"/>
        <w:ind w:firstLine="709" w:left="0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ОСОБЫЕ УСЛОВИЯ</w:t>
      </w:r>
    </w:p>
    <w:p w14:paraId="73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10.1. Внесение изменений и дополнений, не противоречащих законодательству Российской Федерации, в условия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осуществляется путем заключения Сторонами в письменной форме дополнительных соглашений к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у, которые являются его неотъемлемой частью.</w:t>
      </w:r>
    </w:p>
    <w:p w14:paraId="74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 В случае изменения у одной из Сторон адреса места нахождения, почтового адреса, банковских реквизитов, такая Сторона обязана в течение 3 (трех) рабочих дней с момента внесения вышеуказанных изменений письменно известить об этом другую Сторону. В случае изменения правового статуса одной из Сторон, она в течение трех рабочих дней обязана информировать другую Сторону об организации-правопреемнике.</w:t>
      </w:r>
    </w:p>
    <w:p w14:paraId="75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10.3. Во всем, что не предусмотрено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ом, Стороны руководствуются законодательством Российской Федерации.</w:t>
      </w:r>
    </w:p>
    <w:p w14:paraId="76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10.4. Стороны обязуются обеспечить конфиденциальность сведений, относящихся к предмету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и ставших им известными в ходе его исполнения. </w:t>
      </w:r>
    </w:p>
    <w:p w14:paraId="77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10.5. При исполнении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не допускается перемена ИСПОЛНИТЕЛЯ, за исключением случая, если новый ИСПОЛНИТЕЛЬ является правопреемником </w:t>
      </w:r>
      <w:r>
        <w:rPr>
          <w:rFonts w:ascii="Times New Roman" w:hAnsi="Times New Roman"/>
          <w:sz w:val="24"/>
        </w:rPr>
        <w:t xml:space="preserve">ИСПОЛНИТЕЛЯ по такому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вследствие реорганизации юридического лица в форме преобразования, слияния или присоединения.</w:t>
      </w:r>
    </w:p>
    <w:p w14:paraId="78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10.6. В случае перемены ЗАКАЗЧИКА права и обязанности ЗАКАЗЧИКА, предусмотренные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ом, переходят к новому ЗАКАЗЧИКУ.</w:t>
      </w:r>
    </w:p>
    <w:p w14:paraId="79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10.7. В целях надлежащего исполнения Сторонами обязательств по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Стороны дают свое согласие н</w:t>
      </w:r>
      <w:r>
        <w:rPr>
          <w:rFonts w:ascii="Times New Roman" w:hAnsi="Times New Roman"/>
          <w:sz w:val="24"/>
        </w:rPr>
        <w:t>а обработку персональных данных</w:t>
      </w:r>
      <w:r>
        <w:rPr>
          <w:rFonts w:ascii="Times New Roman" w:hAnsi="Times New Roman"/>
          <w:sz w:val="24"/>
        </w:rPr>
        <w:t xml:space="preserve"> в соответствие с требованиями Федерального закона от 27.07.2006 № 152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ФЗ «О персональных данных». Стороны пришли к согласию о том, что любые сведения о физическом лице (лице, которое является стороной в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работнике или представителе Стороны), содержащиеся в данном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е, переданы одной стороной другой стороне на основании согласия физического лица – субъекта персональных данных на обработку его персональных данных.</w:t>
      </w:r>
    </w:p>
    <w:p w14:paraId="7A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Сторона, получившая персональные данные, имеет право осуществлять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Обработка персональных данных после прекращения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запрещается, кроме случаев, определенных настоящим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14:paraId="7B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</w:p>
    <w:p w14:paraId="7C000000">
      <w:pPr>
        <w:pStyle w:val="Style_4"/>
        <w:widowControl w:val="1"/>
        <w:numPr>
          <w:ilvl w:val="0"/>
          <w:numId w:val="2"/>
        </w:numPr>
        <w:spacing w:after="0"/>
        <w:ind w:firstLine="142" w:left="567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ПЕРЕЧЕНЬ ПРИЛОЖЕНИЙ</w:t>
      </w:r>
    </w:p>
    <w:p w14:paraId="7D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11.1. Неотъемлемой частью настоящего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являются следующие приложения:</w:t>
      </w:r>
    </w:p>
    <w:p w14:paraId="7E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– Техническое задание.</w:t>
      </w:r>
    </w:p>
    <w:p w14:paraId="7F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– </w:t>
      </w:r>
      <w:r>
        <w:rPr>
          <w:rFonts w:ascii="Times New Roman" w:hAnsi="Times New Roman"/>
          <w:sz w:val="24"/>
        </w:rPr>
        <w:t>Спецификация</w:t>
      </w:r>
      <w:r>
        <w:rPr>
          <w:rFonts w:ascii="Times New Roman" w:hAnsi="Times New Roman"/>
          <w:sz w:val="24"/>
        </w:rPr>
        <w:t>.</w:t>
      </w:r>
    </w:p>
    <w:p w14:paraId="80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</w:p>
    <w:tbl>
      <w:tblPr>
        <w:tblStyle w:val="Style_8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248"/>
        <w:gridCol w:w="5245"/>
      </w:tblGrid>
      <w:tr>
        <w:trPr>
          <w:trHeight w:hRule="atLeast" w:val="699"/>
        </w:trPr>
        <w:tc>
          <w:tcPr>
            <w:tcW w:type="dxa" w:w="4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Исполнитель:</w:t>
            </w:r>
          </w:p>
          <w:p w14:paraId="8200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  <w:b w:val="1"/>
              </w:rPr>
            </w:pPr>
          </w:p>
          <w:p w14:paraId="8300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Заказчик: </w:t>
            </w:r>
          </w:p>
          <w:p w14:paraId="8500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Федеральное казенное учреждение «Главное бюро медико-социальной экспертизы по Республике Крым» Министерства труда и социальной защиты Российской Федерации</w:t>
            </w:r>
          </w:p>
          <w:p w14:paraId="8600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295024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8700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Республика Крым, г. Симферополь, </w:t>
            </w:r>
          </w:p>
          <w:p w14:paraId="8800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1 Конной Армии, д. 17</w:t>
            </w:r>
            <w:r>
              <w:rPr>
                <w:rFonts w:ascii="Times New Roman" w:hAnsi="Times New Roman"/>
              </w:rPr>
              <w:t>Б</w:t>
            </w:r>
            <w:bookmarkStart w:id="1" w:name="_GoBack"/>
            <w:bookmarkEnd w:id="1"/>
          </w:p>
          <w:p w14:paraId="89000000">
            <w:pPr>
              <w:pStyle w:val="Style_3"/>
              <w:widowControl w:val="0"/>
              <w:tabs>
                <w:tab w:leader="none" w:pos="708" w:val="clear"/>
                <w:tab w:leader="none" w:pos="1260" w:val="left"/>
              </w:tabs>
              <w:spacing w:after="0" w:before="0" w:line="240" w:lineRule="auto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</w:rPr>
              <w:t>ОГРН 1149102013928</w:t>
            </w:r>
          </w:p>
          <w:p w14:paraId="8A000000">
            <w:pPr>
              <w:pStyle w:val="Style_3"/>
              <w:widowControl w:val="0"/>
              <w:tabs>
                <w:tab w:leader="none" w:pos="708" w:val="clear"/>
                <w:tab w:leader="none" w:pos="1260" w:val="left"/>
              </w:tabs>
              <w:spacing w:after="0" w:before="0" w:line="240" w:lineRule="auto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</w:rPr>
              <w:t>ИНН 9102009908</w:t>
            </w:r>
          </w:p>
          <w:p w14:paraId="8B000000">
            <w:pPr>
              <w:pStyle w:val="Style_3"/>
              <w:widowControl w:val="0"/>
              <w:tabs>
                <w:tab w:leader="none" w:pos="708" w:val="clear"/>
                <w:tab w:leader="none" w:pos="1260" w:val="left"/>
              </w:tabs>
              <w:spacing w:after="0" w:before="0" w:line="240" w:lineRule="auto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</w:rPr>
              <w:t>КПП 910201001</w:t>
            </w:r>
          </w:p>
          <w:p w14:paraId="8C000000">
            <w:pPr>
              <w:pStyle w:val="Style_3"/>
              <w:widowControl w:val="0"/>
              <w:tabs>
                <w:tab w:leader="none" w:pos="708" w:val="clear"/>
                <w:tab w:leader="none" w:pos="1260" w:val="left"/>
              </w:tabs>
              <w:spacing w:after="0" w:before="0" w:line="240" w:lineRule="auto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</w:rPr>
              <w:t>Банковские реквизиты:</w:t>
            </w:r>
          </w:p>
          <w:p w14:paraId="8D000000">
            <w:pPr>
              <w:pStyle w:val="Style_3"/>
              <w:widowControl w:val="0"/>
              <w:spacing w:after="0"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</w:rPr>
              <w:t>Банк: ОКЦ № 1 ВВГУ Банка России//УФК по Нижегородской области, г. Нижний Новгород.</w:t>
            </w:r>
          </w:p>
          <w:p w14:paraId="8E000000">
            <w:pPr>
              <w:pStyle w:val="Style_3"/>
              <w:widowControl w:val="0"/>
              <w:tabs>
                <w:tab w:leader="none" w:pos="708" w:val="clear"/>
                <w:tab w:leader="none" w:pos="1260" w:val="left"/>
              </w:tabs>
              <w:spacing w:after="0" w:before="0" w:line="240" w:lineRule="auto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</w:rPr>
              <w:t>БИК 012202102</w:t>
            </w:r>
          </w:p>
          <w:p w14:paraId="8F000000">
            <w:pPr>
              <w:pStyle w:val="Style_3"/>
              <w:widowControl w:val="0"/>
              <w:tabs>
                <w:tab w:leader="none" w:pos="708" w:val="clear"/>
                <w:tab w:leader="none" w:pos="1260" w:val="left"/>
              </w:tabs>
              <w:spacing w:after="0" w:before="0" w:line="240" w:lineRule="auto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</w:rPr>
              <w:t>ЕКС 40102810745370000024</w:t>
            </w:r>
          </w:p>
          <w:p w14:paraId="90000000">
            <w:pPr>
              <w:pStyle w:val="Style_3"/>
              <w:widowControl w:val="0"/>
              <w:tabs>
                <w:tab w:leader="none" w:pos="708" w:val="clear"/>
                <w:tab w:leader="none" w:pos="1260" w:val="left"/>
              </w:tabs>
              <w:spacing w:after="0" w:before="0" w:line="240" w:lineRule="auto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</w:rPr>
              <w:t>Казначейский счет 03211643000000013242</w:t>
            </w:r>
          </w:p>
          <w:p w14:paraId="91000000">
            <w:pPr>
              <w:pStyle w:val="Style_3"/>
              <w:widowControl w:val="0"/>
              <w:tabs>
                <w:tab w:leader="none" w:pos="708" w:val="clear"/>
                <w:tab w:leader="none" w:pos="1260" w:val="left"/>
              </w:tabs>
              <w:spacing w:after="0" w:before="0" w:line="240" w:lineRule="auto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</w:rPr>
              <w:t>Еmail: msek2010@mail.ru</w:t>
            </w:r>
          </w:p>
          <w:p w14:paraId="9200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</w:rPr>
              <w:t>тел. +7 (978) 1356047</w:t>
            </w:r>
          </w:p>
          <w:p w14:paraId="9300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Заместитель руководителя по общим </w:t>
            </w:r>
          </w:p>
          <w:p w14:paraId="9400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вопросам деятельности учреждения</w:t>
            </w:r>
          </w:p>
          <w:p w14:paraId="9500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  <w:b w:val="1"/>
              </w:rPr>
            </w:pPr>
          </w:p>
          <w:p w14:paraId="9600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_________________</w:t>
            </w:r>
            <w:r>
              <w:rPr>
                <w:rFonts w:ascii="Times New Roman" w:hAnsi="Times New Roman"/>
                <w:b w:val="1"/>
              </w:rPr>
              <w:t>_  И.П.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Посторонко</w:t>
            </w:r>
          </w:p>
          <w:p w14:paraId="9700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М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>П</w:t>
            </w:r>
            <w:r>
              <w:rPr>
                <w:rFonts w:ascii="Times New Roman" w:hAnsi="Times New Roman"/>
                <w:b w:val="1"/>
              </w:rPr>
              <w:t>.</w:t>
            </w:r>
          </w:p>
        </w:tc>
      </w:tr>
    </w:tbl>
    <w:p w14:paraId="98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</w:p>
    <w:p w14:paraId="99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</w:p>
    <w:p w14:paraId="9A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</w:p>
    <w:p w14:paraId="9B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</w:p>
    <w:p w14:paraId="9C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</w:p>
    <w:p w14:paraId="9D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</w:p>
    <w:p w14:paraId="9E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</w:p>
    <w:p w14:paraId="9F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</w:p>
    <w:p w14:paraId="A0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</w:p>
    <w:p w14:paraId="A1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</w:p>
    <w:p w14:paraId="A2000000">
      <w:pPr>
        <w:pStyle w:val="Style_5"/>
        <w:widowControl w:val="1"/>
        <w:ind w:firstLine="666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</w:t>
      </w:r>
    </w:p>
    <w:p w14:paraId="A3000000">
      <w:pPr>
        <w:pStyle w:val="Style_5"/>
        <w:widowControl w:val="1"/>
        <w:ind w:firstLine="666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у №</w:t>
      </w:r>
    </w:p>
    <w:p w14:paraId="A4000000">
      <w:pPr>
        <w:pStyle w:val="Style_5"/>
        <w:widowControl w:val="1"/>
        <w:ind w:firstLine="666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«__</w:t>
      </w:r>
      <w:r>
        <w:rPr>
          <w:rFonts w:ascii="Times New Roman" w:hAnsi="Times New Roman"/>
        </w:rPr>
        <w:t>_»_</w:t>
      </w:r>
      <w:r>
        <w:rPr>
          <w:rFonts w:ascii="Times New Roman" w:hAnsi="Times New Roman"/>
        </w:rPr>
        <w:t>_______ 2026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</w:p>
    <w:p w14:paraId="A5000000">
      <w:pPr>
        <w:pStyle w:val="Style_5"/>
        <w:widowControl w:val="1"/>
        <w:ind w:firstLine="709"/>
        <w:jc w:val="both"/>
        <w:rPr>
          <w:rFonts w:ascii="Times New Roman" w:hAnsi="Times New Roman"/>
          <w:sz w:val="20"/>
        </w:rPr>
      </w:pPr>
    </w:p>
    <w:p w14:paraId="A6000000">
      <w:pPr>
        <w:pStyle w:val="Style_5"/>
        <w:widowControl w:val="1"/>
        <w:ind w:firstLine="709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Техническое задание</w:t>
      </w:r>
    </w:p>
    <w:p w14:paraId="A7000000">
      <w:pPr>
        <w:pStyle w:val="Style_5"/>
        <w:widowControl w:val="1"/>
        <w:ind w:firstLine="709"/>
        <w:jc w:val="center"/>
        <w:rPr>
          <w:rFonts w:ascii="Times New Roman" w:hAnsi="Times New Roman"/>
          <w:sz w:val="24"/>
        </w:rPr>
      </w:pPr>
    </w:p>
    <w:p w14:paraId="A8000000">
      <w:pPr>
        <w:pStyle w:val="Style_5"/>
        <w:widowControl w:val="1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Предмет:</w:t>
      </w:r>
      <w:r>
        <w:rPr>
          <w:rFonts w:ascii="Times New Roman" w:hAnsi="Times New Roman"/>
          <w:sz w:val="24"/>
        </w:rPr>
        <w:t xml:space="preserve"> Оказание метрологических Услуг по поверке (калибровке) СИ, в порядке и на условиях, определенных настоящим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14:paraId="A9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Место оказания </w:t>
      </w:r>
      <w:r>
        <w:rPr>
          <w:rFonts w:ascii="Times New Roman" w:hAnsi="Times New Roman"/>
          <w:sz w:val="24"/>
        </w:rPr>
        <w:t>Услуг: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Оказание Услуг осуществляется по месту нахождения ИСПОЛНИТЕЛЯ, а в случае необходимости (если это не противоречит методике поверки) оказание услуг осуществляется по адресу ЗАКАЗЧИКА.</w:t>
      </w:r>
    </w:p>
    <w:p w14:paraId="AA00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Средства измерений, подлежащих поверке на технической базе ИСПОЛНИТЕЛЯ, доставляются силами ЗАКАЗЧИКА.</w:t>
      </w:r>
    </w:p>
    <w:p w14:paraId="AB000000">
      <w:pPr>
        <w:pStyle w:val="Style_5"/>
        <w:widowControl w:val="1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Количество:</w:t>
      </w:r>
    </w:p>
    <w:tbl>
      <w:tblPr>
        <w:tblStyle w:val="Style_8"/>
        <w:tblW w:type="auto" w:w="0"/>
        <w:jc w:val="left"/>
        <w:tblInd w:type="dxa" w:w="-176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21"/>
        <w:gridCol w:w="1502"/>
        <w:gridCol w:w="1457"/>
        <w:gridCol w:w="1296"/>
        <w:gridCol w:w="1253"/>
        <w:gridCol w:w="999"/>
        <w:gridCol w:w="1039"/>
        <w:gridCol w:w="653"/>
        <w:gridCol w:w="778"/>
      </w:tblGrid>
      <w:tr>
        <w:trPr>
          <w:trHeight w:hRule="atLeast" w:val="555"/>
        </w:trPr>
        <w:tc>
          <w:tcPr>
            <w:tcW w:type="dxa" w:w="5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№</w:t>
            </w:r>
          </w:p>
          <w:p w14:paraId="AD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type="dxa" w:w="15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Наименование тип (модификация) СИ</w:t>
            </w:r>
          </w:p>
        </w:tc>
        <w:tc>
          <w:tcPr>
            <w:tcW w:type="dxa" w:w="40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Метрологические характеристики</w:t>
            </w:r>
          </w:p>
        </w:tc>
        <w:tc>
          <w:tcPr>
            <w:tcW w:type="dxa" w:w="99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Заводской номер</w:t>
            </w:r>
          </w:p>
        </w:tc>
        <w:tc>
          <w:tcPr>
            <w:tcW w:type="dxa" w:w="103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Код СИ согласно прейскуранту</w:t>
            </w:r>
          </w:p>
        </w:tc>
        <w:tc>
          <w:tcPr>
            <w:tcW w:type="dxa" w:w="6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Ед. изм.</w:t>
            </w:r>
          </w:p>
        </w:tc>
        <w:tc>
          <w:tcPr>
            <w:tcW w:type="dxa" w:w="7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Количество</w:t>
            </w:r>
          </w:p>
        </w:tc>
      </w:tr>
      <w:tr>
        <w:trPr>
          <w:trHeight w:hRule="atLeast" w:val="555"/>
        </w:trPr>
        <w:tc>
          <w:tcPr>
            <w:tcW w:type="dxa" w:w="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Наименование средств измерения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Класс точности, погрешность</w:t>
            </w:r>
          </w:p>
        </w:tc>
        <w:tc>
          <w:tcPr>
            <w:tcW w:type="dxa" w:w="1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Пределы (диапазон) измерений</w:t>
            </w:r>
          </w:p>
        </w:tc>
        <w:tc>
          <w:tcPr>
            <w:tcW w:type="dxa" w:w="99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6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1681"/>
        </w:trPr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46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Тонометр медицинский</w:t>
            </w:r>
          </w:p>
          <w:p w14:paraId="B9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46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Med</w:t>
            </w:r>
            <w:r>
              <w:rPr>
                <w:rFonts w:ascii="Times New Roman" w:hAnsi="Times New Roman"/>
                <w:sz w:val="20"/>
              </w:rPr>
              <w:t>-62,</w:t>
            </w:r>
          </w:p>
          <w:p w14:paraId="BA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46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Med</w:t>
            </w:r>
            <w:r>
              <w:rPr>
                <w:rFonts w:ascii="Times New Roman" w:hAnsi="Times New Roman"/>
                <w:sz w:val="20"/>
              </w:rPr>
              <w:t>-63,</w:t>
            </w:r>
          </w:p>
          <w:p w14:paraId="BB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46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LD</w:t>
            </w:r>
            <w:r>
              <w:rPr>
                <w:rFonts w:ascii="Times New Roman" w:hAnsi="Times New Roman"/>
                <w:sz w:val="20"/>
              </w:rPr>
              <w:t>-71,</w:t>
            </w:r>
          </w:p>
          <w:p w14:paraId="BC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46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WM-61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Измерители артериального давления механические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± 3%</w:t>
            </w:r>
          </w:p>
        </w:tc>
        <w:tc>
          <w:tcPr>
            <w:tcW w:type="dxa" w:w="1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От 620 до 300 мм рт.ст.</w:t>
            </w:r>
          </w:p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От-сутствует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30055000</w:t>
            </w:r>
          </w:p>
        </w:tc>
        <w:tc>
          <w:tcPr>
            <w:tcW w:type="dxa" w:w="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</w:tr>
      <w:tr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46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Медицинский тонометр с речевым выходом 1</w:t>
            </w:r>
          </w:p>
          <w:p w14:paraId="C6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46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WA-77</w:t>
            </w:r>
          </w:p>
        </w:tc>
        <w:tc>
          <w:tcPr>
            <w:tcW w:type="dxa" w:w="1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Измерители артериального давления механические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± 3%</w:t>
            </w:r>
          </w:p>
        </w:tc>
        <w:tc>
          <w:tcPr>
            <w:tcW w:type="dxa" w:w="1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От 620 до 300 мм рт.ст.</w:t>
            </w:r>
          </w:p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От-сутствует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30059000</w:t>
            </w:r>
          </w:p>
        </w:tc>
        <w:tc>
          <w:tcPr>
            <w:tcW w:type="dxa" w:w="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46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Весы напольные медицинские электронные ВМЭН</w:t>
            </w:r>
          </w:p>
          <w:p w14:paraId="D0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46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200-50/100-</w:t>
            </w:r>
            <w:r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type="dxa" w:w="1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Весы напольные медицинские электронные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± 100 г</w:t>
            </w:r>
          </w:p>
        </w:tc>
        <w:tc>
          <w:tcPr>
            <w:tcW w:type="dxa" w:w="1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До 200 кг</w:t>
            </w:r>
          </w:p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От-сутствует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285033193</w:t>
            </w:r>
          </w:p>
        </w:tc>
        <w:tc>
          <w:tcPr>
            <w:tcW w:type="dxa" w:w="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1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46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Весы электронные напольные медицинские ВМЭН</w:t>
            </w:r>
          </w:p>
          <w:p w14:paraId="DA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46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150/200-50/100-Д</w:t>
            </w:r>
            <w:r>
              <w:rPr>
                <w:rFonts w:ascii="Times New Roman" w:hAnsi="Times New Roman"/>
                <w:sz w:val="20"/>
              </w:rPr>
              <w:t>З</w:t>
            </w:r>
          </w:p>
        </w:tc>
        <w:tc>
          <w:tcPr>
            <w:tcW w:type="dxa" w:w="1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Весы напольные медицинские электронные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± 100 г</w:t>
            </w:r>
          </w:p>
        </w:tc>
        <w:tc>
          <w:tcPr>
            <w:tcW w:type="dxa" w:w="1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До 200 кг</w:t>
            </w:r>
          </w:p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От-сутствует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285033193</w:t>
            </w:r>
          </w:p>
        </w:tc>
        <w:tc>
          <w:tcPr>
            <w:tcW w:type="dxa" w:w="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1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 xml:space="preserve">Весы медицинские взрослые </w:t>
            </w:r>
            <w:r>
              <w:rPr>
                <w:rFonts w:ascii="Times New Roman" w:hAnsi="Times New Roman"/>
                <w:sz w:val="20"/>
              </w:rPr>
              <w:t>SEGA 813</w:t>
            </w:r>
          </w:p>
        </w:tc>
        <w:tc>
          <w:tcPr>
            <w:tcW w:type="dxa" w:w="1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Весы напольные медицинские электронные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± 100 г</w:t>
            </w:r>
          </w:p>
        </w:tc>
        <w:tc>
          <w:tcPr>
            <w:tcW w:type="dxa" w:w="1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До 200 кг</w:t>
            </w:r>
          </w:p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От-сутствует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285032156</w:t>
            </w:r>
          </w:p>
        </w:tc>
        <w:tc>
          <w:tcPr>
            <w:tcW w:type="dxa" w:w="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</w:tr>
      <w:tr>
        <w:tc>
          <w:tcPr>
            <w:tcW w:type="dxa" w:w="5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type="dxa" w:w="150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Весы напольные, электронные МП «Здоровье» 150-ВДА</w:t>
            </w:r>
          </w:p>
        </w:tc>
        <w:tc>
          <w:tcPr>
            <w:tcW w:type="dxa" w:w="145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Весы напольные медицинские электронные</w:t>
            </w:r>
          </w:p>
        </w:tc>
        <w:tc>
          <w:tcPr>
            <w:tcW w:type="dxa" w:w="129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± 100 г</w:t>
            </w:r>
          </w:p>
        </w:tc>
        <w:tc>
          <w:tcPr>
            <w:tcW w:type="dxa" w:w="125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До 200 кг</w:t>
            </w:r>
          </w:p>
        </w:tc>
        <w:tc>
          <w:tcPr>
            <w:tcW w:type="dxa" w:w="9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От-сутствует</w:t>
            </w:r>
          </w:p>
        </w:tc>
        <w:tc>
          <w:tcPr>
            <w:tcW w:type="dxa" w:w="103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285032213</w:t>
            </w:r>
          </w:p>
        </w:tc>
        <w:tc>
          <w:tcPr>
            <w:tcW w:type="dxa" w:w="65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78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1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Весы медицинские детские</w:t>
            </w:r>
            <w:r>
              <w:rPr>
                <w:rFonts w:ascii="Times New Roman" w:hAnsi="Times New Roman"/>
                <w:sz w:val="20"/>
              </w:rPr>
              <w:t xml:space="preserve"> SEGA</w:t>
            </w:r>
            <w:r>
              <w:rPr>
                <w:rFonts w:ascii="Times New Roman" w:hAnsi="Times New Roman"/>
                <w:sz w:val="20"/>
              </w:rPr>
              <w:t xml:space="preserve"> 354</w:t>
            </w:r>
          </w:p>
        </w:tc>
        <w:tc>
          <w:tcPr>
            <w:tcW w:type="dxa" w:w="1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Весы электронные с автономным питанием настольные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± 7,5 г</w:t>
            </w:r>
          </w:p>
        </w:tc>
        <w:tc>
          <w:tcPr>
            <w:tcW w:type="dxa" w:w="1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До 15 кг. Вкл.</w:t>
            </w:r>
          </w:p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От-сутствует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280</w:t>
            </w:r>
            <w:r>
              <w:rPr>
                <w:rFonts w:ascii="Times New Roman" w:hAnsi="Times New Roman"/>
                <w:sz w:val="20"/>
              </w:rPr>
              <w:t>26012</w:t>
            </w:r>
          </w:p>
        </w:tc>
        <w:tc>
          <w:tcPr>
            <w:tcW w:type="dxa" w:w="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>
        <w:tc>
          <w:tcPr>
            <w:tcW w:type="dxa" w:w="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type="dxa" w:w="15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 весам</w:t>
            </w:r>
          </w:p>
        </w:tc>
        <w:tc>
          <w:tcPr>
            <w:tcW w:type="dxa" w:w="14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Прочие работы (услуги) в области ОЕИ</w:t>
            </w:r>
          </w:p>
          <w:p w14:paraId="0001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выдача документа удостоверяющего результат проверки</w:t>
            </w:r>
          </w:p>
        </w:tc>
        <w:tc>
          <w:tcPr>
            <w:tcW w:type="dxa" w:w="1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9001165</w:t>
            </w:r>
          </w:p>
        </w:tc>
        <w:tc>
          <w:tcPr>
            <w:tcW w:type="dxa" w:w="1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</w:tr>
      <w:tr>
        <w:tc>
          <w:tcPr>
            <w:tcW w:type="dxa" w:w="5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60" w:before="0"/>
              <w:ind w:firstLine="0" w:left="-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150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Электрофизиологическое оборудование для электроре тинографии «Нейро-ЭРГ»</w:t>
            </w:r>
          </w:p>
        </w:tc>
        <w:tc>
          <w:tcPr>
            <w:tcW w:type="dxa" w:w="145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Комплексы компьютерные многофункциональные для исследования ЭМГ, ВЛ,ЭРГ и ОАЭ</w:t>
            </w:r>
          </w:p>
        </w:tc>
        <w:tc>
          <w:tcPr>
            <w:tcW w:type="dxa" w:w="129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Отсутствует</w:t>
            </w:r>
          </w:p>
        </w:tc>
        <w:tc>
          <w:tcPr>
            <w:tcW w:type="dxa" w:w="125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Отсутствует</w:t>
            </w:r>
          </w:p>
        </w:tc>
        <w:tc>
          <w:tcPr>
            <w:tcW w:type="dxa" w:w="9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1992РА</w:t>
            </w:r>
          </w:p>
        </w:tc>
        <w:tc>
          <w:tcPr>
            <w:tcW w:type="dxa" w:w="103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39009000</w:t>
            </w:r>
          </w:p>
        </w:tc>
        <w:tc>
          <w:tcPr>
            <w:tcW w:type="dxa" w:w="65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78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pStyle w:val="Style_3"/>
              <w:widowControl w:val="1"/>
              <w:tabs>
                <w:tab w:leader="none" w:pos="0" w:val="left"/>
                <w:tab w:leader="none" w:pos="708" w:val="clear"/>
              </w:tabs>
              <w:spacing w:after="103" w:before="0" w:line="240" w:lineRule="auto"/>
              <w:ind w:firstLine="0" w:left="-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14:paraId="0F010000">
      <w:pPr>
        <w:pStyle w:val="Style_5"/>
        <w:widowControl w:val="1"/>
        <w:ind w:left="709"/>
        <w:jc w:val="both"/>
        <w:rPr>
          <w:rFonts w:ascii="Times New Roman" w:hAnsi="Times New Roman"/>
          <w:sz w:val="24"/>
        </w:rPr>
      </w:pPr>
    </w:p>
    <w:p w14:paraId="10010000">
      <w:pPr>
        <w:pStyle w:val="Style_5"/>
        <w:widowControl w:val="1"/>
        <w:ind w:left="709"/>
        <w:jc w:val="both"/>
        <w:rPr>
          <w:rFonts w:ascii="Times New Roman" w:hAnsi="Times New Roman"/>
          <w:sz w:val="24"/>
        </w:rPr>
      </w:pPr>
    </w:p>
    <w:p w14:paraId="1101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Сроки (период) оказания </w:t>
      </w:r>
      <w:r>
        <w:rPr>
          <w:rFonts w:ascii="Times New Roman" w:hAnsi="Times New Roman"/>
          <w:sz w:val="24"/>
        </w:rPr>
        <w:t>Услуг: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течении 15 (пятнадцати</w:t>
      </w:r>
      <w:r>
        <w:rPr>
          <w:rFonts w:ascii="Times New Roman" w:hAnsi="Times New Roman"/>
          <w:sz w:val="24"/>
        </w:rPr>
        <w:t>) рабочих дней с</w:t>
      </w:r>
      <w:r>
        <w:rPr>
          <w:rFonts w:ascii="Times New Roman" w:hAnsi="Times New Roman"/>
          <w:sz w:val="24"/>
        </w:rPr>
        <w:t>о дня предоставления ИСПОЛНИТЕЛЮ СИ на поверку, за исключением Услуг, продолжительность исполнен</w:t>
      </w:r>
      <w:r>
        <w:rPr>
          <w:rFonts w:ascii="Times New Roman" w:hAnsi="Times New Roman"/>
          <w:sz w:val="24"/>
        </w:rPr>
        <w:t>ия которых, согласно нормам затрат рабочего времени</w:t>
      </w:r>
      <w:r>
        <w:rPr>
          <w:rFonts w:ascii="Times New Roman" w:hAnsi="Times New Roman"/>
          <w:sz w:val="24"/>
        </w:rPr>
        <w:t>, превышает установленный срок.</w:t>
      </w:r>
    </w:p>
    <w:p w14:paraId="1201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Условия оказания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а оказывается силами ИСПОЛНИТЕЛЯ из квалиф</w:t>
      </w:r>
      <w:r>
        <w:rPr>
          <w:rFonts w:ascii="Times New Roman" w:hAnsi="Times New Roman"/>
          <w:sz w:val="24"/>
        </w:rPr>
        <w:t xml:space="preserve">ицированного состава персонала </w:t>
      </w:r>
      <w:r>
        <w:rPr>
          <w:rFonts w:ascii="Times New Roman" w:hAnsi="Times New Roman"/>
          <w:sz w:val="24"/>
        </w:rPr>
        <w:t>ИСПОЛНИТЕЛЯ.</w:t>
      </w:r>
    </w:p>
    <w:p w14:paraId="1301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Поверка средств измерений – совокупность операций, выполняемых в целях подтверждения соответствия средств измерений метрологическим требованиям.</w:t>
      </w:r>
    </w:p>
    <w:p w14:paraId="1401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Калибровка средств измерений – установление </w:t>
      </w:r>
      <w:r>
        <w:rPr>
          <w:rFonts w:ascii="Times New Roman" w:hAnsi="Times New Roman"/>
          <w:sz w:val="24"/>
        </w:rPr>
        <w:t>зависимости между показаниями средства измерительной техники (прибора) и размером измеряемой (входной) величины.</w:t>
      </w:r>
    </w:p>
    <w:p w14:paraId="15010000">
      <w:pPr>
        <w:pStyle w:val="Style_5"/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Порядок оказания </w:t>
      </w:r>
      <w:r>
        <w:rPr>
          <w:rFonts w:ascii="Times New Roman" w:hAnsi="Times New Roman"/>
          <w:sz w:val="24"/>
        </w:rPr>
        <w:t xml:space="preserve">Услуг: </w:t>
      </w:r>
      <w:r>
        <w:rPr>
          <w:rFonts w:ascii="Times New Roman" w:hAnsi="Times New Roman"/>
          <w:sz w:val="24"/>
        </w:rPr>
        <w:t xml:space="preserve">Оказание </w:t>
      </w:r>
      <w:r>
        <w:rPr>
          <w:rFonts w:ascii="Times New Roman" w:hAnsi="Times New Roman"/>
          <w:sz w:val="24"/>
        </w:rPr>
        <w:t>метрологических</w:t>
      </w:r>
      <w:r>
        <w:rPr>
          <w:rFonts w:ascii="Times New Roman" w:hAnsi="Times New Roman"/>
          <w:sz w:val="24"/>
        </w:rPr>
        <w:t xml:space="preserve"> Услуг по поверке (калибровке) СИ</w:t>
      </w:r>
      <w:r>
        <w:rPr>
          <w:rFonts w:ascii="Times New Roman" w:hAnsi="Times New Roman"/>
          <w:sz w:val="24"/>
        </w:rPr>
        <w:t xml:space="preserve"> осуществляется согласно перечню, указанному</w:t>
      </w:r>
      <w:r>
        <w:rPr>
          <w:rFonts w:ascii="Times New Roman" w:hAnsi="Times New Roman"/>
          <w:sz w:val="24"/>
        </w:rPr>
        <w:t xml:space="preserve"> в п. 3 настоящего Технического задания, а в случае обнаружения недочетов по оказываемым </w:t>
      </w:r>
      <w:r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>ам ИСПОЛНИТЕЛЯ, ЗАКАЗЧИК направляет письменное уведомление об устранении недочетов. ИСПОЛНИТЕЛЬ в течении 5 (пяти) календарных дней со дня получения уведомления, должен устранить указанные недочеты.</w:t>
      </w:r>
    </w:p>
    <w:p w14:paraId="16010000">
      <w:pPr>
        <w:pStyle w:val="Style_5"/>
        <w:widowControl w:val="1"/>
        <w:ind/>
        <w:jc w:val="both"/>
        <w:rPr>
          <w:rFonts w:ascii="Times New Roman" w:hAnsi="Times New Roman"/>
          <w:sz w:val="24"/>
        </w:rPr>
      </w:pPr>
    </w:p>
    <w:tbl>
      <w:tblPr>
        <w:tblStyle w:val="Style_8"/>
        <w:tblpPr w:bottomFromText="0" w:horzAnchor="margin" w:leftFromText="180" w:rightFromText="180" w:tblpXSpec="left" w:tblpY="300" w:topFromText="0" w:vertAnchor="text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70"/>
          <w:right w:type="dxa" w:w="70"/>
        </w:tblCellMar>
      </w:tblPr>
      <w:tblGrid>
        <w:gridCol w:w="4748"/>
        <w:gridCol w:w="4820"/>
      </w:tblGrid>
      <w:tr>
        <w:trPr>
          <w:trHeight w:hRule="atLeast" w:val="2124"/>
        </w:trPr>
        <w:tc>
          <w:tcPr>
            <w:tcW w:type="dxa" w:w="47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0"/>
              <w:right w:type="dxa" w:w="70"/>
            </w:tcMar>
          </w:tcPr>
          <w:p w14:paraId="17010000">
            <w:pPr>
              <w:pStyle w:val="Style_5"/>
              <w:widowControl w:val="1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</w:t>
            </w:r>
          </w:p>
          <w:p w14:paraId="18010000">
            <w:pPr>
              <w:pStyle w:val="Style_5"/>
              <w:widowControl w:val="1"/>
              <w:ind w:firstLine="709"/>
              <w:rPr>
                <w:rFonts w:ascii="Times New Roman" w:hAnsi="Times New Roman"/>
                <w:b w:val="1"/>
                <w:sz w:val="24"/>
              </w:rPr>
            </w:pPr>
          </w:p>
          <w:p w14:paraId="19010000">
            <w:pPr>
              <w:pStyle w:val="Style_5"/>
              <w:widowControl w:val="1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0"/>
              <w:right w:type="dxa" w:w="70"/>
            </w:tcMar>
          </w:tcPr>
          <w:p w14:paraId="1A010000">
            <w:pPr>
              <w:pStyle w:val="Style_5"/>
              <w:widowControl w:val="1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</w:t>
            </w:r>
          </w:p>
          <w:p w14:paraId="1B01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Заместитель руководителя по общим </w:t>
            </w:r>
          </w:p>
          <w:p w14:paraId="1C01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вопросам деятельности учреждения</w:t>
            </w:r>
          </w:p>
          <w:p w14:paraId="1D01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  <w:b w:val="1"/>
              </w:rPr>
            </w:pPr>
          </w:p>
          <w:p w14:paraId="1E010000">
            <w:pPr>
              <w:pStyle w:val="Style_5"/>
              <w:widowControl w:val="1"/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_________________</w:t>
            </w:r>
            <w:r>
              <w:rPr>
                <w:rFonts w:ascii="Times New Roman" w:hAnsi="Times New Roman"/>
                <w:b w:val="1"/>
              </w:rPr>
              <w:t>_  И.П.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Посторонко</w:t>
            </w:r>
          </w:p>
          <w:p w14:paraId="1F010000">
            <w:pPr>
              <w:pStyle w:val="Style_5"/>
              <w:widowControl w:val="1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</w:rPr>
              <w:t>М.П.</w:t>
            </w:r>
          </w:p>
          <w:p w14:paraId="20010000">
            <w:pPr>
              <w:pStyle w:val="Style_5"/>
              <w:widowControl w:val="1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1010000">
      <w:pPr>
        <w:widowControl w:val="1"/>
        <w:spacing w:after="0" w:line="240" w:lineRule="auto"/>
        <w:ind/>
        <w:rPr>
          <w:sz w:val="24"/>
        </w:rPr>
      </w:pPr>
    </w:p>
    <w:p w14:paraId="22010000">
      <w:pPr>
        <w:widowControl w:val="1"/>
        <w:spacing w:after="0" w:line="240" w:lineRule="auto"/>
        <w:ind w:firstLine="709"/>
        <w:rPr>
          <w:sz w:val="24"/>
        </w:rPr>
      </w:pPr>
    </w:p>
    <w:p w14:paraId="23010000">
      <w:pPr>
        <w:widowControl w:val="1"/>
        <w:spacing w:after="0" w:line="240" w:lineRule="auto"/>
        <w:ind/>
        <w:rPr>
          <w:sz w:val="24"/>
        </w:rPr>
      </w:pPr>
    </w:p>
    <w:p w14:paraId="24010000">
      <w:pPr>
        <w:widowControl w:val="1"/>
        <w:spacing w:after="0" w:line="240" w:lineRule="auto"/>
        <w:ind/>
        <w:rPr>
          <w:sz w:val="24"/>
        </w:rPr>
      </w:pPr>
    </w:p>
    <w:p w14:paraId="25010000">
      <w:pPr>
        <w:widowControl w:val="1"/>
        <w:spacing w:after="0" w:line="240" w:lineRule="auto"/>
        <w:ind/>
        <w:rPr>
          <w:sz w:val="24"/>
        </w:rPr>
      </w:pPr>
    </w:p>
    <w:p w14:paraId="26010000">
      <w:pPr>
        <w:widowControl w:val="1"/>
        <w:spacing w:after="0" w:line="240" w:lineRule="auto"/>
        <w:ind/>
        <w:rPr>
          <w:sz w:val="24"/>
        </w:rPr>
      </w:pPr>
    </w:p>
    <w:p w14:paraId="27010000">
      <w:pPr>
        <w:widowControl w:val="1"/>
        <w:spacing w:after="0" w:line="240" w:lineRule="auto"/>
        <w:ind/>
        <w:rPr>
          <w:sz w:val="24"/>
        </w:rPr>
      </w:pPr>
    </w:p>
    <w:p w14:paraId="28010000">
      <w:pPr>
        <w:widowControl w:val="1"/>
        <w:spacing w:after="0" w:line="240" w:lineRule="auto"/>
        <w:ind/>
        <w:rPr>
          <w:sz w:val="24"/>
        </w:rPr>
      </w:pPr>
    </w:p>
    <w:p w14:paraId="29010000">
      <w:pPr>
        <w:widowControl w:val="1"/>
        <w:spacing w:after="0" w:line="240" w:lineRule="auto"/>
        <w:ind/>
        <w:rPr>
          <w:sz w:val="24"/>
        </w:rPr>
      </w:pPr>
    </w:p>
    <w:p w14:paraId="2A010000">
      <w:pPr>
        <w:widowControl w:val="1"/>
        <w:spacing w:after="0" w:line="240" w:lineRule="auto"/>
        <w:ind/>
        <w:rPr>
          <w:sz w:val="24"/>
        </w:rPr>
      </w:pPr>
    </w:p>
    <w:p w14:paraId="2B010000">
      <w:pPr>
        <w:widowControl w:val="1"/>
        <w:spacing w:after="0" w:line="240" w:lineRule="auto"/>
        <w:ind/>
        <w:rPr>
          <w:sz w:val="24"/>
        </w:rPr>
      </w:pPr>
    </w:p>
    <w:p w14:paraId="2C010000">
      <w:pPr>
        <w:widowControl w:val="1"/>
        <w:spacing w:after="0" w:line="240" w:lineRule="auto"/>
        <w:ind/>
        <w:rPr>
          <w:sz w:val="24"/>
        </w:rPr>
      </w:pPr>
    </w:p>
    <w:p w14:paraId="2D010000">
      <w:pPr>
        <w:widowControl w:val="1"/>
        <w:spacing w:after="0" w:line="240" w:lineRule="auto"/>
        <w:ind/>
        <w:rPr>
          <w:sz w:val="24"/>
        </w:rPr>
      </w:pPr>
    </w:p>
    <w:p w14:paraId="2E010000">
      <w:pPr>
        <w:widowControl w:val="1"/>
        <w:spacing w:after="0" w:line="240" w:lineRule="auto"/>
        <w:ind/>
        <w:rPr>
          <w:sz w:val="24"/>
        </w:rPr>
      </w:pPr>
    </w:p>
    <w:p w14:paraId="2F010000">
      <w:pPr>
        <w:widowControl w:val="1"/>
        <w:spacing w:after="0" w:line="240" w:lineRule="auto"/>
        <w:ind/>
        <w:rPr>
          <w:sz w:val="24"/>
        </w:rPr>
      </w:pPr>
    </w:p>
    <w:p w14:paraId="30010000">
      <w:pPr>
        <w:widowControl w:val="1"/>
        <w:spacing w:after="0" w:line="240" w:lineRule="auto"/>
        <w:ind/>
        <w:rPr>
          <w:sz w:val="24"/>
        </w:rPr>
      </w:pPr>
    </w:p>
    <w:p w14:paraId="31010000">
      <w:pPr>
        <w:widowControl w:val="1"/>
        <w:spacing w:after="0" w:line="240" w:lineRule="auto"/>
        <w:ind/>
        <w:rPr>
          <w:sz w:val="24"/>
        </w:rPr>
      </w:pPr>
    </w:p>
    <w:p w14:paraId="32010000">
      <w:pPr>
        <w:widowControl w:val="1"/>
        <w:spacing w:after="0" w:line="240" w:lineRule="auto"/>
        <w:ind/>
        <w:rPr>
          <w:sz w:val="24"/>
        </w:rPr>
      </w:pPr>
    </w:p>
    <w:p w14:paraId="33010000">
      <w:pPr>
        <w:widowControl w:val="1"/>
        <w:spacing w:after="0" w:line="240" w:lineRule="auto"/>
        <w:ind/>
        <w:rPr>
          <w:sz w:val="24"/>
        </w:rPr>
      </w:pPr>
    </w:p>
    <w:p w14:paraId="34010000">
      <w:pPr>
        <w:pStyle w:val="Style_5"/>
        <w:widowControl w:val="1"/>
        <w:ind w:firstLine="6379" w:lef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</w:p>
    <w:p w14:paraId="35010000">
      <w:pPr>
        <w:pStyle w:val="Style_5"/>
        <w:widowControl w:val="1"/>
        <w:ind w:firstLine="6379" w:lef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у № </w:t>
      </w:r>
    </w:p>
    <w:p w14:paraId="36010000">
      <w:pPr>
        <w:pStyle w:val="Style_5"/>
        <w:widowControl w:val="1"/>
        <w:ind w:firstLine="6379" w:lef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«__</w:t>
      </w:r>
      <w:r>
        <w:rPr>
          <w:rFonts w:ascii="Times New Roman" w:hAnsi="Times New Roman"/>
        </w:rPr>
        <w:t>_»_</w:t>
      </w:r>
      <w:r>
        <w:rPr>
          <w:rFonts w:ascii="Times New Roman" w:hAnsi="Times New Roman"/>
        </w:rPr>
        <w:t>________ 2026</w:t>
      </w:r>
    </w:p>
    <w:tbl>
      <w:tblPr>
        <w:tblStyle w:val="Style_8"/>
        <w:tblW w:type="auto" w:w="0"/>
        <w:tblLayout w:type="fixed"/>
      </w:tblPr>
      <w:tblGrid>
        <w:gridCol w:w="9781"/>
      </w:tblGrid>
      <w:tr>
        <w:trPr>
          <w:trHeight w:hRule="atLeast" w:val="596"/>
        </w:trPr>
        <w:tc>
          <w:tcPr>
            <w:tcW w:type="dxa" w:w="9781"/>
          </w:tcPr>
          <w:p w14:paraId="37010000">
            <w:pPr>
              <w:pStyle w:val="Style_5"/>
              <w:widowControl w:val="1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781"/>
          </w:tcPr>
          <w:p w14:paraId="38010000">
            <w:pPr>
              <w:pStyle w:val="Style_5"/>
              <w:widowControl w:val="1"/>
              <w:ind w:firstLine="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Спецификация</w:t>
            </w:r>
          </w:p>
          <w:p w14:paraId="39010000">
            <w:pPr>
              <w:pStyle w:val="Style_5"/>
              <w:widowControl w:val="1"/>
              <w:ind w:firstLine="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оказание метрологических услуг</w:t>
            </w:r>
          </w:p>
          <w:tbl>
            <w:tblPr>
              <w:tblStyle w:val="Style_9"/>
              <w:tblW w:type="auto" w:w="0"/>
              <w:tblLayout w:type="fixed"/>
            </w:tblPr>
            <w:tblGrid>
              <w:gridCol w:w="653"/>
              <w:gridCol w:w="3175"/>
              <w:gridCol w:w="2126"/>
              <w:gridCol w:w="709"/>
              <w:gridCol w:w="737"/>
              <w:gridCol w:w="992"/>
              <w:gridCol w:w="1134"/>
            </w:tblGrid>
            <w:tr>
              <w:trPr>
                <w:trHeight w:hRule="atLeast" w:val="814"/>
              </w:trPr>
              <w:tc>
                <w:tcPr>
                  <w:tcW w:type="dxa" w:w="653"/>
                </w:tcPr>
                <w:p w14:paraId="3A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№</w:t>
                  </w:r>
                </w:p>
                <w:p w14:paraId="3B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п/п</w:t>
                  </w:r>
                </w:p>
              </w:tc>
              <w:tc>
                <w:tcPr>
                  <w:tcW w:type="dxa" w:w="3175"/>
                </w:tcPr>
                <w:p w14:paraId="3C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Наименование, тип (модификация) СИ</w:t>
                  </w:r>
                </w:p>
              </w:tc>
              <w:tc>
                <w:tcPr>
                  <w:tcW w:type="dxa" w:w="2126"/>
                </w:tcPr>
                <w:p w14:paraId="3D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Наименование средств измерений </w:t>
                  </w:r>
                  <w:r>
                    <w:rPr>
                      <w:rFonts w:ascii="Times New Roman" w:hAnsi="Times New Roman"/>
                    </w:rPr>
                    <w:t>согласно Прейскуранту ФБУ «Крымский ЦСМ»</w:t>
                  </w:r>
                </w:p>
              </w:tc>
              <w:tc>
                <w:tcPr>
                  <w:tcW w:type="dxa" w:w="709"/>
                </w:tcPr>
                <w:p w14:paraId="3E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Ед. изм.</w:t>
                  </w:r>
                </w:p>
              </w:tc>
              <w:tc>
                <w:tcPr>
                  <w:tcW w:type="dxa" w:w="737"/>
                </w:tcPr>
                <w:p w14:paraId="3F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Количество</w:t>
                  </w:r>
                </w:p>
              </w:tc>
              <w:tc>
                <w:tcPr>
                  <w:tcW w:type="dxa" w:w="992"/>
                </w:tcPr>
                <w:p w14:paraId="40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Цена за ед., с НДС, руб.</w:t>
                  </w:r>
                </w:p>
              </w:tc>
              <w:tc>
                <w:tcPr>
                  <w:tcW w:type="dxa" w:w="1134"/>
                </w:tcPr>
                <w:p w14:paraId="41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Сумма с НДС, руб.</w:t>
                  </w:r>
                </w:p>
              </w:tc>
            </w:tr>
            <w:tr>
              <w:trPr>
                <w:trHeight w:hRule="atLeast" w:val="786"/>
              </w:trPr>
              <w:tc>
                <w:tcPr>
                  <w:tcW w:type="dxa" w:w="653"/>
                </w:tcPr>
                <w:p w14:paraId="42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type="dxa" w:w="3175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43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46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Тонометр медицинский</w:t>
                  </w:r>
                </w:p>
                <w:p w14:paraId="44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46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(</w:t>
                  </w:r>
                  <w:r>
                    <w:rPr>
                      <w:rFonts w:ascii="Times New Roman" w:hAnsi="Times New Roman"/>
                      <w:sz w:val="20"/>
                    </w:rPr>
                    <w:t>Med</w:t>
                  </w:r>
                  <w:r>
                    <w:rPr>
                      <w:rFonts w:ascii="Times New Roman" w:hAnsi="Times New Roman"/>
                      <w:sz w:val="20"/>
                    </w:rPr>
                    <w:t>-62,</w:t>
                  </w:r>
                </w:p>
                <w:p w14:paraId="45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46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Med</w:t>
                  </w:r>
                  <w:r>
                    <w:rPr>
                      <w:rFonts w:ascii="Times New Roman" w:hAnsi="Times New Roman"/>
                      <w:sz w:val="20"/>
                    </w:rPr>
                    <w:t>-63,</w:t>
                  </w:r>
                </w:p>
                <w:p w14:paraId="46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46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LD</w:t>
                  </w:r>
                  <w:r>
                    <w:rPr>
                      <w:rFonts w:ascii="Times New Roman" w:hAnsi="Times New Roman"/>
                      <w:sz w:val="20"/>
                    </w:rPr>
                    <w:t>-71,</w:t>
                  </w:r>
                </w:p>
                <w:p w14:paraId="47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46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WM-61</w:t>
                  </w:r>
                  <w:r>
                    <w:rPr>
                      <w:rFonts w:ascii="Times New Roman" w:hAnsi="Times New Roman"/>
                      <w:sz w:val="20"/>
                    </w:rPr>
                    <w:t>)</w:t>
                  </w:r>
                </w:p>
              </w:tc>
              <w:tc>
                <w:tcPr>
                  <w:tcW w:type="dxa" w:w="212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48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 w:firstLine="0"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Измерители артериального давления механические</w:t>
                  </w:r>
                </w:p>
              </w:tc>
              <w:tc>
                <w:tcPr>
                  <w:tcW w:type="dxa" w:w="709"/>
                </w:tcPr>
                <w:p w14:paraId="49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шт.</w:t>
                  </w:r>
                </w:p>
              </w:tc>
              <w:tc>
                <w:tcPr>
                  <w:tcW w:type="dxa" w:w="737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4A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/>
                    <w:jc w:val="center"/>
                    <w:rPr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17</w:t>
                  </w:r>
                </w:p>
              </w:tc>
              <w:tc>
                <w:tcPr>
                  <w:tcW w:type="dxa" w:w="992"/>
                </w:tcPr>
                <w:p w14:paraId="4B010000">
                  <w:pPr>
                    <w:widowControl w:val="1"/>
                    <w:ind/>
                    <w:jc w:val="center"/>
                  </w:pPr>
                </w:p>
              </w:tc>
              <w:tc>
                <w:tcPr>
                  <w:tcW w:type="dxa" w:w="1134"/>
                </w:tcPr>
                <w:p w14:paraId="4C010000">
                  <w:pPr>
                    <w:widowControl w:val="1"/>
                    <w:ind/>
                    <w:jc w:val="center"/>
                  </w:pPr>
                </w:p>
              </w:tc>
            </w:tr>
            <w:tr>
              <w:trPr>
                <w:trHeight w:hRule="atLeast" w:val="768"/>
              </w:trPr>
              <w:tc>
                <w:tcPr>
                  <w:tcW w:type="dxa" w:w="653"/>
                </w:tcPr>
                <w:p w14:paraId="4D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type="dxa" w:w="3175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4E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46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Медицинский тонометр с речевым выходом 1</w:t>
                  </w:r>
                </w:p>
                <w:p w14:paraId="4F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46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WA-77</w:t>
                  </w:r>
                </w:p>
              </w:tc>
              <w:tc>
                <w:tcPr>
                  <w:tcW w:type="dxa" w:w="212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0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 w:firstLine="0"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Измерители артериального давления механические</w:t>
                  </w:r>
                </w:p>
              </w:tc>
              <w:tc>
                <w:tcPr>
                  <w:tcW w:type="dxa" w:w="709"/>
                </w:tcPr>
                <w:p w14:paraId="5101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шт.</w:t>
                  </w:r>
                </w:p>
              </w:tc>
              <w:tc>
                <w:tcPr>
                  <w:tcW w:type="dxa" w:w="737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2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1</w:t>
                  </w:r>
                </w:p>
              </w:tc>
              <w:tc>
                <w:tcPr>
                  <w:tcW w:type="dxa" w:w="992"/>
                </w:tcPr>
                <w:p w14:paraId="53010000">
                  <w:pPr>
                    <w:widowControl w:val="1"/>
                    <w:ind/>
                    <w:jc w:val="center"/>
                  </w:pPr>
                </w:p>
              </w:tc>
              <w:tc>
                <w:tcPr>
                  <w:tcW w:type="dxa" w:w="1134"/>
                </w:tcPr>
                <w:p w14:paraId="54010000">
                  <w:pPr>
                    <w:widowControl w:val="1"/>
                    <w:ind/>
                    <w:jc w:val="center"/>
                  </w:pPr>
                </w:p>
              </w:tc>
            </w:tr>
            <w:tr>
              <w:trPr>
                <w:trHeight w:hRule="atLeast" w:val="412"/>
              </w:trPr>
              <w:tc>
                <w:tcPr>
                  <w:tcW w:type="dxa" w:w="653"/>
                </w:tcPr>
                <w:p w14:paraId="55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type="dxa" w:w="3175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6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46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Весы напольные медицинские электронные ВМЭН</w:t>
                  </w:r>
                </w:p>
                <w:p w14:paraId="57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46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200-50/100-</w:t>
                  </w:r>
                  <w:r>
                    <w:rPr>
                      <w:rFonts w:ascii="Times New Roman" w:hAnsi="Times New Roman"/>
                      <w:sz w:val="20"/>
                    </w:rPr>
                    <w:t>A</w:t>
                  </w:r>
                </w:p>
              </w:tc>
              <w:tc>
                <w:tcPr>
                  <w:tcW w:type="dxa" w:w="212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8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 w:firstLine="0"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Весы напольные медицинские электронные</w:t>
                  </w:r>
                </w:p>
              </w:tc>
              <w:tc>
                <w:tcPr>
                  <w:tcW w:type="dxa" w:w="709"/>
                </w:tcPr>
                <w:p w14:paraId="5901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шт.</w:t>
                  </w:r>
                </w:p>
              </w:tc>
              <w:tc>
                <w:tcPr>
                  <w:tcW w:type="dxa" w:w="737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A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1</w:t>
                  </w:r>
                </w:p>
              </w:tc>
              <w:tc>
                <w:tcPr>
                  <w:tcW w:type="dxa" w:w="992"/>
                </w:tcPr>
                <w:p w14:paraId="5B010000">
                  <w:pPr>
                    <w:widowControl w:val="1"/>
                    <w:ind/>
                    <w:jc w:val="center"/>
                  </w:pPr>
                </w:p>
              </w:tc>
              <w:tc>
                <w:tcPr>
                  <w:tcW w:type="dxa" w:w="1134"/>
                </w:tcPr>
                <w:p w14:paraId="5C010000">
                  <w:pPr>
                    <w:widowControl w:val="1"/>
                    <w:ind/>
                    <w:jc w:val="center"/>
                  </w:pPr>
                </w:p>
              </w:tc>
            </w:tr>
            <w:tr>
              <w:trPr>
                <w:trHeight w:hRule="atLeast" w:val="453"/>
              </w:trPr>
              <w:tc>
                <w:tcPr>
                  <w:tcW w:type="dxa" w:w="653"/>
                </w:tcPr>
                <w:p w14:paraId="5D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type="dxa" w:w="3175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E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46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Весы электронные напольные медицинские ВМЭН</w:t>
                  </w:r>
                </w:p>
                <w:p w14:paraId="5F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46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150/200-50/100-Д</w:t>
                  </w:r>
                  <w:r>
                    <w:rPr>
                      <w:rFonts w:ascii="Times New Roman" w:hAnsi="Times New Roman"/>
                      <w:sz w:val="20"/>
                    </w:rPr>
                    <w:t>З</w:t>
                  </w:r>
                </w:p>
              </w:tc>
              <w:tc>
                <w:tcPr>
                  <w:tcW w:type="dxa" w:w="212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0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 w:firstLine="0"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Весы напольные медицинские электронные</w:t>
                  </w:r>
                </w:p>
              </w:tc>
              <w:tc>
                <w:tcPr>
                  <w:tcW w:type="dxa" w:w="709"/>
                </w:tcPr>
                <w:p w14:paraId="6101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шт.</w:t>
                  </w:r>
                </w:p>
              </w:tc>
              <w:tc>
                <w:tcPr>
                  <w:tcW w:type="dxa" w:w="737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2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1</w:t>
                  </w:r>
                </w:p>
              </w:tc>
              <w:tc>
                <w:tcPr>
                  <w:tcW w:type="dxa" w:w="992"/>
                </w:tcPr>
                <w:p w14:paraId="63010000">
                  <w:pPr>
                    <w:widowControl w:val="1"/>
                    <w:ind/>
                    <w:jc w:val="center"/>
                  </w:pPr>
                </w:p>
              </w:tc>
              <w:tc>
                <w:tcPr>
                  <w:tcW w:type="dxa" w:w="1134"/>
                </w:tcPr>
                <w:p w14:paraId="64010000">
                  <w:pPr>
                    <w:widowControl w:val="1"/>
                    <w:ind/>
                    <w:jc w:val="center"/>
                  </w:pPr>
                </w:p>
              </w:tc>
            </w:tr>
            <w:tr>
              <w:trPr>
                <w:trHeight w:hRule="atLeast" w:val="323"/>
              </w:trPr>
              <w:tc>
                <w:tcPr>
                  <w:tcW w:type="dxa" w:w="653"/>
                </w:tcPr>
                <w:p w14:paraId="65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type="dxa" w:w="3175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6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Весы медицинские взрослые </w:t>
                  </w:r>
                  <w:r>
                    <w:rPr>
                      <w:rFonts w:ascii="Times New Roman" w:hAnsi="Times New Roman"/>
                      <w:sz w:val="20"/>
                    </w:rPr>
                    <w:t>SEGA 813</w:t>
                  </w:r>
                </w:p>
              </w:tc>
              <w:tc>
                <w:tcPr>
                  <w:tcW w:type="dxa" w:w="212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7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 w:firstLine="0"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Весы напольные медицинские электронные</w:t>
                  </w:r>
                </w:p>
              </w:tc>
              <w:tc>
                <w:tcPr>
                  <w:tcW w:type="dxa" w:w="709"/>
                </w:tcPr>
                <w:p w14:paraId="6801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шт.</w:t>
                  </w:r>
                </w:p>
              </w:tc>
              <w:tc>
                <w:tcPr>
                  <w:tcW w:type="dxa" w:w="737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9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20</w:t>
                  </w:r>
                </w:p>
              </w:tc>
              <w:tc>
                <w:tcPr>
                  <w:tcW w:type="dxa" w:w="992"/>
                </w:tcPr>
                <w:p w14:paraId="6A010000">
                  <w:pPr>
                    <w:widowControl w:val="1"/>
                    <w:ind/>
                    <w:jc w:val="center"/>
                  </w:pPr>
                </w:p>
              </w:tc>
              <w:tc>
                <w:tcPr>
                  <w:tcW w:type="dxa" w:w="1134"/>
                </w:tcPr>
                <w:p w14:paraId="6B010000">
                  <w:pPr>
                    <w:widowControl w:val="1"/>
                    <w:ind/>
                    <w:jc w:val="center"/>
                  </w:pPr>
                </w:p>
              </w:tc>
            </w:tr>
            <w:tr>
              <w:trPr>
                <w:trHeight w:hRule="atLeast" w:val="301"/>
              </w:trPr>
              <w:tc>
                <w:tcPr>
                  <w:tcW w:type="dxa" w:w="653"/>
                </w:tcPr>
                <w:p w14:paraId="6C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type="dxa" w:w="3175"/>
                  <w:tcBorders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D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 w:firstLine="0"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Весы напольные, электронные МП «Здоровье» 150-ВДА</w:t>
                  </w:r>
                </w:p>
              </w:tc>
              <w:tc>
                <w:tcPr>
                  <w:tcW w:type="dxa" w:w="2126"/>
                  <w:tcBorders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6E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 w:firstLine="0"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Весы напольные медицинские электронные</w:t>
                  </w:r>
                </w:p>
              </w:tc>
              <w:tc>
                <w:tcPr>
                  <w:tcW w:type="dxa" w:w="709"/>
                </w:tcPr>
                <w:p w14:paraId="6F01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шт.</w:t>
                  </w:r>
                </w:p>
              </w:tc>
              <w:tc>
                <w:tcPr>
                  <w:tcW w:type="dxa" w:w="737"/>
                  <w:tcBorders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70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/>
                    <w:jc w:val="center"/>
                    <w:rPr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1</w:t>
                  </w:r>
                </w:p>
              </w:tc>
              <w:tc>
                <w:tcPr>
                  <w:tcW w:type="dxa" w:w="992"/>
                </w:tcPr>
                <w:p w14:paraId="71010000">
                  <w:pPr>
                    <w:widowControl w:val="1"/>
                    <w:ind/>
                    <w:jc w:val="center"/>
                  </w:pPr>
                </w:p>
              </w:tc>
              <w:tc>
                <w:tcPr>
                  <w:tcW w:type="dxa" w:w="1134"/>
                </w:tcPr>
                <w:p w14:paraId="72010000">
                  <w:pPr>
                    <w:widowControl w:val="1"/>
                    <w:ind/>
                    <w:jc w:val="center"/>
                  </w:pPr>
                </w:p>
              </w:tc>
            </w:tr>
            <w:tr>
              <w:trPr>
                <w:trHeight w:hRule="atLeast" w:val="582"/>
              </w:trPr>
              <w:tc>
                <w:tcPr>
                  <w:tcW w:type="dxa" w:w="653"/>
                </w:tcPr>
                <w:p w14:paraId="73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type="dxa" w:w="3175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74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Весы медицинские детские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SEGA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354</w:t>
                  </w:r>
                </w:p>
              </w:tc>
              <w:tc>
                <w:tcPr>
                  <w:tcW w:type="dxa" w:w="212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75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 w:firstLine="0"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Весы электронные с автономным питанием настольные</w:t>
                  </w:r>
                </w:p>
              </w:tc>
              <w:tc>
                <w:tcPr>
                  <w:tcW w:type="dxa" w:w="709"/>
                </w:tcPr>
                <w:p w14:paraId="76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шт.</w:t>
                  </w:r>
                </w:p>
              </w:tc>
              <w:tc>
                <w:tcPr>
                  <w:tcW w:type="dxa" w:w="737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77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/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4</w:t>
                  </w:r>
                </w:p>
              </w:tc>
              <w:tc>
                <w:tcPr>
                  <w:tcW w:type="dxa" w:w="992"/>
                </w:tcPr>
                <w:p w14:paraId="78010000">
                  <w:pPr>
                    <w:widowControl w:val="1"/>
                    <w:ind/>
                    <w:jc w:val="center"/>
                  </w:pPr>
                </w:p>
              </w:tc>
              <w:tc>
                <w:tcPr>
                  <w:tcW w:type="dxa" w:w="1134"/>
                </w:tcPr>
                <w:p w14:paraId="79010000">
                  <w:pPr>
                    <w:widowControl w:val="1"/>
                    <w:ind/>
                    <w:jc w:val="center"/>
                  </w:pPr>
                </w:p>
              </w:tc>
            </w:tr>
            <w:tr>
              <w:trPr>
                <w:trHeight w:hRule="atLeast" w:val="582"/>
              </w:trPr>
              <w:tc>
                <w:tcPr>
                  <w:tcW w:type="dxa" w:w="653"/>
                </w:tcPr>
                <w:p w14:paraId="7A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type="dxa" w:w="3175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7B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к весам</w:t>
                  </w:r>
                </w:p>
              </w:tc>
              <w:tc>
                <w:tcPr>
                  <w:tcW w:type="dxa" w:w="212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7C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 w:firstLine="0" w:left="-142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Прочие работы (услуги) в области ОЕИ</w:t>
                  </w:r>
                </w:p>
                <w:p w14:paraId="7D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выдача документа удостоверяющего результат проверки</w:t>
                  </w:r>
                </w:p>
                <w:p w14:paraId="7E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 w:firstLine="0"/>
                    <w:jc w:val="center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709"/>
                </w:tcPr>
                <w:p w14:paraId="7F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шт.</w:t>
                  </w:r>
                </w:p>
              </w:tc>
              <w:tc>
                <w:tcPr>
                  <w:tcW w:type="dxa" w:w="737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80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27</w:t>
                  </w:r>
                </w:p>
              </w:tc>
              <w:tc>
                <w:tcPr>
                  <w:tcW w:type="dxa" w:w="992"/>
                </w:tcPr>
                <w:p w14:paraId="81010000">
                  <w:pPr>
                    <w:widowControl w:val="1"/>
                    <w:ind/>
                    <w:jc w:val="center"/>
                  </w:pPr>
                </w:p>
              </w:tc>
              <w:tc>
                <w:tcPr>
                  <w:tcW w:type="dxa" w:w="1134"/>
                </w:tcPr>
                <w:p w14:paraId="82010000">
                  <w:pPr>
                    <w:widowControl w:val="1"/>
                    <w:ind/>
                    <w:jc w:val="center"/>
                  </w:pPr>
                </w:p>
              </w:tc>
            </w:tr>
            <w:tr>
              <w:trPr>
                <w:trHeight w:hRule="atLeast" w:val="301"/>
              </w:trPr>
              <w:tc>
                <w:tcPr>
                  <w:tcW w:type="dxa" w:w="653"/>
                </w:tcPr>
                <w:p w14:paraId="83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type="dxa" w:w="3175"/>
                  <w:tcBorders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84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Электрофизиологическое оборудование для электроре тинографии «Нейро-ЭРГ»</w:t>
                  </w:r>
                </w:p>
              </w:tc>
              <w:tc>
                <w:tcPr>
                  <w:tcW w:type="dxa" w:w="2126"/>
                  <w:tcBorders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85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 w:firstLine="34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Комплексы компьютерные многофункциональные для исследования ЭМГ, ВЛ,ЭРГ и ОАЭ</w:t>
                  </w:r>
                </w:p>
              </w:tc>
              <w:tc>
                <w:tcPr>
                  <w:tcW w:type="dxa" w:w="709"/>
                </w:tcPr>
                <w:p w14:paraId="86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Шт.</w:t>
                  </w:r>
                </w:p>
              </w:tc>
              <w:tc>
                <w:tcPr>
                  <w:tcW w:type="dxa" w:w="737"/>
                  <w:tcBorders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auto" w:val="clear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87010000">
                  <w:pPr>
                    <w:pStyle w:val="Style_3"/>
                    <w:widowControl w:val="1"/>
                    <w:tabs>
                      <w:tab w:leader="none" w:pos="0" w:val="left"/>
                      <w:tab w:leader="none" w:pos="708" w:val="clear"/>
                    </w:tabs>
                    <w:spacing w:after="103" w:before="0" w:line="240" w:lineRule="auto"/>
                    <w:ind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1</w:t>
                  </w:r>
                </w:p>
              </w:tc>
              <w:tc>
                <w:tcPr>
                  <w:tcW w:type="dxa" w:w="992"/>
                </w:tcPr>
                <w:p w14:paraId="88010000">
                  <w:pPr>
                    <w:widowControl w:val="1"/>
                    <w:ind/>
                    <w:jc w:val="center"/>
                  </w:pPr>
                </w:p>
              </w:tc>
              <w:tc>
                <w:tcPr>
                  <w:tcW w:type="dxa" w:w="1134"/>
                </w:tcPr>
                <w:p w14:paraId="89010000">
                  <w:pPr>
                    <w:widowControl w:val="1"/>
                    <w:ind/>
                    <w:jc w:val="center"/>
                  </w:pPr>
                </w:p>
              </w:tc>
            </w:tr>
            <w:tr>
              <w:trPr>
                <w:trHeight w:hRule="atLeast" w:val="267"/>
              </w:trPr>
              <w:tc>
                <w:tcPr>
                  <w:tcW w:type="dxa" w:w="8392"/>
                  <w:gridSpan w:val="6"/>
                </w:tcPr>
                <w:p w14:paraId="8A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Итого с НДС (в руб.)</w:t>
                  </w:r>
                </w:p>
                <w:p w14:paraId="8B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type="dxa" w:w="1134"/>
                </w:tcPr>
                <w:p w14:paraId="8C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>
              <w:trPr>
                <w:trHeight w:hRule="atLeast" w:val="70"/>
              </w:trPr>
              <w:tc>
                <w:tcPr>
                  <w:tcW w:type="dxa" w:w="8392"/>
                  <w:gridSpan w:val="6"/>
                </w:tcPr>
                <w:p w14:paraId="8D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type="dxa" w:w="1134"/>
                </w:tcPr>
                <w:p w14:paraId="8E010000">
                  <w:pPr>
                    <w:pStyle w:val="Style_5"/>
                    <w:widowControl w:val="1"/>
                    <w:ind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tbl>
            <w:tblPr>
              <w:tblStyle w:val="Style_8"/>
              <w:tblW w:type="auto" w:w="0"/>
              <w:jc w:val="center"/>
              <w:tblLayout w:type="fixed"/>
            </w:tblPr>
            <w:tblGrid>
              <w:gridCol w:w="4608"/>
              <w:gridCol w:w="720"/>
              <w:gridCol w:w="4680"/>
            </w:tblGrid>
            <w:tr>
              <w:tc>
                <w:tcPr>
                  <w:tcW w:type="dxa" w:w="4608"/>
                </w:tcPr>
                <w:p w14:paraId="8F010000">
                  <w:pPr>
                    <w:pStyle w:val="Style_5"/>
                    <w:widowControl w:val="1"/>
                    <w:ind w:firstLine="709"/>
                    <w:jc w:val="both"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  <w:p w14:paraId="90010000">
                  <w:pPr>
                    <w:pStyle w:val="Style_5"/>
                    <w:widowControl w:val="1"/>
                    <w:ind w:firstLine="709"/>
                    <w:jc w:val="both"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 xml:space="preserve"> ИСПОЛНИТЕЛЬ:</w:t>
                  </w:r>
                </w:p>
              </w:tc>
              <w:tc>
                <w:tcPr>
                  <w:tcW w:type="dxa" w:w="720"/>
                </w:tcPr>
                <w:p w14:paraId="91010000">
                  <w:pPr>
                    <w:pStyle w:val="Style_5"/>
                    <w:widowControl w:val="1"/>
                    <w:ind w:firstLine="709"/>
                    <w:jc w:val="both"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</w:tc>
              <w:tc>
                <w:tcPr>
                  <w:tcW w:type="dxa" w:w="4680"/>
                </w:tcPr>
                <w:p w14:paraId="92010000">
                  <w:pPr>
                    <w:pStyle w:val="Style_5"/>
                    <w:widowControl w:val="1"/>
                    <w:ind w:firstLine="709"/>
                    <w:jc w:val="both"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  <w:p w14:paraId="93010000">
                  <w:pPr>
                    <w:pStyle w:val="Style_5"/>
                    <w:widowControl w:val="1"/>
                    <w:ind w:firstLine="709"/>
                    <w:jc w:val="both"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ЗАКАЗЧИК:</w:t>
                  </w:r>
                </w:p>
              </w:tc>
            </w:tr>
            <w:tr>
              <w:tc>
                <w:tcPr>
                  <w:tcW w:type="dxa" w:w="4608"/>
                </w:tcPr>
                <w:p w14:paraId="94010000">
                  <w:pPr>
                    <w:pStyle w:val="Style_5"/>
                    <w:widowControl w:val="1"/>
                    <w:ind w:left="210"/>
                    <w:jc w:val="both"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  <w:p w14:paraId="95010000">
                  <w:pPr>
                    <w:pStyle w:val="Style_5"/>
                    <w:widowControl w:val="1"/>
                    <w:ind w:left="210"/>
                    <w:jc w:val="both"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</w:tc>
              <w:tc>
                <w:tcPr>
                  <w:tcW w:type="dxa" w:w="720"/>
                </w:tcPr>
                <w:p w14:paraId="96010000">
                  <w:pPr>
                    <w:pStyle w:val="Style_5"/>
                    <w:widowControl w:val="1"/>
                    <w:ind w:firstLine="709"/>
                    <w:jc w:val="both"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</w:tc>
              <w:tc>
                <w:tcPr>
                  <w:tcW w:type="dxa" w:w="4680"/>
                </w:tcPr>
                <w:p w14:paraId="97010000">
                  <w:pPr>
                    <w:pStyle w:val="Style_5"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  <w:p w14:paraId="98010000">
                  <w:pPr>
                    <w:pStyle w:val="Style_5"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 xml:space="preserve">Заместитель руководителя по общим </w:t>
                  </w:r>
                </w:p>
                <w:p w14:paraId="99010000">
                  <w:pPr>
                    <w:pStyle w:val="Style_5"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вопросам деятельности учреждения</w:t>
                  </w:r>
                </w:p>
                <w:p w14:paraId="9A010000">
                  <w:pPr>
                    <w:pStyle w:val="Style_5"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  <w:p w14:paraId="9B010000">
                  <w:pPr>
                    <w:pStyle w:val="Style_5"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_________________</w:t>
                  </w:r>
                  <w:r>
                    <w:rPr>
                      <w:rFonts w:ascii="Times New Roman" w:hAnsi="Times New Roman"/>
                      <w:b w:val="1"/>
                      <w:sz w:val="24"/>
                    </w:rPr>
                    <w:t>_  И.П.</w:t>
                  </w:r>
                  <w:r>
                    <w:rPr>
                      <w:rFonts w:ascii="Times New Roman" w:hAnsi="Times New Roman"/>
                      <w:b w:val="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1"/>
                      <w:sz w:val="24"/>
                    </w:rPr>
                    <w:t>Посторонко</w:t>
                  </w:r>
                </w:p>
                <w:p w14:paraId="9C010000">
                  <w:pPr>
                    <w:pStyle w:val="Style_5"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М.П.</w:t>
                  </w:r>
                </w:p>
                <w:p w14:paraId="9D010000">
                  <w:pPr>
                    <w:pStyle w:val="Style_5"/>
                    <w:widowControl w:val="1"/>
                    <w:ind/>
                    <w:jc w:val="both"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</w:tc>
            </w:tr>
            <w:tr>
              <w:trPr>
                <w:trHeight w:hRule="atLeast" w:val="200"/>
              </w:trPr>
              <w:tc>
                <w:tcPr>
                  <w:tcW w:type="dxa" w:w="4608"/>
                </w:tcPr>
                <w:p w14:paraId="9E010000">
                  <w:pPr>
                    <w:pStyle w:val="Style_5"/>
                    <w:widowControl w:val="1"/>
                    <w:ind w:left="210"/>
                    <w:jc w:val="both"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</w:tc>
              <w:tc>
                <w:tcPr>
                  <w:tcW w:type="dxa" w:w="720"/>
                </w:tcPr>
                <w:p w14:paraId="9F010000">
                  <w:pPr>
                    <w:pStyle w:val="Style_5"/>
                    <w:widowControl w:val="1"/>
                    <w:ind w:firstLine="709"/>
                    <w:jc w:val="both"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</w:tc>
              <w:tc>
                <w:tcPr>
                  <w:tcW w:type="dxa" w:w="4680"/>
                </w:tcPr>
                <w:p w14:paraId="A0010000">
                  <w:pPr>
                    <w:pStyle w:val="Style_5"/>
                    <w:widowControl w:val="1"/>
                    <w:ind/>
                    <w:jc w:val="both"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</w:tc>
            </w:tr>
          </w:tbl>
          <w:p w14:paraId="A1010000">
            <w:pPr>
              <w:pStyle w:val="Style_5"/>
              <w:widowControl w:val="1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>
        <w:trPr>
          <w:trHeight w:hRule="atLeast" w:val="200"/>
        </w:trPr>
        <w:tc>
          <w:tcPr>
            <w:tcW w:type="dxa" w:w="9781"/>
          </w:tcPr>
          <w:p w14:paraId="A2010000">
            <w:pPr>
              <w:pStyle w:val="Style_5"/>
              <w:widowControl w:val="1"/>
              <w:ind w:firstLine="709"/>
              <w:jc w:val="both"/>
              <w:rPr>
                <w:rFonts w:ascii="Times New Roman" w:hAnsi="Times New Roman"/>
              </w:rPr>
            </w:pPr>
          </w:p>
        </w:tc>
      </w:tr>
    </w:tbl>
    <w:p w14:paraId="A3010000">
      <w:pPr>
        <w:pStyle w:val="Style_5"/>
        <w:widowControl w:val="1"/>
        <w:ind w:firstLine="709"/>
        <w:jc w:val="center"/>
        <w:rPr>
          <w:rFonts w:ascii="Times New Roman" w:hAnsi="Times New Roman"/>
          <w:b w:val="1"/>
        </w:rPr>
      </w:pPr>
    </w:p>
    <w:p w14:paraId="A4010000">
      <w:pPr>
        <w:pStyle w:val="Style_5"/>
        <w:widowControl w:val="1"/>
        <w:ind w:firstLine="709"/>
        <w:jc w:val="center"/>
        <w:rPr>
          <w:rFonts w:ascii="Times New Roman" w:hAnsi="Times New Roman"/>
          <w:b w:val="1"/>
        </w:rPr>
      </w:pPr>
    </w:p>
    <w:p w14:paraId="A5010000">
      <w:pPr>
        <w:pStyle w:val="Style_5"/>
        <w:widowControl w:val="1"/>
        <w:ind w:firstLine="709"/>
        <w:jc w:val="center"/>
        <w:rPr>
          <w:rFonts w:ascii="Times New Roman" w:hAnsi="Times New Roman"/>
          <w:b w:val="1"/>
        </w:rPr>
      </w:pPr>
    </w:p>
    <w:p w14:paraId="A6010000">
      <w:pPr>
        <w:pStyle w:val="Style_5"/>
        <w:widowControl w:val="1"/>
        <w:ind w:firstLine="709"/>
        <w:jc w:val="center"/>
        <w:rPr>
          <w:rFonts w:ascii="Times New Roman" w:hAnsi="Times New Roman"/>
          <w:b w:val="1"/>
        </w:rPr>
      </w:pPr>
    </w:p>
    <w:p w14:paraId="A7010000">
      <w:pPr>
        <w:pStyle w:val="Style_5"/>
        <w:widowControl w:val="1"/>
        <w:ind w:firstLine="709"/>
        <w:jc w:val="center"/>
        <w:rPr>
          <w:rFonts w:ascii="Times New Roman" w:hAnsi="Times New Roman"/>
          <w:b w:val="1"/>
        </w:rPr>
      </w:pPr>
    </w:p>
    <w:p w14:paraId="A8010000">
      <w:pPr>
        <w:pStyle w:val="Style_5"/>
        <w:widowControl w:val="1"/>
        <w:ind w:firstLine="709"/>
        <w:jc w:val="center"/>
        <w:rPr>
          <w:rFonts w:ascii="Times New Roman" w:hAnsi="Times New Roman"/>
          <w:b w:val="1"/>
        </w:rPr>
      </w:pPr>
    </w:p>
    <w:p w14:paraId="A9010000">
      <w:pPr>
        <w:pStyle w:val="Style_5"/>
        <w:widowControl w:val="1"/>
        <w:ind w:firstLine="709"/>
        <w:jc w:val="center"/>
        <w:rPr>
          <w:rFonts w:ascii="Times New Roman" w:hAnsi="Times New Roman"/>
          <w:b w:val="1"/>
        </w:rPr>
      </w:pPr>
    </w:p>
    <w:p w14:paraId="AA010000">
      <w:pPr>
        <w:pStyle w:val="Style_5"/>
        <w:widowControl w:val="1"/>
        <w:ind w:firstLine="709"/>
        <w:jc w:val="center"/>
        <w:rPr>
          <w:rFonts w:ascii="Times New Roman" w:hAnsi="Times New Roman"/>
          <w:b w:val="1"/>
        </w:rPr>
      </w:pPr>
    </w:p>
    <w:p w14:paraId="AB010000">
      <w:pPr>
        <w:pStyle w:val="Style_5"/>
        <w:widowControl w:val="1"/>
        <w:ind/>
        <w:jc w:val="both"/>
        <w:rPr>
          <w:rFonts w:ascii="Times New Roman" w:hAnsi="Times New Roman"/>
        </w:rPr>
      </w:pPr>
    </w:p>
    <w:sectPr>
      <w:headerReference r:id="rId5" w:type="default"/>
      <w:headerReference r:id="rId3" w:type="first"/>
      <w:headerReference r:id="rId1" w:type="even"/>
      <w:footerReference r:id="rId6" w:type="default"/>
      <w:footerReference r:id="rId4" w:type="first"/>
      <w:footerReference r:id="rId2" w:type="even"/>
      <w:pgSz w:h="16838" w:orient="portrait" w:w="11906"/>
      <w:pgMar w:bottom="851" w:footer="709" w:gutter="0" w:header="407" w:left="1701" w:right="707" w:top="42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7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1">
    <w:lvl w:ilvl="0">
      <w:start w:val="8"/>
      <w:numFmt w:val="decimal"/>
      <w:lvlText w:val="%1."/>
      <w:lvlJc w:val="left"/>
      <w:pPr>
        <w:widowControl w:val="1"/>
        <w:ind w:hanging="360" w:left="1920"/>
      </w:pPr>
    </w:lvl>
    <w:lvl w:ilvl="1">
      <w:start w:val="1"/>
      <w:numFmt w:val="lowerLetter"/>
      <w:lvlText w:val="%2."/>
      <w:lvlJc w:val="left"/>
      <w:pPr>
        <w:widowControl w:val="1"/>
        <w:ind w:hanging="360" w:left="2640"/>
      </w:pPr>
    </w:lvl>
    <w:lvl w:ilvl="2">
      <w:start w:val="1"/>
      <w:numFmt w:val="lowerRoman"/>
      <w:lvlText w:val="%3."/>
      <w:lvlJc w:val="right"/>
      <w:pPr>
        <w:widowControl w:val="1"/>
        <w:ind w:hanging="180" w:left="3360"/>
      </w:pPr>
    </w:lvl>
    <w:lvl w:ilvl="3">
      <w:start w:val="1"/>
      <w:numFmt w:val="decimal"/>
      <w:lvlText w:val="%4."/>
      <w:lvlJc w:val="left"/>
      <w:pPr>
        <w:widowControl w:val="1"/>
        <w:ind w:hanging="360" w:left="4080"/>
      </w:pPr>
    </w:lvl>
    <w:lvl w:ilvl="4">
      <w:start w:val="1"/>
      <w:numFmt w:val="lowerLetter"/>
      <w:lvlText w:val="%5."/>
      <w:lvlJc w:val="left"/>
      <w:pPr>
        <w:widowControl w:val="1"/>
        <w:ind w:hanging="360" w:left="4800"/>
      </w:pPr>
    </w:lvl>
    <w:lvl w:ilvl="5">
      <w:start w:val="1"/>
      <w:numFmt w:val="lowerRoman"/>
      <w:lvlText w:val="%6."/>
      <w:lvlJc w:val="right"/>
      <w:pPr>
        <w:widowControl w:val="1"/>
        <w:ind w:hanging="180" w:left="5520"/>
      </w:pPr>
    </w:lvl>
    <w:lvl w:ilvl="6">
      <w:start w:val="1"/>
      <w:numFmt w:val="decimal"/>
      <w:lvlText w:val="%7."/>
      <w:lvlJc w:val="left"/>
      <w:pPr>
        <w:widowControl w:val="1"/>
        <w:ind w:hanging="360" w:left="6240"/>
      </w:pPr>
    </w:lvl>
    <w:lvl w:ilvl="7">
      <w:start w:val="1"/>
      <w:numFmt w:val="lowerLetter"/>
      <w:lvlText w:val="%8."/>
      <w:lvlJc w:val="left"/>
      <w:pPr>
        <w:widowControl w:val="1"/>
        <w:ind w:hanging="360" w:left="6960"/>
      </w:pPr>
    </w:lvl>
    <w:lvl w:ilvl="8">
      <w:start w:val="1"/>
      <w:numFmt w:val="lowerRoman"/>
      <w:lvlText w:val="%9."/>
      <w:lvlJc w:val="right"/>
      <w:pPr>
        <w:widowControl w:val="1"/>
        <w:ind w:hanging="180" w:left="7680"/>
      </w:pPr>
    </w:lvl>
  </w:abstractNum>
  <w:abstractNum w:abstractNumId="2">
    <w:lvl w:ilvl="0">
      <w:start w:val="1"/>
      <w:numFmt w:val="decimal"/>
      <w:lvlText w:val="%1."/>
      <w:lvlJc w:val="left"/>
      <w:pPr>
        <w:widowControl w:val="1"/>
        <w:ind w:hanging="360" w:left="1069"/>
      </w:pPr>
    </w:lvl>
    <w:lvl w:ilvl="1">
      <w:start w:val="1"/>
      <w:numFmt w:val="lowerLetter"/>
      <w:lvlText w:val="%2."/>
      <w:lvlJc w:val="left"/>
      <w:pPr>
        <w:widowControl w:val="1"/>
        <w:ind w:hanging="360" w:left="1789"/>
      </w:pPr>
    </w:lvl>
    <w:lvl w:ilvl="2">
      <w:start w:val="1"/>
      <w:numFmt w:val="lowerRoman"/>
      <w:lvlText w:val="%3."/>
      <w:lvlJc w:val="right"/>
      <w:pPr>
        <w:widowControl w:val="1"/>
        <w:ind w:hanging="180" w:left="2509"/>
      </w:pPr>
    </w:lvl>
    <w:lvl w:ilvl="3">
      <w:start w:val="1"/>
      <w:numFmt w:val="decimal"/>
      <w:lvlText w:val="%4."/>
      <w:lvlJc w:val="left"/>
      <w:pPr>
        <w:widowControl w:val="1"/>
        <w:ind w:hanging="360" w:left="3229"/>
      </w:pPr>
    </w:lvl>
    <w:lvl w:ilvl="4">
      <w:start w:val="1"/>
      <w:numFmt w:val="lowerLetter"/>
      <w:lvlText w:val="%5."/>
      <w:lvlJc w:val="left"/>
      <w:pPr>
        <w:widowControl w:val="1"/>
        <w:ind w:hanging="360" w:left="3949"/>
      </w:pPr>
    </w:lvl>
    <w:lvl w:ilvl="5">
      <w:start w:val="1"/>
      <w:numFmt w:val="lowerRoman"/>
      <w:lvlText w:val="%6."/>
      <w:lvlJc w:val="right"/>
      <w:pPr>
        <w:widowControl w:val="1"/>
        <w:ind w:hanging="180" w:left="4669"/>
      </w:pPr>
    </w:lvl>
    <w:lvl w:ilvl="6">
      <w:start w:val="1"/>
      <w:numFmt w:val="decimal"/>
      <w:lvlText w:val="%7."/>
      <w:lvlJc w:val="left"/>
      <w:pPr>
        <w:widowControl w:val="1"/>
        <w:ind w:hanging="360" w:left="5389"/>
      </w:pPr>
    </w:lvl>
    <w:lvl w:ilvl="7">
      <w:start w:val="1"/>
      <w:numFmt w:val="lowerLetter"/>
      <w:lvlText w:val="%8."/>
      <w:lvlJc w:val="left"/>
      <w:pPr>
        <w:widowControl w:val="1"/>
        <w:ind w:hanging="360" w:left="6109"/>
      </w:pPr>
    </w:lvl>
    <w:lvl w:ilvl="8">
      <w:start w:val="1"/>
      <w:numFmt w:val="lowerRoman"/>
      <w:lvlText w:val="%9."/>
      <w:lvlJc w:val="right"/>
      <w:pPr>
        <w:widowControl w:val="1"/>
        <w:ind w:hanging="180" w:left="6829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10" w:type="paragraph">
    <w:name w:val="toc 2"/>
    <w:next w:val="Style_3"/>
    <w:link w:val="Style_10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3"/>
    <w:link w:val="Style_11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Balloon Text"/>
    <w:basedOn w:val="Style_3"/>
    <w:link w:val="Style_12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2_ch" w:type="character">
    <w:name w:val="Balloon Text"/>
    <w:basedOn w:val="Style_3_ch"/>
    <w:link w:val="Style_12"/>
    <w:rPr>
      <w:rFonts w:ascii="Segoe UI" w:hAnsi="Segoe UI"/>
      <w:sz w:val="18"/>
    </w:rPr>
  </w:style>
  <w:style w:styleId="Style_13" w:type="paragraph">
    <w:name w:val="toc 6"/>
    <w:next w:val="Style_3"/>
    <w:link w:val="Style_13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3"/>
    <w:link w:val="Style_14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7" w:type="paragraph">
    <w:name w:val="Standard"/>
    <w:link w:val="Style_7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7_ch" w:type="character">
    <w:name w:val="Standard"/>
    <w:link w:val="Style_7"/>
    <w:rPr>
      <w:rFonts w:ascii="Times New Roman" w:hAnsi="Times New Roman"/>
      <w:sz w:val="24"/>
    </w:rPr>
  </w:style>
  <w:style w:styleId="Style_15" w:type="paragraph">
    <w:name w:val="End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3"/>
    <w:link w:val="Style_16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ConsPlusNormal"/>
    <w:link w:val="Style_17_ch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styleId="Style_17_ch" w:type="character">
    <w:name w:val="ConsPlusNormal"/>
    <w:link w:val="Style_17"/>
    <w:rPr>
      <w:rFonts w:ascii="Arial" w:hAnsi="Arial"/>
      <w:sz w:val="20"/>
    </w:rPr>
  </w:style>
  <w:style w:styleId="Style_2" w:type="paragraph">
    <w:name w:val="footer"/>
    <w:basedOn w:val="Style_3"/>
    <w:link w:val="Style_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3_ch"/>
    <w:link w:val="Style_2"/>
  </w:style>
  <w:style w:styleId="Style_4" w:type="paragraph">
    <w:name w:val="List Paragraph"/>
    <w:basedOn w:val="Style_3"/>
    <w:link w:val="Style_4_ch"/>
    <w:pPr>
      <w:widowControl w:val="1"/>
      <w:spacing w:after="60" w:line="240" w:lineRule="auto"/>
      <w:ind w:left="720"/>
      <w:contextualSpacing w:val="1"/>
      <w:jc w:val="both"/>
    </w:pPr>
    <w:rPr>
      <w:rFonts w:ascii="Arial" w:hAnsi="Arial"/>
      <w:color w:val="333333"/>
      <w:sz w:val="20"/>
    </w:rPr>
  </w:style>
  <w:style w:styleId="Style_4_ch" w:type="character">
    <w:name w:val="List Paragraph"/>
    <w:basedOn w:val="Style_3_ch"/>
    <w:link w:val="Style_4"/>
    <w:rPr>
      <w:rFonts w:ascii="Arial" w:hAnsi="Arial"/>
      <w:color w:val="333333"/>
      <w:sz w:val="20"/>
    </w:rPr>
  </w:style>
  <w:style w:styleId="Style_6" w:type="paragraph">
    <w:name w:val="Обычный1"/>
    <w:link w:val="Style_6_ch"/>
    <w:pPr>
      <w:widowControl w:val="0"/>
      <w:spacing w:after="0" w:line="240" w:lineRule="auto"/>
      <w:ind/>
    </w:pPr>
    <w:rPr>
      <w:rFonts w:ascii="Times New Roman" w:hAnsi="Times New Roman"/>
      <w:sz w:val="20"/>
    </w:rPr>
  </w:style>
  <w:style w:styleId="Style_6_ch" w:type="character">
    <w:name w:val="Обычный1"/>
    <w:link w:val="Style_6"/>
    <w:rPr>
      <w:rFonts w:ascii="Times New Roman" w:hAnsi="Times New Roman"/>
      <w:sz w:val="20"/>
    </w:rPr>
  </w:style>
  <w:style w:styleId="Style_18" w:type="paragraph">
    <w:name w:val="toc 3"/>
    <w:next w:val="Style_3"/>
    <w:link w:val="Style_1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5" w:type="paragraph">
    <w:name w:val="No Spacing"/>
    <w:link w:val="Style_5_ch"/>
    <w:pPr>
      <w:widowControl w:val="1"/>
      <w:spacing w:after="0" w:line="240" w:lineRule="auto"/>
      <w:ind/>
    </w:pPr>
    <w:rPr>
      <w:rFonts w:ascii="Calibri" w:hAnsi="Calibri"/>
    </w:rPr>
  </w:style>
  <w:style w:styleId="Style_5_ch" w:type="character">
    <w:name w:val="No Spacing"/>
    <w:link w:val="Style_5"/>
    <w:rPr>
      <w:rFonts w:ascii="Calibri" w:hAnsi="Calibri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ConsPlusNonformat"/>
    <w:link w:val="Style_20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0_ch" w:type="character">
    <w:name w:val="ConsPlusNonformat"/>
    <w:link w:val="Style_20"/>
    <w:rPr>
      <w:rFonts w:ascii="Courier New" w:hAnsi="Courier New"/>
      <w:sz w:val="20"/>
    </w:rPr>
  </w:style>
  <w:style w:styleId="Style_21" w:type="paragraph">
    <w:name w:val="heading 5"/>
    <w:next w:val="Style_3"/>
    <w:link w:val="Style_2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next w:val="Style_3"/>
    <w:link w:val="Style_2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3"/>
    <w:link w:val="Style_2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26" w:type="paragraph">
    <w:name w:val="Header and Footer"/>
    <w:link w:val="Style_2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3"/>
    <w:link w:val="Style_2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Body Text Indent"/>
    <w:basedOn w:val="Style_3"/>
    <w:link w:val="Style_28_ch"/>
    <w:pPr>
      <w:widowControl w:val="0"/>
      <w:spacing w:after="120" w:line="240" w:lineRule="auto"/>
      <w:ind w:left="283"/>
    </w:pPr>
    <w:rPr>
      <w:rFonts w:ascii="Times New Roman" w:hAnsi="Times New Roman"/>
      <w:sz w:val="28"/>
    </w:rPr>
  </w:style>
  <w:style w:styleId="Style_28_ch" w:type="character">
    <w:name w:val="Body Text Indent"/>
    <w:basedOn w:val="Style_3_ch"/>
    <w:link w:val="Style_28"/>
    <w:rPr>
      <w:rFonts w:ascii="Times New Roman" w:hAnsi="Times New Roman"/>
      <w:sz w:val="28"/>
    </w:rPr>
  </w:style>
  <w:style w:styleId="Style_29" w:type="paragraph">
    <w:name w:val="toc 8"/>
    <w:next w:val="Style_3"/>
    <w:link w:val="Style_2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ConsNonformat"/>
    <w:link w:val="Style_30_ch"/>
    <w:pPr>
      <w:widowControl w:val="1"/>
      <w:spacing w:after="0" w:line="240" w:lineRule="auto"/>
      <w:ind w:right="19772"/>
    </w:pPr>
    <w:rPr>
      <w:rFonts w:ascii="Courier New" w:hAnsi="Courier New"/>
      <w:sz w:val="20"/>
    </w:rPr>
  </w:style>
  <w:style w:styleId="Style_30_ch" w:type="character">
    <w:name w:val="ConsNonformat"/>
    <w:link w:val="Style_30"/>
    <w:rPr>
      <w:rFonts w:ascii="Courier New" w:hAnsi="Courier New"/>
      <w:sz w:val="20"/>
    </w:rPr>
  </w:style>
  <w:style w:styleId="Style_31" w:type="paragraph">
    <w:name w:val="Содержимое таблицы"/>
    <w:basedOn w:val="Style_3"/>
    <w:link w:val="Style_31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31_ch" w:type="character">
    <w:name w:val="Содержимое таблицы"/>
    <w:basedOn w:val="Style_3_ch"/>
    <w:link w:val="Style_31"/>
    <w:rPr>
      <w:rFonts w:ascii="Times New Roman" w:hAnsi="Times New Roman"/>
      <w:sz w:val="24"/>
    </w:rPr>
  </w:style>
  <w:style w:styleId="Style_32" w:type="paragraph">
    <w:name w:val="toc 5"/>
    <w:next w:val="Style_3"/>
    <w:link w:val="Style_3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Subtitle"/>
    <w:basedOn w:val="Style_3"/>
    <w:link w:val="Style_33_ch"/>
    <w:uiPriority w:val="11"/>
    <w:qFormat/>
    <w:pPr>
      <w:widowControl w:val="1"/>
      <w:spacing w:after="60" w:line="240" w:lineRule="auto"/>
      <w:ind/>
      <w:jc w:val="center"/>
      <w:outlineLvl w:val="1"/>
    </w:pPr>
    <w:rPr>
      <w:rFonts w:ascii="Arial" w:hAnsi="Arial"/>
      <w:sz w:val="24"/>
    </w:rPr>
  </w:style>
  <w:style w:styleId="Style_33_ch" w:type="character">
    <w:name w:val="Subtitle"/>
    <w:basedOn w:val="Style_3_ch"/>
    <w:link w:val="Style_33"/>
    <w:rPr>
      <w:rFonts w:ascii="Arial" w:hAnsi="Arial"/>
      <w:sz w:val="24"/>
    </w:rPr>
  </w:style>
  <w:style w:styleId="Style_34" w:type="paragraph">
    <w:name w:val="Title"/>
    <w:next w:val="Style_3"/>
    <w:link w:val="Style_3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3"/>
    <w:link w:val="Style_3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next w:val="Style_3"/>
    <w:link w:val="Style_3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default="1" w:styleId="Style_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" w:type="table">
    <w:name w:val="Table Grid"/>
    <w:basedOn w:val="Style_8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numbering.xml" Type="http://schemas.openxmlformats.org/officeDocument/2006/relationships/numbering"/>
  <Relationship Id="rId4" Target="footer4.xml" Type="http://schemas.openxmlformats.org/officeDocument/2006/relationships/footer"/>
  <Relationship Id="rId1" Target="header1.xml" Type="http://schemas.openxmlformats.org/officeDocument/2006/relationships/header"/>
  <Relationship Id="rId8" Target="settings.xml" Type="http://schemas.openxmlformats.org/officeDocument/2006/relationships/settings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7" Target="fontTable.xml" Type="http://schemas.openxmlformats.org/officeDocument/2006/relationships/fontTable"/>
  <Relationship Id="rId5" Target="header5.xml" Type="http://schemas.openxmlformats.org/officeDocument/2006/relationships/head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9" Target="styles.xml" Type="http://schemas.openxmlformats.org/officeDocument/2006/relationships/styles"/>
  <Relationship Id="rId6" Target="footer6.xml" Type="http://schemas.openxmlformats.org/officeDocument/2006/relationships/footer"/>
  <Relationship Id="rId11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2021-06-17T12:39:00Z</dcterms:created>
  <dcterms:modified xsi:type="dcterms:W3CDTF">2026-08-10T06:13:45Z</dcterms:modified>
</cp:coreProperties>
</file>