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right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  <w:t xml:space="preserve">Проект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  <w:t xml:space="preserve">Контракт</w:t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  <w:t xml:space="preserve"> №</w:t>
      </w:r>
      <w:r>
        <w:rPr>
          <w:rFonts w:ascii="Tinos" w:hAnsi="Tinos" w:cs="Tinos"/>
          <w:sz w:val="24"/>
          <w:szCs w:val="24"/>
          <w:highlight w:val="none"/>
        </w:rPr>
        <w:t xml:space="preserve"> 46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tbl>
      <w:tblPr>
        <w:tblStyle w:val="92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09"/>
        <w:gridCol w:w="8636"/>
      </w:tblGrid>
      <w:tr>
        <w:tblPrEx/>
        <w:trPr>
          <w:trHeight w:val="298"/>
        </w:trPr>
        <w:tc>
          <w:tcPr>
            <w:tcW w:w="709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ИКЗ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  <w:tc>
          <w:tcPr>
            <w:tcW w:w="8636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261532110069453210100100310000000000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57"/>
        </w:trPr>
        <w:tc>
          <w:tcPr>
            <w:tcW w:w="709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КБК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  <w:tc>
          <w:tcPr>
            <w:tcW w:w="8636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32104125440190020242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</w:tbl>
    <w:p>
      <w:pPr>
        <w:contextualSpacing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  <w:t xml:space="preserve"> МПИ: </w:t>
      </w:r>
      <w:r>
        <w:rPr>
          <w:rFonts w:ascii="Tinos" w:hAnsi="Tinos" w:cs="Tinos"/>
          <w:sz w:val="24"/>
          <w:szCs w:val="24"/>
          <w:highlight w:val="none"/>
        </w:rPr>
        <w:t xml:space="preserve">«Эксплуатация объекта учета ТКИ ТО» (</w:t>
      </w:r>
      <w:r>
        <w:rPr>
          <w:rFonts w:ascii="Tinos" w:hAnsi="Tinos" w:cs="Tinos"/>
          <w:sz w:val="24"/>
          <w:szCs w:val="24"/>
          <w:highlight w:val="none"/>
        </w:rPr>
        <w:t xml:space="preserve">321.001А3931.19.Э.20193.26</w:t>
      </w:r>
      <w:r>
        <w:rPr>
          <w:rFonts w:ascii="Tinos" w:hAnsi="Tinos" w:cs="Tinos"/>
          <w:sz w:val="24"/>
          <w:szCs w:val="24"/>
          <w:highlight w:val="none"/>
        </w:rPr>
        <w:t xml:space="preserve">)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г.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Великий Новгород               </w:t>
      </w:r>
      <w:bookmarkStart w:id="0" w:name="_GoBack"/>
      <w:r>
        <w:rPr>
          <w:rFonts w:ascii="Tinos" w:hAnsi="Tinos" w:eastAsia="Tinos" w:cs="Tinos"/>
          <w:sz w:val="24"/>
          <w:szCs w:val="24"/>
          <w:highlight w:val="none"/>
        </w:rPr>
      </w:r>
      <w:bookmarkEnd w:id="0"/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  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«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___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» _________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2026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г.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Cs/>
          <w:sz w:val="24"/>
          <w:szCs w:val="24"/>
        </w:rPr>
        <w:outlineLvl w:val="0"/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Управление Федеральной службы государственной регистрации, кадастра и картографии по Новгородской области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(далее - Управление), именуемое в дальнейшем «Заказчик», в лице заместителя руководителя Управления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Смирновой Ольги Олеговны,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действующей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на основании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доверенности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Управления Федеральной службы государственной ре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гистрации, кадастра и картограф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ии по Новгородской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области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№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016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-Д от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17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.0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1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.202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4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с одной стороны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и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____________, в лице ________________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действующей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на основании __________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 имен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уемое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в дальнейшем «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Исполнитель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», с другой стороны (далее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- Стороны), в соответствии с п.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4 ч.1 ст.93 Федерального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</w:t>
      </w:r>
      <w:r>
        <w:rPr>
          <w:rFonts w:ascii="Tinos" w:hAnsi="Tinos" w:eastAsia="Tinos" w:cs="Tinos"/>
          <w:bCs/>
          <w:sz w:val="24"/>
          <w:szCs w:val="24"/>
          <w:lang w:val="en-US" w:eastAsia="ru-RU"/>
        </w:rPr>
        <w:t xml:space="preserve">c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учетом итогов закупочной сессии №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____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(статус закупки: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состоялась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/не состоялась), проведенной на ЕАТ «Берёзка»,  заключили настоящий контракт о нижеследующем: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1. Предмет контракта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1.1. В соответствии с настоящим контрактом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обязуется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оказать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услуги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по предоставлению доступа к сети Интернет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соответствии с приложением № 1 к контрак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ту (далее –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услуга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), а Заказчик принять и оплатить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оказанную услугу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в соответствии с настоящим контрактом.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b w:val="0"/>
          <w:bCs w:val="0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1.2. Сроки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оказания услуг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: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с 01 января 2027 года по 31 декабря 2028 года. </w:t>
      </w:r>
      <w:r>
        <w:rPr>
          <w:rFonts w:ascii="Tinos" w:hAnsi="Tinos" w:cs="Tinos"/>
          <w:b w:val="0"/>
          <w:bCs w:val="0"/>
          <w:sz w:val="24"/>
          <w:szCs w:val="24"/>
          <w:highlight w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2. Сумма контракта и порядок расчетов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2.1.  Сумма настоящего контракта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составляет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_________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рублей,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том числе НДС/НДС не облагается.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Сумма, подлежащая уплате Заказчиком юридическому лицу или ф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изическому лицу, в том числе зарегистрированному в качестве индивидуального предпринимателя уменьшается, на размер налогов, сборов и иных обязательных платежей в бюджет, связанных с оплатой контракта, если такие платежи подлежат уплате в бюджет заказчиком.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sz w:val="24"/>
          <w:szCs w:val="24"/>
          <w:highlight w:val="none"/>
        </w:rPr>
        <w:t xml:space="preserve">2.2. О</w:t>
      </w:r>
      <w:r>
        <w:rPr>
          <w:rFonts w:ascii="Tinos" w:hAnsi="Tinos" w:cs="Tinos"/>
          <w:sz w:val="24"/>
          <w:szCs w:val="24"/>
          <w:highlight w:val="none"/>
        </w:rPr>
        <w:t xml:space="preserve">плата производится ежемесячно, за счет средств федерального бюджета, безналичным путем, путем перечисления денежных средств на расчетный счет Исполнителя не более 7 (семи) рабочих дней после представления платёжных документов и подписания акта оказанных ус</w:t>
      </w:r>
      <w:r>
        <w:rPr>
          <w:rFonts w:ascii="Tinos" w:hAnsi="Tinos" w:cs="Tinos"/>
          <w:sz w:val="24"/>
          <w:szCs w:val="24"/>
          <w:highlight w:val="none"/>
        </w:rPr>
        <w:t xml:space="preserve">луг.</w:t>
      </w:r>
      <w:r>
        <w:rPr>
          <w:rFonts w:ascii="Tinos" w:hAnsi="Tinos" w:cs="Tinos"/>
          <w:sz w:val="24"/>
          <w:szCs w:val="24"/>
          <w:highlight w:val="none"/>
        </w:rPr>
      </w:r>
      <w:r/>
    </w:p>
    <w:p>
      <w:pPr>
        <w:contextualSpacing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sz w:val="24"/>
          <w:szCs w:val="24"/>
          <w:highlight w:val="none"/>
        </w:rPr>
        <w:t xml:space="preserve">Д</w:t>
      </w:r>
      <w:r>
        <w:rPr>
          <w:rFonts w:ascii="Tinos" w:hAnsi="Tinos" w:cs="Tinos"/>
          <w:sz w:val="24"/>
          <w:szCs w:val="24"/>
          <w:highlight w:val="none"/>
        </w:rPr>
        <w:t xml:space="preserve">оставка счета, счета-фактуры и акта оказанных услуг осуществляется в электронном виде, все представленные документы должны быть подписаны ЭЦП. В случае обмена электронными платёжными документами, такие документы признаются официальными, имеющими юридическу</w:t>
      </w:r>
      <w:r>
        <w:rPr>
          <w:rFonts w:ascii="Tinos" w:hAnsi="Tinos" w:cs="Tinos"/>
          <w:sz w:val="24"/>
          <w:szCs w:val="24"/>
          <w:highlight w:val="none"/>
        </w:rPr>
        <w:t xml:space="preserve">ю силу и без последующего представления бумажных оригиналов этих документов. </w:t>
      </w:r>
      <w:r>
        <w:rPr>
          <w:rFonts w:ascii="Tinos" w:hAnsi="Tinos" w:cs="Tinos"/>
          <w:sz w:val="24"/>
          <w:szCs w:val="24"/>
          <w:highlight w:val="none"/>
        </w:rPr>
      </w:r>
      <w:r/>
    </w:p>
    <w:p>
      <w:pPr>
        <w:contextualSpacing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sz w:val="24"/>
          <w:szCs w:val="24"/>
          <w:highlight w:val="none"/>
        </w:rPr>
        <w:t xml:space="preserve">При отсутствии технической возможности платежные документы доставляются Исполнителем своими силами за свой счёт по юридическому адресу Заказчика.</w:t>
      </w:r>
      <w:r>
        <w:rPr>
          <w:rFonts w:ascii="Tinos" w:hAnsi="Tinos" w:cs="Tinos"/>
          <w:sz w:val="24"/>
          <w:szCs w:val="24"/>
          <w:highlight w:val="none"/>
        </w:rPr>
      </w:r>
      <w:r/>
    </w:p>
    <w:p>
      <w:pPr>
        <w:contextualSpacing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sz w:val="24"/>
          <w:szCs w:val="24"/>
          <w:highlight w:val="none"/>
        </w:rPr>
        <w:t xml:space="preserve">Платёжные документы, оформленные не в соответствии с действующим законодательством и(или) заключенным между Исполнителем и Заказчиком контрактом, считаются непредставленными.</w:t>
      </w:r>
      <w:r>
        <w:rPr>
          <w:rFonts w:ascii="Tinos" w:hAnsi="Tinos" w:cs="Tinos"/>
          <w:sz w:val="24"/>
          <w:szCs w:val="24"/>
          <w:highlight w:val="none"/>
        </w:rPr>
      </w:r>
      <w:r/>
    </w:p>
    <w:p>
      <w:pPr>
        <w:contextualSpacing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sz w:val="24"/>
          <w:szCs w:val="24"/>
          <w:highlight w:val="none"/>
        </w:rPr>
        <w:t xml:space="preserve">В</w:t>
      </w:r>
      <w:r>
        <w:rPr>
          <w:rFonts w:ascii="Tinos" w:hAnsi="Tinos" w:cs="Tinos"/>
          <w:sz w:val="24"/>
          <w:szCs w:val="24"/>
          <w:highlight w:val="none"/>
        </w:rPr>
        <w:t xml:space="preserve"> случаях, предусмотренных пунктом 6 статьи 161 Бюджетного кодекса Российской Федерации, оплата услуг, оказанных Исполнителем, осуществляется Заказчиком в порядке, установленном пунктом 2.2. контракта, после доведения до него согласованных лимитов бюджетных</w:t>
      </w:r>
      <w:r>
        <w:rPr>
          <w:rFonts w:ascii="Tinos" w:hAnsi="Tinos" w:cs="Tinos"/>
          <w:sz w:val="24"/>
          <w:szCs w:val="24"/>
          <w:highlight w:val="none"/>
        </w:rPr>
        <w:t xml:space="preserve"> </w:t>
      </w:r>
      <w:r>
        <w:rPr>
          <w:rFonts w:ascii="Tinos" w:hAnsi="Tinos" w:cs="Tinos"/>
          <w:sz w:val="24"/>
          <w:szCs w:val="24"/>
          <w:highlight w:val="none"/>
        </w:rPr>
        <w:t xml:space="preserve">ассигнований на 2027-2028 гг. В случаях, предусмотренных пунктом 38 Положения о ведомственных программах цифровой трансформации, утвержденного Постановлением Правительства Российской Федерации от 10.10.2020 № 1646 «О мерах по обеспечению эффективности меро</w:t>
      </w:r>
      <w:r>
        <w:rPr>
          <w:rFonts w:ascii="Tinos" w:hAnsi="Tinos" w:cs="Tinos"/>
          <w:sz w:val="24"/>
          <w:szCs w:val="24"/>
          <w:highlight w:val="none"/>
        </w:rPr>
        <w:t xml:space="preserve">п</w:t>
      </w:r>
      <w:r>
        <w:rPr>
          <w:rFonts w:ascii="Tinos" w:hAnsi="Tinos" w:cs="Tinos"/>
          <w:sz w:val="24"/>
          <w:szCs w:val="24"/>
          <w:highlight w:val="none"/>
        </w:rPr>
        <w:t xml:space="preserve">риятий по использованию информационно-коммуникационных технологий в деятельности федеральных органов исполнительной власти и органов управления государственным внебюджетными фондами» в соответствии с которым расходы федерального бюджета и бюджетов государс</w:t>
      </w:r>
      <w:r>
        <w:rPr>
          <w:rFonts w:ascii="Tinos" w:hAnsi="Tinos" w:cs="Tinos"/>
          <w:sz w:val="24"/>
          <w:szCs w:val="24"/>
          <w:highlight w:val="none"/>
        </w:rPr>
        <w:t xml:space="preserve">т</w:t>
      </w:r>
      <w:r>
        <w:rPr>
          <w:rFonts w:ascii="Tinos" w:hAnsi="Tinos" w:cs="Tinos"/>
          <w:sz w:val="24"/>
          <w:szCs w:val="24"/>
          <w:highlight w:val="none"/>
        </w:rPr>
        <w:t xml:space="preserve">венных внебюджетных фондов на закупку товаров, работ и услуг в сфере информационно-коммуникационных технологий осуществляется только на мероприятия по информатизации, успешно прошедшие процедуры проверки сведений о мероприятиях по информатизации, оплата по</w:t>
      </w:r>
      <w:r>
        <w:rPr>
          <w:rFonts w:ascii="Tinos" w:hAnsi="Tinos" w:cs="Tinos"/>
          <w:sz w:val="24"/>
          <w:szCs w:val="24"/>
          <w:highlight w:val="none"/>
        </w:rPr>
        <w:t xml:space="preserve"> Контракту осуществляется в порядке, установленном Контрактом после доведения до Заказчика сведений об успешном прохождении процедуры согласования мероприятий по информатизации в сфере информационно-коммуникационных технологий.</w:t>
      </w:r>
      <w:r>
        <w:rPr>
          <w:rFonts w:ascii="Tinos" w:hAnsi="Tinos" w:cs="Tinos"/>
          <w:sz w:val="24"/>
          <w:szCs w:val="24"/>
          <w:highlight w:val="none"/>
        </w:rPr>
      </w:r>
      <w:r/>
    </w:p>
    <w:p>
      <w:pPr>
        <w:contextualSpacing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sz w:val="24"/>
          <w:szCs w:val="24"/>
          <w:highlight w:val="none"/>
        </w:rPr>
        <w:t xml:space="preserve">В</w:t>
      </w:r>
      <w:r>
        <w:rPr>
          <w:rFonts w:ascii="Tinos" w:hAnsi="Tinos" w:cs="Tinos"/>
          <w:sz w:val="24"/>
          <w:szCs w:val="24"/>
          <w:highlight w:val="none"/>
        </w:rPr>
        <w:t xml:space="preserve"> случае неисполнения или ненадлежащего исполнения обязательства, предусмотренного контрактом, Заказчик вправе осуществить взыскание неустойки (штрафа, пени) в бесспорном порядке без согласия Исполнителя путем удержания суммы неустойки (штрафа, пени), начис</w:t>
      </w:r>
      <w:r>
        <w:rPr>
          <w:rFonts w:ascii="Tinos" w:hAnsi="Tinos" w:cs="Tinos"/>
          <w:sz w:val="24"/>
          <w:szCs w:val="24"/>
          <w:highlight w:val="none"/>
        </w:rPr>
        <w:t xml:space="preserve">ленной в соотве</w:t>
      </w:r>
      <w:r>
        <w:rPr>
          <w:rFonts w:ascii="Tinos" w:hAnsi="Tinos" w:cs="Tinos"/>
          <w:sz w:val="24"/>
          <w:szCs w:val="24"/>
          <w:highlight w:val="none"/>
        </w:rPr>
        <w:t xml:space="preserve">тствии действующим законодательством при окончательном расчете с Исполнителем.  При этом оплата осуществляется на основании счета, счета-фактуры и подписанного сторонами акта приема-передачи товара(Приложение№2), в котором указываются: сумма, подлежащая оп</w:t>
      </w:r>
      <w:r>
        <w:rPr>
          <w:rFonts w:ascii="Tinos" w:hAnsi="Tinos" w:cs="Tinos"/>
          <w:sz w:val="24"/>
          <w:szCs w:val="24"/>
          <w:highlight w:val="none"/>
        </w:rPr>
        <w:t xml:space="preserve">лате в соответствии с условиями контракта; размер неустойки (штрафа, пени), подлежащий взысканию; основания применения и порядок расчета неустойки; итоговая сумма, подлежащая оплате.</w:t>
      </w:r>
      <w:r>
        <w:rPr>
          <w:rFonts w:ascii="Tinos" w:hAnsi="Tinos" w:cs="Tinos"/>
          <w:sz w:val="24"/>
          <w:szCs w:val="24"/>
          <w:highlight w:val="none"/>
        </w:rPr>
      </w:r>
      <w:r/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2.3. В стоимость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оказываемых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по настоящему контракту входят расходы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необходимые для оказания услуг в полном объеме и надлежащего качества, все подлежащие к уплате налоги, сборы и другие обязательные платежи и иные расходы, связанные с оказанием услуг.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2.4. Цена контракта является твердой и определяется на весь срок исполнения контракта, за исключением случаев, предусмотренных настоящим контрактом (п.8.2.) и законодательством.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2.5. Обязательства Заказчика по оплате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оказанной услуги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прекращаются зачетом суммы неустойки (штрафа, пени), начисленной Заказчиком в соответствии с разделом 5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2.6. Банковское сопровождение контракта, предусмотренное ст.35 Закона №44-ФЗ, к настоящему контракту не применяется.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3. Права и обязанности сторон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3.1. Исполнитель обязан: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3.1.1.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Оказать услуги своевременно и с надлежащим качеством. 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3.1.2. Оказать услуги в соответствии с требованиями, установленными Приложением № 1 к настоящему контракту.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ab/>
        <w:t xml:space="preserve">   3.1.3. Устранить   недостатки, возникшие вследствие   отступления   от контракта, за свой счет.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ab/>
        <w:t xml:space="preserve">   3.1.4.  Предупредить Заказчика при обнаружении возможных неблагоприятных последствий, которые могут возникнуть в результате оказания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3.1.5. 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432" w:leader="none"/>
          <w:tab w:val="left" w:pos="1080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3.2. Заказчик обязан: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6"/>
          <w:sz w:val="24"/>
          <w:szCs w:val="24"/>
          <w:lang w:eastAsia="ar-SA"/>
        </w:rPr>
        <w:t xml:space="preserve">3.2.1. П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ринять и оплатить оказанные услуги в соответствии с условиями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3.3. Заказчик вправе: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3.3.1. Запрашивать у Исполнителя информацию о ходе исполнения настоящего контракта;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3.3.2. В любое ра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зумное время проверить качество оказываемых услуг и в случае обнаружения существенных отступлений, предъявить Исполнителю письменную претензию. В случае ее признания Исполнитель обязан в сроки, согласованные с Заказчиком, за свой счет устранить недостатки.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4. Порядок сдачи-приемки оказанных услуг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4.1.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Ежемесячно, п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о завершении оказания услуг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,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Исполнитель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представляет Заказчику подписанный со своей стороны акт оказанных услуг в 2-х экземплярах. Заказчик в течение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5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(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пяти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) рабочих дней после передачи ему акта оказанных услуг подписывает его со своей стороны и передает Исполнителю или заявляет в письменном виде мотивированный отказ от приемки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Срок предоставления исполнительных документов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(платёжные документы и акт оказанных услуг)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не позднее 10 числа месяца, следующего за месяцем оказания услуг.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В случае, если Исполнитель несвоевременно представит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исполнительные документы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, Заказчик не несёт ответственност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и за своевременную оплату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  <w:highlight w:val="none"/>
        </w:rPr>
        <w:t xml:space="preserve">Оплата за декабрь 2027 года и за декабрь 2028 года должна быть произведена в декабре 2027 года и в декабре 2028 года.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4.2. В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случае несоответствия оказываемых услуг условиям контракта составляется акт устранения недостатков, при этом, Исполнитель обязан устранить   недостатки, возникшие вследствие   отступления   от контракта за свой счет в течение 5 (пяти) рабочих дней с момен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та поступления требования от Заказчика либо составления акта. Некачественно оказанные услуги считаются не выполненными. Срок устранения недостатков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1"/>
          <w:numId w:val="23"/>
        </w:numPr>
        <w:contextualSpacing/>
        <w:ind w:firstLine="720"/>
        <w:jc w:val="both"/>
        <w:spacing w:before="0" w:beforeAutospacing="0" w:after="0" w:afterAutospacing="0" w:line="240" w:lineRule="auto"/>
        <w:tabs>
          <w:tab w:val="num" w:pos="72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4.3. Датой приемки результатов оказания услуг считается дата подписания с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торонами (или их представителями) акта оказанных услуг. При этом, если услуги приняты Заказчиком без замечаний, то срок с даты оказания услуг Исполнителем до даты подписания Заказчиком акта приемки оказанных услуг не входит в срок просрочки оказания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4.4. Для проверки предоставленных Исполнителем результатов, предусмотрен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4.5. Выбор эксперта (экспертной организации) осуществляется Заказчиком без согласования с Исполнителем.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4.6. Срок проведения экспертизы не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4.7. Исполнитель имеет право присутствовать при проводимых в ходе экспертизы осмотрах результатов оказания услуг или иных аналогичных исследованиях.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4.8. Исполнитель, если возникнет такая необходимость, обязан в кратчайшие сроки предоставлять эксперту (экспертной организации), с которой Заказчиком заключен договор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на проведение экспертизы, дополнительные материалы, относящиеся к условиям контракта и отдельным этапам исполнения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4.9. После завершения экспертизы Заказчик направляет Исполнителю копию экспертного заключения.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4.10. При получении копии экспертного заключения Исполнитель принимает решение, описанное в пункте 4.2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4.11. В случае выявления экспертом недостатков, несоответствия оказанных услуг требованиям технического задания Исполнитель возмещает Заказчику стоимость произведенной экспертизы и устраняет недостатки и своими силами и за свой счёт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spacing w:val="-8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5. Ответственность сторон</w:t>
      </w:r>
      <w:r>
        <w:rPr>
          <w:rFonts w:ascii="Tinos" w:hAnsi="Tinos" w:cs="Tinos"/>
          <w:spacing w:val="-8"/>
          <w:sz w:val="24"/>
          <w:szCs w:val="24"/>
        </w:rPr>
      </w:r>
      <w:r>
        <w:rPr>
          <w:rFonts w:ascii="Tinos" w:hAnsi="Tinos" w:cs="Tinos"/>
          <w:spacing w:val="-8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.2.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льств, предусмотренных контрактом (за исключением просрочки исполнения обязательств заказчиком, поставщиком и размера пени, начисляемой за каждый день просрочки исполнения поставщиком обязательства, предусмотренного контрактом, утвержденными постановлением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Правительства Российской Федерации от 30 августа 2017 г. N 1042 (далее - Правила определения размера штрафа).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фов, пеней) и направить Заказчику требование об уплате неустоек (штрафов, пеней).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.5.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.6. В случае нарушения Поставщиком срока представления документов, предусмотренного пунктом 9.3 Контракта, Заказчик не несет ответственность, установленную пунктами 11.3 - 11.5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.8.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к направляет Поставщику требование об уплате неустоек (штрафов, пеней).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.9.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ой на сумму, пропорциональную объему обязательств, предусмотренных Контрактом и фактически исполненных Поставщиком.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 процентов цены Контракта (этапа) в случае, если цена Контракта (этапа)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 процент цены Контракта (этапа) в случае, если цена Контракта (этапа)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0,5 процента цены Контракта (этапа) в случае, если цена Контракта (этапа) составляет от 100 млн. рублей до 500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д) 0,4 процента цены Контракта (этапа) в случае, если цена Контракта (этапа) составляет от 500 млн. рублей до 1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е) 0,3 процента цены Контракта (этапа) в случае, если цена Контракта (этапа) составляет от 1 млрд. рублей до 2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ж) 0,25 процента цены Контракта (этапа) в случае, если цена Контракта (этапа) составляет от 2 млрд. рублей до 5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з) 0,2 процента цены Контракта (этапа) в случае, если цена Контракта (этапа) составляет от 5 млрд. рублей до 10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и) 0,1 процента цены Контракта (этапа) в случае, если цена Контракта (этапа) превышает 10 млрд.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.11.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о контрактной системе), предл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в случае, если цена контракта не превышает начальную (максимальную) цену контракта: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10 процентов начальной (максимальной) цены контракта,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в случае, если цена контракта превышает начальную (максимальную) цену контракта: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10 процентов цены контракта,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5 процентов цены контракта,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 процент цены контракта, если цена контракта составляет от 50 млн. рублей до 100 млн. рублей (включительно).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15.14. Заказчик обязан оплатить штраф, пени Поставщику в срок не позднее 20 (Двадцати) календарных дней после получения требования Поставщика об уплате штрафа, пеней.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.15. Поставщик обязан оплатить Заказчику штраф, пени в срок не позднее 20 (Двадцати) календарных дней после получения требования Заказчика об уплате штраф, пеней.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6. Действие обстоятельств непреодолимой силы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spacing w:val="3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6.1. Ни   одна  из  сторон   не   несет  ответственность   перед  другой   стороной   за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1"/>
          <w:sz w:val="24"/>
          <w:szCs w:val="24"/>
          <w:lang w:eastAsia="ru-RU"/>
        </w:rPr>
        <w:t xml:space="preserve">неисполнение обязательств по настоящему контракту, обусловленное</w:t>
      </w:r>
      <w:r>
        <w:rPr>
          <w:rFonts w:ascii="Tinos" w:hAnsi="Tinos" w:eastAsia="Tinos" w:cs="Tinos"/>
          <w:spacing w:val="1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действием обстоятельств непреодолимой силы, т.е. чрезвычайных и непредотвратимых</w:t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при данных условиях обстоятельств, в том числе объявленная или фактическая война,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2"/>
          <w:sz w:val="24"/>
          <w:szCs w:val="24"/>
          <w:lang w:eastAsia="ru-RU"/>
        </w:rPr>
        <w:t xml:space="preserve">гражданские волнения, эпидемии, блокада, эмбарго, пожары, землетрясения, наводнения и</w:t>
      </w:r>
      <w:r>
        <w:rPr>
          <w:rFonts w:ascii="Tinos" w:hAnsi="Tinos" w:eastAsia="Tinos" w:cs="Tinos"/>
          <w:spacing w:val="-2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другие природные стихийные бедствия, а также издание актов государственных органов.</w:t>
      </w:r>
      <w:r>
        <w:rPr>
          <w:rFonts w:ascii="Tinos" w:hAnsi="Tinos" w:cs="Tinos"/>
          <w:spacing w:val="3"/>
          <w:sz w:val="24"/>
          <w:szCs w:val="24"/>
        </w:rPr>
      </w:r>
      <w:r>
        <w:rPr>
          <w:rFonts w:ascii="Tinos" w:hAnsi="Tinos" w:cs="Tinos"/>
          <w:spacing w:val="3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spacing w:val="2"/>
          <w:sz w:val="24"/>
          <w:szCs w:val="24"/>
        </w:rPr>
      </w:pP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</w:t>
      </w:r>
      <w:r>
        <w:rPr>
          <w:rFonts w:ascii="Tinos" w:hAnsi="Tinos" w:eastAsia="Tinos" w:cs="Tinos"/>
          <w:spacing w:val="-4"/>
          <w:sz w:val="24"/>
          <w:szCs w:val="24"/>
          <w:lang w:eastAsia="ru-RU"/>
        </w:rPr>
        <w:t xml:space="preserve">силы.</w:t>
      </w:r>
      <w:r>
        <w:rPr>
          <w:rFonts w:ascii="Tinos" w:hAnsi="Tinos" w:cs="Tinos"/>
          <w:spacing w:val="2"/>
          <w:sz w:val="24"/>
          <w:szCs w:val="24"/>
        </w:rPr>
      </w:r>
      <w:r>
        <w:rPr>
          <w:rFonts w:ascii="Tinos" w:hAnsi="Tinos" w:cs="Tinos"/>
          <w:spacing w:val="2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spacing w:val="2"/>
          <w:sz w:val="24"/>
          <w:szCs w:val="24"/>
          <w:lang w:eastAsia="ru-RU"/>
        </w:rPr>
        <w:t xml:space="preserve">6.3. Сторона, которая не исполняет обязательств по настоящему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контракту вследствие действия непреодолимой силы, должна незамедлительно известить 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другую Сторону о таких обстоятельствах и их влиянии на исполнение обязательств по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контракту.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highlight w:val="none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pacing w:val="6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7. Порядок разрешения споров</w:t>
      </w:r>
      <w:r>
        <w:rPr>
          <w:rFonts w:ascii="Tinos" w:hAnsi="Tinos" w:cs="Tinos"/>
          <w:spacing w:val="6"/>
          <w:sz w:val="24"/>
          <w:szCs w:val="24"/>
        </w:rPr>
      </w:r>
      <w:r>
        <w:rPr>
          <w:rFonts w:ascii="Tinos" w:hAnsi="Tinos" w:cs="Tinos"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6"/>
          <w:sz w:val="24"/>
          <w:szCs w:val="24"/>
          <w:lang w:eastAsia="ru-RU"/>
        </w:rPr>
        <w:t xml:space="preserve">7.1. Все споры или разногласия, возникающие между сторонами по настоящему </w:t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контракту или в связи с ним, разрешаются путем переговоров между </w:t>
      </w:r>
      <w:r>
        <w:rPr>
          <w:rFonts w:ascii="Tinos" w:hAnsi="Tinos" w:eastAsia="Tinos" w:cs="Tinos"/>
          <w:spacing w:val="-4"/>
          <w:sz w:val="24"/>
          <w:szCs w:val="24"/>
          <w:lang w:eastAsia="ru-RU"/>
        </w:rPr>
        <w:t xml:space="preserve">ними.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7.2. В   случае  невозможности  разрешения  разногласий   путем   переговоров  они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подлежат рассмотрению в арбитражном суде Новгородской области согласно порядку,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установленному законодательством Российской Федерации.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pacing w:val="2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8. Порядок изменения и расторжения контракта</w:t>
      </w:r>
      <w:r>
        <w:rPr>
          <w:rFonts w:ascii="Tinos" w:hAnsi="Tinos" w:cs="Tinos"/>
          <w:spacing w:val="2"/>
          <w:sz w:val="24"/>
          <w:szCs w:val="24"/>
        </w:rPr>
      </w:r>
      <w:r>
        <w:rPr>
          <w:rFonts w:ascii="Tinos" w:hAnsi="Tinos" w:cs="Tinos"/>
          <w:spacing w:val="2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2"/>
          <w:sz w:val="24"/>
          <w:szCs w:val="24"/>
          <w:lang w:eastAsia="ru-RU"/>
        </w:rPr>
        <w:t xml:space="preserve">8.1. Любые изменения и дополнения к настоящему контракту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имеют силу только в том случае, если они оформлены в письменном виде и подписаны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обеими сторонами.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8.2. Изменение существенных условий контракта допускается по соглашению сторон в случаях, предусмотренных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Федеральным законом от 05.04.2013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44-ФЗ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арственных и муниципальных нужд»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.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8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ст. 95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Федерального закона от 05.04.2013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44-ФЗ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арственных и муниципальных нужд»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14"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  <w:tab w:val="left" w:pos="341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  <w:t xml:space="preserve">9. Прочие условия</w:t>
      </w:r>
      <w:r>
        <w:rPr>
          <w:rFonts w:ascii="Tinos" w:hAnsi="Tinos" w:cs="Tinos"/>
          <w:spacing w:val="3"/>
          <w:sz w:val="24"/>
          <w:szCs w:val="24"/>
        </w:rPr>
      </w:r>
      <w:r>
        <w:rPr>
          <w:rFonts w:ascii="Tinos" w:hAnsi="Tinos" w:cs="Tinos"/>
          <w:spacing w:val="3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-7"/>
          <w:sz w:val="24"/>
          <w:szCs w:val="24"/>
          <w:lang w:eastAsia="ru-RU"/>
        </w:rPr>
        <w:t xml:space="preserve">9.1.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Настоящий контракт вступает в действие со дня подписания и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действует до исполнения Сторонами своих обязательств.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9.2.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случае изменения у к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9.3. Следующие    приложения    являются    неотъемлемой    частью    настоящего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контракта: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приложение № 1 -спецификация;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приложение № 2 - форма акта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8"/>
          <w:sz w:val="24"/>
          <w:szCs w:val="24"/>
          <w:lang w:eastAsia="ru-RU"/>
        </w:rPr>
        <w:t xml:space="preserve">9.4.</w:t>
      </w:r>
      <w:r>
        <w:rPr>
          <w:rFonts w:ascii="Tinos" w:hAnsi="Tinos" w:eastAsia="Tinos" w:cs="Tinos"/>
          <w:sz w:val="24"/>
          <w:szCs w:val="24"/>
          <w:lang w:eastAsia="ru-RU"/>
        </w:rPr>
        <w:tab/>
        <w:t xml:space="preserve">Вопросы, не   урегулированные   настоящим     контрактом,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разрешаются в соответствии с действующим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9.5. Настоящий контракт действует до полного исполнения обязательств.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  <w:t xml:space="preserve">10. Местонахождение и банковские реквизиты сторон</w:t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tbl>
      <w:tblPr>
        <w:tblW w:w="95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4870"/>
      </w:tblGrid>
      <w:tr>
        <w:tblPrEx/>
        <w:trPr>
          <w:trHeight w:val="70"/>
        </w:trPr>
        <w:tc>
          <w:tcPr>
            <w:tcW w:w="4711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ЗАКАЗЧИК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W w:w="4870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Управление Федеральной службы государственной регистрации, кадастра и картографии по Новгородской области (Управление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Росреестра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по Новгородской области)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>
          <w:trHeight w:val="875"/>
        </w:trPr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Адрес: 173002, Россия, г. Великий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Новгород,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ул. Октябрьская, д. 17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Телефон: (8162) 943-000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Факс: (8162) 770-366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/>
              <w:jc w:val="both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Э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л.почта: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53_upr@rosreestr.ru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/>
              <w:spacing w:after="0" w:line="276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Банковские реквизиты: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ИНН 5321100694       КПП 532101001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УФК по Нижегородской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т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03501А39310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ОКЦ №1 Волго-Вятского ГУ Банка России//УФК по Нижегородской области г. Нижний Новгород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БИК 012202102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Казначейский счет № 03211643000000013213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Единый казначейский счет № 40102810745370000024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ОГРН 1045300293411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ОКВЭД 84.11.12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ОКТМО 49701000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ОКПО 74991578</w:t>
            </w:r>
            <w:r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Банковские реквизиты для уплаты неустоек (штрафов, пеней)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767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УФК по Новгородской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04501А39310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67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ОКЦ №1 Волго-Вятского ГУ Банка России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//УФК по Новгородской области </w:t>
              <w:br/>
              <w:t xml:space="preserve">г.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Великий Новгород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67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БИК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42202100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67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03100643000000015000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contextualSpacing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Единый 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40102810245370000100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</w:tbl>
    <w:p>
      <w:pPr>
        <w:contextualSpacing/>
        <w:ind w:firstLine="709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ru-RU"/>
        </w:rPr>
        <w:t xml:space="preserve"> </w:t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tbl>
      <w:tblPr>
        <w:tblStyle w:val="92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ru-RU"/>
        </w:rPr>
        <w:t xml:space="preserve">                                       </w:t>
      </w:r>
      <w:r>
        <w:rPr>
          <w:rFonts w:ascii="Tinos" w:hAnsi="Tinos" w:cs="Tinos"/>
          <w:bCs/>
          <w:spacing w:val="7"/>
          <w:sz w:val="24"/>
          <w:szCs w:val="24"/>
        </w:rPr>
      </w:r>
      <w:r>
        <w:rPr>
          <w:rFonts w:ascii="Tinos" w:hAnsi="Tinos" w:cs="Tinos"/>
          <w:bCs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</w:t>
      </w:r>
      <w:r>
        <w:rPr>
          <w:rFonts w:ascii="Tinos" w:hAnsi="Tinos" w:eastAsia="Tinos" w:cs="Tinos"/>
          <w:sz w:val="24"/>
          <w:szCs w:val="24"/>
        </w:rPr>
        <w:t xml:space="preserve">риложение №1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к контракту от «</w:t>
      </w:r>
      <w:r>
        <w:rPr>
          <w:rFonts w:ascii="Tinos" w:hAnsi="Tinos" w:eastAsia="Tinos" w:cs="Tinos"/>
          <w:sz w:val="24"/>
          <w:szCs w:val="24"/>
        </w:rPr>
        <w:t xml:space="preserve">___» </w:t>
      </w:r>
      <w:r>
        <w:rPr>
          <w:rFonts w:ascii="Tinos" w:hAnsi="Tinos" w:eastAsia="Tinos" w:cs="Tinos"/>
          <w:sz w:val="24"/>
          <w:szCs w:val="24"/>
        </w:rPr>
        <w:t xml:space="preserve">________ </w:t>
      </w:r>
      <w:r>
        <w:rPr>
          <w:rFonts w:ascii="Tinos" w:hAnsi="Tinos" w:eastAsia="Tinos" w:cs="Tinos"/>
          <w:sz w:val="24"/>
          <w:szCs w:val="24"/>
        </w:rPr>
        <w:t xml:space="preserve">2026</w:t>
      </w:r>
      <w:r>
        <w:rPr>
          <w:rFonts w:ascii="Tinos" w:hAnsi="Tinos" w:eastAsia="Tinos" w:cs="Tinos"/>
          <w:sz w:val="24"/>
          <w:szCs w:val="24"/>
        </w:rPr>
        <w:t xml:space="preserve"> г. №</w:t>
      </w:r>
      <w:r>
        <w:rPr>
          <w:rFonts w:ascii="Tinos" w:hAnsi="Tinos" w:cs="Tinos"/>
          <w:sz w:val="24"/>
          <w:szCs w:val="24"/>
          <w:highlight w:val="none"/>
        </w:rPr>
        <w:t xml:space="preserve">46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center"/>
        <w:spacing w:before="0" w:line="240" w:lineRule="auto"/>
        <w:rPr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Спецификация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spacing w:before="0" w:line="240" w:lineRule="auto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spacing w:before="0"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b/>
          <w:sz w:val="22"/>
          <w:szCs w:val="22"/>
        </w:rPr>
        <w:t xml:space="preserve">1.Расчет стоимости</w:t>
      </w:r>
      <w:r>
        <w:rPr>
          <w:rFonts w:ascii="Tinos" w:hAnsi="Tinos" w:eastAsia="Tinos" w:cs="Tinos"/>
          <w:b/>
          <w:sz w:val="22"/>
          <w:szCs w:val="22"/>
        </w:rPr>
        <w:t xml:space="preserve"> услуг</w:t>
      </w:r>
      <w:r>
        <w:rPr>
          <w:rFonts w:ascii="Tinos" w:hAnsi="Tinos" w:eastAsia="Tinos" w:cs="Tinos"/>
          <w:sz w:val="22"/>
          <w:szCs w:val="22"/>
        </w:rPr>
        <w:t xml:space="preserve">: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center"/>
        <w:spacing w:before="0" w:line="240" w:lineRule="auto"/>
        <w:widowControl/>
        <w:rPr>
          <w:rFonts w:ascii="Tinos" w:hAnsi="Tinos" w:cs="Tinos"/>
          <w:b/>
          <w:sz w:val="22"/>
          <w:szCs w:val="22"/>
          <w:highlight w:val="yellow"/>
        </w:rPr>
      </w:pPr>
      <w:r>
        <w:rPr>
          <w:rFonts w:ascii="Tinos" w:hAnsi="Tinos" w:eastAsia="Tinos" w:cs="Tinos"/>
          <w:b/>
          <w:sz w:val="22"/>
          <w:szCs w:val="22"/>
          <w:highlight w:val="yellow"/>
        </w:rPr>
      </w:r>
      <w:r>
        <w:rPr>
          <w:rFonts w:ascii="Tinos" w:hAnsi="Tinos" w:cs="Tinos"/>
          <w:b/>
          <w:sz w:val="22"/>
          <w:szCs w:val="22"/>
          <w:highlight w:val="yellow"/>
        </w:rPr>
      </w:r>
      <w:r>
        <w:rPr>
          <w:rFonts w:ascii="Tinos" w:hAnsi="Tinos" w:cs="Tinos"/>
          <w:b/>
          <w:sz w:val="22"/>
          <w:szCs w:val="22"/>
          <w:highlight w:val="yellow"/>
        </w:rPr>
      </w:r>
    </w:p>
    <w:tbl>
      <w:tblPr>
        <w:tblpPr w:horzAnchor="margin" w:tblpXSpec="left" w:vertAnchor="text" w:tblpY="-11" w:leftFromText="180" w:topFromText="0" w:rightFromText="180" w:bottomFromText="0"/>
        <w:tblW w:w="99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411"/>
        <w:gridCol w:w="707"/>
        <w:gridCol w:w="1417"/>
        <w:gridCol w:w="778"/>
        <w:gridCol w:w="1209"/>
        <w:gridCol w:w="1276"/>
      </w:tblGrid>
      <w:tr>
        <w:tblPrEx/>
        <w:trPr>
          <w:trHeight w:val="1500"/>
        </w:trPr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/п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Наименование единицы услуги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W w:w="70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  <w:vertAlign w:val="baseli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Кол-во,мес.</w:t>
            </w:r>
            <w:r>
              <w:rPr>
                <w:rFonts w:ascii="Tinos" w:hAnsi="Tinos" w:cs="Tinos"/>
                <w:color w:val="000000"/>
                <w:sz w:val="22"/>
                <w:szCs w:val="22"/>
                <w:vertAlign w:val="baselin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  <w:vertAlign w:val="baseline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Цена за единицу услуги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778" w:type="dxa"/>
            <w:textDirection w:val="lrTb"/>
            <w:noWrap w:val="false"/>
          </w:tcPr>
          <w:p>
            <w:pPr>
              <w:ind w:left="-182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Размер НДС, %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09" w:type="dxa"/>
            <w:textDirection w:val="lrTb"/>
            <w:noWrap w:val="false"/>
          </w:tcPr>
          <w:p>
            <w:pPr>
              <w:ind w:left="-175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Цена за единицу услуги с НДС, руб.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left="-175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Стоимость, руб. (кол-во*цену с НДС)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93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у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слуги по предоставлению доступа к сети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Интернет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W w:w="707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778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09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r/>
            <w:r/>
          </w:p>
        </w:tc>
      </w:tr>
      <w:tr>
        <w:tblPrEx/>
        <w:trPr>
          <w:trHeight w:val="506"/>
        </w:trPr>
        <w:tc>
          <w:tcPr>
            <w:shd w:val="clear" w:color="ffffff" w:fill="ffffff"/>
            <w:tcW w:w="567" w:type="dxa"/>
            <w:vAlign w:val="bottom"/>
            <w:textDirection w:val="lrTb"/>
            <w:noWrap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6"/>
            <w:shd w:val="clear" w:color="ffffff" w:fill="ffffff"/>
            <w:tcW w:w="8081" w:type="dxa"/>
            <w:vAlign w:val="center"/>
            <w:textDirection w:val="lrTb"/>
            <w:noWrap w:val="false"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ИТОГО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76" w:type="dxa"/>
            <w:vAlign w:val="bottom"/>
            <w:textDirection w:val="lrTb"/>
            <w:noWrap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/>
        <w:jc w:val="center"/>
        <w:spacing w:after="200" w:line="240" w:lineRule="auto"/>
        <w:rPr>
          <w:rFonts w:ascii="Tinos" w:hAnsi="Tinos" w:cs="Tinos"/>
          <w:b/>
          <w:bCs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    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2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. </w:t>
      </w:r>
      <w:r>
        <w:rPr>
          <w:rFonts w:ascii="Tinos" w:hAnsi="Tinos" w:eastAsia="Tinos" w:cs="Tinos"/>
          <w:b/>
          <w:bCs/>
          <w:sz w:val="24"/>
          <w:szCs w:val="24"/>
          <w:highlight w:val="white"/>
          <w:lang w:eastAsia="ru-RU"/>
        </w:rPr>
        <w:t xml:space="preserve">ТЕХНИЧЕСКОЕ ЗАДАНИЕ</w:t>
      </w:r>
      <w:r>
        <w:rPr>
          <w:rFonts w:ascii="Tinos" w:hAnsi="Tinos" w:cs="Tinos"/>
          <w:b/>
          <w:bCs/>
          <w:sz w:val="24"/>
          <w:szCs w:val="24"/>
          <w:highlight w:val="white"/>
        </w:rPr>
      </w:r>
      <w:r>
        <w:rPr>
          <w:rFonts w:ascii="Tinos" w:hAnsi="Tinos" w:cs="Tinos"/>
          <w:b/>
          <w:bCs/>
          <w:sz w:val="24"/>
          <w:szCs w:val="24"/>
          <w:highlight w:val="white"/>
        </w:rPr>
      </w:r>
    </w:p>
    <w:p>
      <w:pPr>
        <w:pStyle w:val="924"/>
        <w:ind w:firstLine="567"/>
        <w:jc w:val="center"/>
        <w:rPr>
          <w:rFonts w:ascii="Tinos" w:hAnsi="Tinos" w:cs="Tinos"/>
          <w:b/>
          <w:bCs/>
          <w:sz w:val="24"/>
          <w:szCs w:val="24"/>
          <w:shd w:val="clear" w:color="auto" w:fill="ffffff"/>
        </w:rPr>
        <w:suppressLineNumbers w:val="0"/>
      </w:pPr>
      <w:r>
        <w:rPr>
          <w:rFonts w:ascii="Tinos" w:hAnsi="Tinos" w:eastAsia="Tinos" w:cs="Tinos"/>
          <w:b/>
          <w:bCs/>
          <w:sz w:val="24"/>
          <w:szCs w:val="24"/>
          <w:shd w:val="clear" w:color="auto" w:fill="ffffff"/>
        </w:rPr>
        <w:t xml:space="preserve">у</w:t>
      </w:r>
      <w:r>
        <w:rPr>
          <w:rFonts w:ascii="Tinos" w:hAnsi="Tinos" w:eastAsia="Tinos" w:cs="Tinos"/>
          <w:b/>
          <w:bCs/>
          <w:sz w:val="24"/>
          <w:szCs w:val="24"/>
          <w:shd w:val="clear" w:color="auto" w:fill="ffffff"/>
        </w:rPr>
        <w:t xml:space="preserve">слуги </w:t>
      </w:r>
      <w:r>
        <w:rPr>
          <w:rFonts w:ascii="Tinos" w:hAnsi="Tinos" w:eastAsia="Tinos" w:cs="Tinos"/>
          <w:b/>
          <w:bCs/>
          <w:sz w:val="24"/>
          <w:szCs w:val="24"/>
          <w:shd w:val="clear" w:color="auto" w:fill="ffffff"/>
        </w:rPr>
        <w:t xml:space="preserve">по</w:t>
      </w:r>
      <w:r>
        <w:rPr>
          <w:rFonts w:ascii="Tinos" w:hAnsi="Tinos" w:eastAsia="Tinos" w:cs="Tinos"/>
          <w:b/>
          <w:bCs/>
          <w:sz w:val="24"/>
          <w:szCs w:val="24"/>
          <w:shd w:val="clear" w:color="auto" w:fill="ffffff"/>
        </w:rPr>
        <w:t xml:space="preserve"> предоставлению доступа к сети Интернет </w:t>
      </w:r>
      <w:r>
        <w:rPr>
          <w:rFonts w:ascii="Tinos" w:hAnsi="Tinos" w:cs="Tinos"/>
          <w:b/>
          <w:bCs/>
          <w:sz w:val="24"/>
          <w:szCs w:val="24"/>
          <w:shd w:val="clear" w:color="auto" w:fill="ffffff"/>
        </w:rPr>
      </w:r>
      <w:r>
        <w:rPr>
          <w:rFonts w:ascii="Tinos" w:hAnsi="Tinos" w:cs="Tinos"/>
          <w:b/>
          <w:bCs/>
          <w:sz w:val="24"/>
          <w:szCs w:val="24"/>
          <w:shd w:val="clear" w:color="auto" w:fill="ffffff"/>
        </w:rPr>
      </w:r>
    </w:p>
    <w:p>
      <w:pPr>
        <w:pStyle w:val="924"/>
        <w:contextualSpacing/>
        <w:ind w:firstLine="567"/>
        <w:jc w:val="both"/>
        <w:rPr>
          <w:rFonts w:ascii="Tinos" w:hAnsi="Tinos" w:cs="Tinos"/>
          <w:bCs/>
          <w:sz w:val="24"/>
          <w:szCs w:val="24"/>
        </w:rPr>
        <w:suppressLineNumbers w:val="0"/>
      </w:pP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eastAsia="Tinos" w:cs="Tinos"/>
          <w:b/>
          <w:bCs/>
          <w:sz w:val="24"/>
          <w:szCs w:val="24"/>
        </w:rPr>
        <w:t xml:space="preserve">П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редмет закупки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: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Cs/>
          <w:sz w:val="24"/>
          <w:szCs w:val="24"/>
        </w:rPr>
        <w:t xml:space="preserve">у</w:t>
      </w:r>
      <w:r>
        <w:rPr>
          <w:rFonts w:ascii="Tinos" w:hAnsi="Tinos" w:eastAsia="Tinos" w:cs="Tinos"/>
          <w:bCs/>
          <w:sz w:val="24"/>
          <w:szCs w:val="24"/>
        </w:rPr>
        <w:t xml:space="preserve">слуги по предоставлению доступа к сети </w:t>
      </w:r>
      <w:r>
        <w:rPr>
          <w:rFonts w:ascii="Tinos" w:hAnsi="Tinos" w:eastAsia="Tinos" w:cs="Tinos"/>
          <w:bCs/>
          <w:sz w:val="24"/>
          <w:szCs w:val="24"/>
        </w:rPr>
        <w:t xml:space="preserve">Интернет 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pStyle w:val="924"/>
        <w:contextualSpacing/>
        <w:ind w:firstLine="567"/>
        <w:jc w:val="both"/>
        <w:rPr>
          <w:rFonts w:ascii="Tinos" w:hAnsi="Tinos" w:cs="Tinos"/>
          <w:b/>
          <w:sz w:val="24"/>
          <w:szCs w:val="24"/>
        </w:rPr>
        <w:suppressLineNumbers w:val="0"/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  <w:t xml:space="preserve">Код </w:t>
      </w:r>
      <w:r>
        <w:rPr>
          <w:rFonts w:ascii="Tinos" w:hAnsi="Tinos" w:eastAsia="Tinos" w:cs="Tinos"/>
          <w:b/>
          <w:sz w:val="24"/>
          <w:szCs w:val="24"/>
        </w:rPr>
        <w:t xml:space="preserve">МПИ: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924"/>
        <w:contextualSpacing/>
        <w:ind w:firstLine="567"/>
        <w:jc w:val="both"/>
        <w:rPr>
          <w:rFonts w:ascii="Tinos" w:hAnsi="Tinos" w:cs="Tinos"/>
          <w:b/>
          <w:sz w:val="24"/>
          <w:szCs w:val="24"/>
        </w:rPr>
        <w:suppressLineNumbers w:val="0"/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«Эксплуатация объекта учета </w:t>
      </w:r>
      <w:r>
        <w:rPr>
          <w:rFonts w:ascii="Tinos" w:hAnsi="Tinos" w:eastAsia="Tinos" w:cs="Tinos"/>
          <w:sz w:val="24"/>
          <w:szCs w:val="24"/>
        </w:rPr>
        <w:t xml:space="preserve">ТКИ </w:t>
      </w:r>
      <w:r>
        <w:rPr>
          <w:rFonts w:ascii="Tinos" w:hAnsi="Tinos" w:eastAsia="Tinos" w:cs="Tinos"/>
          <w:sz w:val="24"/>
          <w:szCs w:val="24"/>
        </w:rPr>
        <w:t xml:space="preserve">ТО»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(</w:t>
      </w:r>
      <w:r>
        <w:rPr>
          <w:rFonts w:ascii="Tinos" w:hAnsi="Tinos" w:eastAsia="Tinos" w:cs="Tinos"/>
          <w:sz w:val="24"/>
          <w:szCs w:val="24"/>
        </w:rPr>
        <w:t xml:space="preserve">321.001А3931.19.Э.20193.26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924"/>
        <w:contextualSpacing/>
        <w:ind w:firstLine="567"/>
        <w:jc w:val="both"/>
        <w:rPr>
          <w:rFonts w:ascii="Tinos" w:hAnsi="Tinos" w:cs="Tinos"/>
          <w:b/>
          <w:sz w:val="24"/>
          <w:szCs w:val="24"/>
        </w:rPr>
        <w:suppressLineNumbers w:val="0"/>
      </w:pPr>
      <w:r>
        <w:rPr>
          <w:rFonts w:ascii="Tinos" w:hAnsi="Tinos" w:eastAsia="Tinos" w:cs="Tinos"/>
          <w:b/>
          <w:sz w:val="24"/>
          <w:szCs w:val="24"/>
        </w:rPr>
        <w:t xml:space="preserve">Код ОКПД2</w:t>
      </w:r>
      <w:r>
        <w:rPr>
          <w:rFonts w:ascii="Tinos" w:hAnsi="Tinos" w:eastAsia="Tinos" w:cs="Tinos"/>
          <w:b/>
          <w:sz w:val="24"/>
          <w:szCs w:val="24"/>
        </w:rPr>
        <w:t xml:space="preserve">: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924"/>
        <w:contextualSpacing/>
        <w:ind w:firstLine="567"/>
        <w:jc w:val="both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«</w:t>
      </w:r>
      <w:r>
        <w:rPr>
          <w:rFonts w:ascii="Tinos" w:hAnsi="Tinos" w:eastAsia="Tinos" w:cs="Tinos"/>
          <w:sz w:val="24"/>
          <w:szCs w:val="24"/>
          <w:shd w:val="clear" w:color="auto" w:fill="ffffff"/>
        </w:rPr>
        <w:t xml:space="preserve">Услуги </w:t>
      </w:r>
      <w:r>
        <w:rPr>
          <w:rFonts w:ascii="Tinos" w:hAnsi="Tinos" w:eastAsia="Tinos" w:cs="Tinos"/>
          <w:sz w:val="24"/>
          <w:szCs w:val="24"/>
          <w:shd w:val="clear" w:color="auto" w:fill="ffffff"/>
        </w:rPr>
        <w:t xml:space="preserve">по широкополосному доступу к информационно-коммуникационной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4"/>
        <w:contextualSpacing/>
        <w:ind w:firstLine="567"/>
        <w:jc w:val="both"/>
        <w:rPr>
          <w:rFonts w:ascii="Tinos" w:hAnsi="Tinos" w:cs="Tinos"/>
          <w:sz w:val="24"/>
          <w:szCs w:val="24"/>
          <w:shd w:val="clear" w:color="auto" w:fill="ffffff"/>
        </w:rPr>
        <w:suppressLineNumbers w:val="0"/>
      </w:pPr>
      <w:r>
        <w:rPr>
          <w:rFonts w:ascii="Tinos" w:hAnsi="Tinos" w:eastAsia="Tinos" w:cs="Tinos"/>
          <w:sz w:val="24"/>
          <w:szCs w:val="24"/>
          <w:shd w:val="clear" w:color="auto" w:fill="ffffff"/>
        </w:rPr>
        <w:t xml:space="preserve">сети Интернет по проводным сетям» (61.10.43.000)</w:t>
      </w:r>
      <w:r>
        <w:rPr>
          <w:rFonts w:ascii="Tinos" w:hAnsi="Tinos" w:cs="Tinos"/>
          <w:sz w:val="24"/>
          <w:szCs w:val="24"/>
          <w:shd w:val="clear" w:color="auto" w:fill="ffffff"/>
        </w:rPr>
      </w:r>
      <w:r>
        <w:rPr>
          <w:rFonts w:ascii="Tinos" w:hAnsi="Tinos" w:cs="Tinos"/>
          <w:sz w:val="24"/>
          <w:szCs w:val="24"/>
          <w:shd w:val="clear" w:color="auto" w:fill="ffffff"/>
        </w:rPr>
      </w:r>
    </w:p>
    <w:p>
      <w:pPr>
        <w:pStyle w:val="924"/>
        <w:contextualSpacing/>
        <w:ind w:firstLine="567"/>
        <w:jc w:val="both"/>
        <w:rPr>
          <w:rFonts w:ascii="Tinos" w:hAnsi="Tinos" w:cs="Tinos"/>
          <w:sz w:val="24"/>
          <w:szCs w:val="24"/>
          <w:shd w:val="clear" w:color="auto" w:fill="ffffff"/>
        </w:rPr>
        <w:suppressLineNumbers w:val="0"/>
      </w:pPr>
      <w:r>
        <w:rPr>
          <w:rFonts w:ascii="Tinos" w:hAnsi="Tinos" w:eastAsia="Tinos" w:cs="Tinos"/>
          <w:sz w:val="24"/>
          <w:szCs w:val="24"/>
          <w:shd w:val="clear" w:color="auto" w:fill="ffffff"/>
        </w:rPr>
      </w:r>
      <w:r>
        <w:rPr>
          <w:rFonts w:ascii="Tinos" w:hAnsi="Tinos" w:cs="Tinos"/>
          <w:sz w:val="24"/>
          <w:szCs w:val="24"/>
          <w:shd w:val="clear" w:color="auto" w:fill="ffffff"/>
        </w:rPr>
      </w:r>
      <w:r>
        <w:rPr>
          <w:rFonts w:ascii="Tinos" w:hAnsi="Tinos" w:cs="Tinos"/>
          <w:sz w:val="24"/>
          <w:szCs w:val="24"/>
          <w:shd w:val="clear" w:color="auto" w:fill="ffffff"/>
        </w:rPr>
      </w:r>
    </w:p>
    <w:p>
      <w:pPr>
        <w:pStyle w:val="924"/>
        <w:contextualSpacing/>
        <w:ind w:firstLine="567"/>
        <w:jc w:val="both"/>
        <w:spacing w:line="360" w:lineRule="auto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  <w:u w:val="none"/>
        </w:rPr>
        <w:t xml:space="preserve">Единица измерения</w:t>
      </w:r>
      <w:r>
        <w:rPr>
          <w:rFonts w:ascii="Tinos" w:hAnsi="Tinos" w:eastAsia="Tinos" w:cs="Tinos"/>
          <w:b/>
          <w:sz w:val="24"/>
          <w:szCs w:val="24"/>
          <w:u w:val="none"/>
        </w:rPr>
        <w:t xml:space="preserve">: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месяц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4"/>
        <w:contextualSpacing/>
        <w:ind w:firstLine="567"/>
        <w:jc w:val="both"/>
        <w:rPr>
          <w:rFonts w:ascii="Tinos" w:hAnsi="Tinos" w:cs="Tinos"/>
          <w:b/>
          <w:bCs/>
          <w:sz w:val="24"/>
          <w:szCs w:val="24"/>
        </w:rPr>
        <w:suppressLineNumbers w:val="0"/>
      </w:pPr>
      <w:r>
        <w:rPr>
          <w:rFonts w:ascii="Tinos" w:hAnsi="Tinos" w:eastAsia="Tinos" w:cs="Tinos"/>
          <w:b/>
          <w:bCs/>
          <w:sz w:val="24"/>
          <w:szCs w:val="24"/>
        </w:rPr>
        <w:t xml:space="preserve">Характеристики услуги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924"/>
        <w:contextualSpacing/>
        <w:ind w:firstLine="567"/>
        <w:jc w:val="both"/>
        <w:spacing w:line="360" w:lineRule="auto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882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709"/>
        <w:gridCol w:w="2631"/>
        <w:gridCol w:w="2626"/>
        <w:gridCol w:w="855"/>
      </w:tblGrid>
      <w:tr>
        <w:tblPrEx/>
        <w:trPr/>
        <w:tc>
          <w:tcPr>
            <w:tcW w:w="2709" w:type="dxa"/>
            <w:vAlign w:val="center"/>
            <w:textDirection w:val="lrTb"/>
            <w:noWrap w:val="false"/>
          </w:tcPr>
          <w:p>
            <w:pPr>
              <w:pStyle w:val="924"/>
              <w:contextualSpacing/>
              <w:ind w:firstLine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Наименование услуги 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  <w:tc>
          <w:tcPr>
            <w:tcW w:w="2631" w:type="dxa"/>
            <w:vAlign w:val="center"/>
            <w:textDirection w:val="lrTb"/>
            <w:noWrap w:val="false"/>
          </w:tcPr>
          <w:p>
            <w:pPr>
              <w:pStyle w:val="924"/>
              <w:contextualSpacing/>
              <w:ind w:firstLine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Значение характеристики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  <w:tc>
          <w:tcPr>
            <w:tcW w:w="2626" w:type="dxa"/>
            <w:vAlign w:val="center"/>
            <w:textDirection w:val="lrTb"/>
            <w:noWrap w:val="false"/>
          </w:tcPr>
          <w:p>
            <w:pPr>
              <w:pStyle w:val="924"/>
              <w:contextualSpacing/>
              <w:ind w:firstLine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Единица измерения характеристики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  <w:tc>
          <w:tcPr>
            <w:tcW w:w="855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rPr>
                <w:rFonts w:ascii="Tinos" w:hAnsi="Tinos" w:cs="Tinos"/>
                <w:color w:val="000000"/>
                <w:sz w:val="24"/>
                <w:szCs w:val="24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Тип услуги</w:t>
            </w:r>
            <w:r>
              <w:rPr>
                <w:rFonts w:ascii="Tinos" w:hAnsi="Tinos" w:cs="Tinos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2709" w:type="dxa"/>
            <w:vAlign w:val="center"/>
            <w:textDirection w:val="lrTb"/>
            <w:noWrap w:val="false"/>
          </w:tcPr>
          <w:p>
            <w:pPr>
              <w:pStyle w:val="924"/>
              <w:ind w:firstLine="0"/>
              <w:jc w:val="center"/>
              <w:rPr>
                <w:rFonts w:ascii="Tinos" w:hAnsi="Tinos" w:cs="Tinos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Услуги по предоставлению доступа к сети   Интернет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  <w:tc>
          <w:tcPr>
            <w:tcW w:w="263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firstLine="0"/>
              <w:jc w:val="left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hint="default" w:ascii="Tinos" w:hAnsi="Tinos" w:eastAsia="Tinos" w:cs="Tinos"/>
                <w:sz w:val="24"/>
                <w:szCs w:val="24"/>
              </w:rPr>
              <w:t xml:space="preserve">               </w:t>
            </w:r>
            <w:r>
              <w:rPr>
                <w:rFonts w:hint="default" w:ascii="Tinos" w:hAnsi="Tinos" w:eastAsia="Tinos" w:cs="Tinos"/>
                <w:sz w:val="24"/>
                <w:szCs w:val="24"/>
              </w:rPr>
              <w:t xml:space="preserve">≥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50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924"/>
              <w:ind w:firstLine="0"/>
              <w:jc w:val="center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2626" w:type="dxa"/>
            <w:vAlign w:val="center"/>
            <w:textDirection w:val="lrTb"/>
            <w:noWrap w:val="false"/>
          </w:tcPr>
          <w:p>
            <w:pPr>
              <w:pStyle w:val="924"/>
              <w:ind w:firstLine="0"/>
              <w:jc w:val="center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Мегабит в секунду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855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rPr>
                <w:rFonts w:ascii="Tinos" w:hAnsi="Tinos" w:cs="Tinos"/>
                <w:color w:val="000000"/>
                <w:sz w:val="24"/>
                <w:szCs w:val="24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Проводной доступ</w:t>
            </w:r>
            <w:r>
              <w:rPr>
                <w:rFonts w:ascii="Tinos" w:hAnsi="Tinos" w:cs="Tinos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pStyle w:val="924"/>
        <w:contextualSpacing/>
        <w:ind w:firstLine="567"/>
        <w:jc w:val="center"/>
        <w:rPr>
          <w:rFonts w:ascii="Tinos" w:hAnsi="Tinos" w:cs="Tinos"/>
          <w:b/>
          <w:sz w:val="24"/>
          <w:szCs w:val="24"/>
        </w:rPr>
        <w:suppressLineNumbers w:val="0"/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924"/>
        <w:contextualSpacing/>
        <w:ind w:firstLine="567"/>
        <w:jc w:val="both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b/>
          <w:sz w:val="24"/>
          <w:szCs w:val="24"/>
        </w:rPr>
        <w:t xml:space="preserve">Периодичность</w:t>
      </w:r>
      <w:r>
        <w:rPr>
          <w:rFonts w:ascii="Tinos" w:hAnsi="Tinos" w:eastAsia="Tinos" w:cs="Tinos"/>
          <w:b/>
          <w:sz w:val="24"/>
          <w:szCs w:val="24"/>
        </w:rPr>
        <w:t xml:space="preserve">:</w:t>
      </w:r>
      <w:r>
        <w:rPr>
          <w:rFonts w:ascii="Tinos" w:hAnsi="Tinos" w:eastAsia="Tinos" w:cs="Tinos"/>
          <w:sz w:val="24"/>
          <w:szCs w:val="24"/>
        </w:rPr>
        <w:t xml:space="preserve"> ежемесячно.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4"/>
        <w:contextualSpacing/>
        <w:ind w:firstLine="567"/>
        <w:jc w:val="both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4"/>
        <w:contextualSpacing/>
        <w:ind w:firstLine="567"/>
        <w:jc w:val="both"/>
        <w:tabs>
          <w:tab w:val="left" w:pos="567" w:leader="none"/>
        </w:tabs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  <w:t xml:space="preserve">Срок оказания услуг</w:t>
      </w:r>
      <w:r>
        <w:rPr>
          <w:rFonts w:ascii="Tinos" w:hAnsi="Tinos" w:eastAsia="Tinos" w:cs="Tinos"/>
          <w:b/>
          <w:sz w:val="24"/>
          <w:szCs w:val="24"/>
        </w:rPr>
        <w:t xml:space="preserve">: </w:t>
      </w:r>
      <w:r>
        <w:rPr>
          <w:rFonts w:ascii="Tinos" w:hAnsi="Tinos" w:eastAsia="Tinos" w:cs="Tinos"/>
          <w:sz w:val="24"/>
          <w:szCs w:val="24"/>
        </w:rPr>
        <w:t xml:space="preserve">с </w:t>
      </w:r>
      <w:r>
        <w:rPr>
          <w:rFonts w:ascii="Tinos" w:hAnsi="Tinos" w:eastAsia="Tinos" w:cs="Tinos"/>
          <w:bCs/>
          <w:iCs/>
          <w:spacing w:val="-1"/>
          <w:sz w:val="24"/>
          <w:szCs w:val="24"/>
        </w:rPr>
        <w:t xml:space="preserve">01 января 2027</w:t>
      </w:r>
      <w:r>
        <w:rPr>
          <w:rFonts w:ascii="Tinos" w:hAnsi="Tinos" w:eastAsia="Tinos" w:cs="Tinos"/>
          <w:bCs/>
          <w:iCs/>
          <w:spacing w:val="-1"/>
          <w:sz w:val="24"/>
          <w:szCs w:val="24"/>
        </w:rPr>
        <w:t xml:space="preserve"> года по 31 дека</w:t>
      </w:r>
      <w:r>
        <w:rPr>
          <w:rFonts w:ascii="Tinos" w:hAnsi="Tinos" w:eastAsia="Tinos" w:cs="Tinos"/>
          <w:bCs/>
          <w:iCs/>
          <w:spacing w:val="-1"/>
          <w:sz w:val="24"/>
          <w:szCs w:val="24"/>
        </w:rPr>
        <w:t xml:space="preserve">бря</w:t>
      </w:r>
      <w:r>
        <w:rPr>
          <w:rFonts w:ascii="Tinos" w:hAnsi="Tinos" w:eastAsia="Tinos" w:cs="Tinos"/>
          <w:sz w:val="24"/>
          <w:szCs w:val="24"/>
        </w:rPr>
        <w:t xml:space="preserve"> 2028 </w:t>
      </w:r>
      <w:r>
        <w:rPr>
          <w:rFonts w:ascii="Tinos" w:hAnsi="Tinos" w:eastAsia="Tinos" w:cs="Tinos"/>
          <w:sz w:val="24"/>
          <w:szCs w:val="24"/>
        </w:rPr>
        <w:t xml:space="preserve">года.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4"/>
        <w:ind w:firstLine="567"/>
        <w:jc w:val="both"/>
        <w:spacing w:line="276" w:lineRule="auto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</w:rPr>
        <w:t xml:space="preserve">В случае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если стоимость оказанных услуг достигла суммы заключённого контракта</w:t>
      </w:r>
      <w:r>
        <w:rPr>
          <w:rFonts w:ascii="Tinos" w:hAnsi="Tinos" w:eastAsia="Tinos" w:cs="Tinos"/>
          <w:sz w:val="24"/>
          <w:szCs w:val="24"/>
        </w:rPr>
        <w:t xml:space="preserve"> до истечения срока оказания услуг, обязательства Сторон прекращаются и услуги считаются оказанными.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4"/>
        <w:contextualSpacing/>
        <w:ind w:firstLine="567"/>
        <w:jc w:val="both"/>
        <w:tabs>
          <w:tab w:val="left" w:pos="851" w:leader="none"/>
        </w:tabs>
        <w:rPr>
          <w:rFonts w:ascii="Tinos" w:hAnsi="Tinos" w:cs="Tinos"/>
          <w:b/>
          <w:sz w:val="24"/>
          <w:szCs w:val="24"/>
        </w:rPr>
        <w:suppressLineNumbers w:val="0"/>
      </w:pPr>
      <w:r>
        <w:rPr>
          <w:rFonts w:ascii="Tinos" w:hAnsi="Tinos" w:eastAsia="Tinos" w:cs="Tinos"/>
          <w:b/>
          <w:sz w:val="24"/>
          <w:szCs w:val="24"/>
        </w:rPr>
        <w:t xml:space="preserve">Условия оказания услуг: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924"/>
        <w:contextualSpacing/>
        <w:ind w:firstLine="567"/>
        <w:jc w:val="both"/>
        <w:spacing w:line="276" w:lineRule="auto"/>
        <w:tabs>
          <w:tab w:val="left" w:pos="851" w:leader="none"/>
        </w:tabs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</w:rPr>
        <w:t xml:space="preserve">1. Организация цифровой линии связи («последней мили») для доступа сети Заказчика к сети магистральных каналов Исполнителя входит в объем услуги по данному контракту. Подключение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«последней мили» производит</w:t>
      </w:r>
      <w:r>
        <w:rPr>
          <w:rFonts w:ascii="Tinos" w:hAnsi="Tinos" w:eastAsia="Tinos" w:cs="Tinos"/>
          <w:sz w:val="24"/>
          <w:szCs w:val="24"/>
        </w:rPr>
        <w:t xml:space="preserve">с</w:t>
      </w:r>
      <w:r>
        <w:rPr>
          <w:rFonts w:ascii="Tinos" w:hAnsi="Tinos" w:eastAsia="Tinos" w:cs="Tinos"/>
          <w:sz w:val="24"/>
          <w:szCs w:val="24"/>
        </w:rPr>
        <w:t xml:space="preserve">я по адресу по адресу: г. В. Новгород, ул. Октябрьская, д. 17, каб. 206а (серверное помещение, 2-й этаж). Все подготовительные технические работы, необходимые для исполнения государственного контракта (подключение «последней мили» и т.п.), выполняются Испо</w:t>
      </w:r>
      <w:r>
        <w:rPr>
          <w:rFonts w:ascii="Tinos" w:hAnsi="Tinos" w:eastAsia="Tinos" w:cs="Tinos"/>
          <w:sz w:val="24"/>
          <w:szCs w:val="24"/>
        </w:rPr>
        <w:t xml:space="preserve">лнителем за свой счёт с момента </w:t>
      </w:r>
      <w:r>
        <w:rPr>
          <w:rFonts w:ascii="Tinos" w:hAnsi="Tinos" w:eastAsia="Tinos" w:cs="Tinos"/>
          <w:sz w:val="24"/>
          <w:szCs w:val="24"/>
        </w:rPr>
        <w:t xml:space="preserve">подписания</w:t>
      </w:r>
      <w:r>
        <w:rPr>
          <w:rFonts w:ascii="Tinos" w:hAnsi="Tinos" w:eastAsia="Tinos" w:cs="Tinos"/>
          <w:sz w:val="24"/>
          <w:szCs w:val="24"/>
        </w:rPr>
        <w:t xml:space="preserve">  контракта и не позднее даты начала оказания услуг. Работы на территории Заказчика проводятся Исполнителем по согласованию и в присутствии представителя Заказчика. При выполнении технических работ Исполнитель обязан учитывать, что работы будут проводить</w:t>
      </w:r>
      <w:r>
        <w:rPr>
          <w:rFonts w:ascii="Tinos" w:hAnsi="Tinos" w:eastAsia="Tinos" w:cs="Tinos"/>
          <w:sz w:val="24"/>
          <w:szCs w:val="24"/>
        </w:rPr>
        <w:t xml:space="preserve">ся в эксплуатируемом здании, должны соблюдаться правила техники безопасности, охраны труда и противопожарной безопасности. При порче имущества Заказчика и других собственников в период проведения работ, его восстановление производится за счет Исполнителя.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4"/>
        <w:contextualSpacing/>
        <w:ind w:firstLine="567"/>
        <w:jc w:val="both"/>
        <w:spacing w:line="276" w:lineRule="auto"/>
        <w:tabs>
          <w:tab w:val="left" w:pos="851" w:leader="none"/>
        </w:tabs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</w:rPr>
        <w:t xml:space="preserve">2. В качестве физической среды передачи «последне</w:t>
      </w:r>
      <w:r>
        <w:rPr>
          <w:rFonts w:ascii="Tinos" w:hAnsi="Tinos" w:eastAsia="Tinos" w:cs="Tinos"/>
          <w:sz w:val="24"/>
          <w:szCs w:val="24"/>
        </w:rPr>
        <w:t xml:space="preserve">й мили» Исполнитель </w:t>
      </w:r>
      <w:r>
        <w:rPr>
          <w:rFonts w:ascii="Tinos" w:hAnsi="Tinos" w:eastAsia="Tinos" w:cs="Tinos"/>
          <w:sz w:val="24"/>
          <w:szCs w:val="24"/>
        </w:rPr>
        <w:t xml:space="preserve">обязан  использовать волокон</w:t>
      </w:r>
      <w:r>
        <w:rPr>
          <w:rFonts w:ascii="Tinos" w:hAnsi="Tinos" w:eastAsia="Tinos" w:cs="Tinos"/>
          <w:sz w:val="24"/>
          <w:szCs w:val="24"/>
        </w:rPr>
        <w:t xml:space="preserve">но-оптический канал или «</w:t>
      </w:r>
      <w:r>
        <w:rPr>
          <w:rFonts w:ascii="Tinos" w:hAnsi="Tinos" w:eastAsia="Tinos" w:cs="Tinos"/>
          <w:sz w:val="24"/>
          <w:szCs w:val="24"/>
        </w:rPr>
        <w:t xml:space="preserve">медную </w:t>
      </w:r>
      <w:r>
        <w:rPr>
          <w:rFonts w:ascii="Tinos" w:hAnsi="Tinos" w:eastAsia="Tinos" w:cs="Tinos"/>
          <w:sz w:val="24"/>
          <w:szCs w:val="24"/>
        </w:rPr>
        <w:t xml:space="preserve">витую </w:t>
      </w:r>
      <w:r>
        <w:rPr>
          <w:rFonts w:ascii="Tinos" w:hAnsi="Tinos" w:eastAsia="Tinos" w:cs="Tinos"/>
          <w:sz w:val="24"/>
          <w:szCs w:val="24"/>
        </w:rPr>
        <w:t xml:space="preserve">пару», конечный интерфейс подключения </w:t>
      </w:r>
      <w:r>
        <w:rPr>
          <w:rFonts w:ascii="Tinos" w:hAnsi="Tinos" w:eastAsia="Tinos" w:cs="Tinos"/>
          <w:sz w:val="24"/>
          <w:szCs w:val="24"/>
        </w:rPr>
        <w:t xml:space="preserve">–</w:t>
      </w:r>
      <w:r>
        <w:rPr>
          <w:rFonts w:ascii="Tinos" w:hAnsi="Tinos" w:eastAsia="Tinos" w:cs="Tinos"/>
          <w:sz w:val="24"/>
          <w:szCs w:val="24"/>
        </w:rPr>
        <w:t xml:space="preserve"> FastEthernet RJ 4</w:t>
      </w:r>
      <w:r>
        <w:rPr>
          <w:rFonts w:ascii="Tinos" w:hAnsi="Tinos" w:eastAsia="Tinos" w:cs="Tinos"/>
          <w:sz w:val="24"/>
          <w:szCs w:val="24"/>
        </w:rPr>
        <w:t xml:space="preserve">5, с пропускной способностью не менее </w:t>
      </w:r>
      <w:r>
        <w:rPr>
          <w:rFonts w:ascii="Tinos" w:hAnsi="Tinos" w:eastAsia="Tinos" w:cs="Tinos"/>
          <w:sz w:val="24"/>
          <w:szCs w:val="24"/>
        </w:rPr>
        <w:t xml:space="preserve">100 Мбит/с, режим приема-передачи данных – синхронный.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4"/>
        <w:contextualSpacing/>
        <w:ind w:firstLine="567"/>
        <w:jc w:val="both"/>
        <w:spacing w:line="276" w:lineRule="auto"/>
        <w:tabs>
          <w:tab w:val="left" w:pos="851" w:leader="none"/>
        </w:tabs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</w:rPr>
        <w:t xml:space="preserve">3. Исполнитель на весь срок действия контракта обеспечивает предоставление 1 (одного) статичного IP-адреса.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4"/>
        <w:contextualSpacing/>
        <w:ind w:firstLine="567"/>
        <w:jc w:val="both"/>
        <w:spacing w:line="276" w:lineRule="auto"/>
        <w:tabs>
          <w:tab w:val="left" w:pos="851" w:leader="none"/>
        </w:tabs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</w:rPr>
        <w:t xml:space="preserve">4. Форма учёта трафика – безлимитный, на приём и передачу объёма трафика по месту предоставления услуги.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4"/>
        <w:contextualSpacing/>
        <w:ind w:firstLine="567"/>
        <w:jc w:val="both"/>
        <w:spacing w:line="276" w:lineRule="auto"/>
        <w:tabs>
          <w:tab w:val="left" w:pos="851" w:leader="none"/>
        </w:tabs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</w:rPr>
        <w:t xml:space="preserve">5. Протоколы передачи данных – стек протоколов TCP/IP.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4"/>
        <w:ind w:firstLine="567"/>
        <w:jc w:val="both"/>
        <w:spacing w:line="276" w:lineRule="auto"/>
        <w:rPr>
          <w:rFonts w:ascii="Tinos" w:hAnsi="Tinos" w:cs="Tinos"/>
          <w:color w:val="000000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</w:rPr>
        <w:t xml:space="preserve">6.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Предоставление услуг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 осуществляется круглосуточно,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 без перерывов в рабочие дни, за исключением проведения ремонтных и профилактических работ. О планируемых перерывах цифровой линий связи передачи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данных,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связанных с проведением рем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онтных и профилактических работ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,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Исполнитель предупреждает Управление Росре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естра по Новгородской области (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далее </w:t>
      </w:r>
      <w:r>
        <w:rPr>
          <w:rFonts w:ascii="Tinos" w:hAnsi="Tinos" w:eastAsia="Tinos" w:cs="Tinos"/>
          <w:sz w:val="24"/>
          <w:szCs w:val="24"/>
        </w:rPr>
        <w:t xml:space="preserve">–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Управление) письменно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(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по факсу или по электронной почте) не позднее, чем за 24 часа.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pStyle w:val="924"/>
        <w:ind w:firstLine="567"/>
        <w:jc w:val="both"/>
        <w:spacing w:line="276" w:lineRule="auto"/>
        <w:rPr>
          <w:rFonts w:ascii="Tinos" w:hAnsi="Tinos" w:cs="Tinos"/>
          <w:color w:val="000000"/>
          <w:sz w:val="24"/>
          <w:szCs w:val="24"/>
        </w:rPr>
        <w:suppressLineNumbers w:val="0"/>
      </w:pPr>
      <w:r>
        <w:rPr>
          <w:rFonts w:ascii="Tinos" w:hAnsi="Tinos" w:eastAsia="Tinos" w:cs="Tinos"/>
          <w:color w:val="000000"/>
          <w:sz w:val="24"/>
          <w:szCs w:val="24"/>
        </w:rPr>
        <w:t xml:space="preserve">Исполнитель обеспечивает оперативное решение всех вопросов и возникающих затруднений по оказываемым услугам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.</w:t>
      </w:r>
      <w:r>
        <w:rPr>
          <w:rFonts w:ascii="Tinos" w:hAnsi="Tinos" w:eastAsia="Tinos" w:cs="Tinos"/>
          <w:b/>
          <w:bCs/>
          <w:lang w:eastAsia="ru-RU"/>
        </w:rPr>
        <w:t xml:space="preserve">   </w:t>
      </w:r>
      <w:r>
        <w:rPr>
          <w:rFonts w:ascii="Tinos" w:hAnsi="Tinos" w:eastAsia="Tinos" w:cs="Tinos"/>
          <w:b/>
          <w:bCs/>
          <w:lang w:eastAsia="ru-RU"/>
        </w:rPr>
        <w:t xml:space="preserve">        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pStyle w:val="924"/>
        <w:contextualSpacing/>
        <w:ind w:firstLine="567"/>
        <w:jc w:val="both"/>
        <w:spacing w:line="276" w:lineRule="auto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Требование к исполнителю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: </w:t>
      </w:r>
      <w:r>
        <w:rPr>
          <w:rFonts w:ascii="Tinos" w:hAnsi="Tinos" w:eastAsia="Tinos" w:cs="Tinos"/>
          <w:sz w:val="24"/>
          <w:szCs w:val="24"/>
        </w:rPr>
        <w:t xml:space="preserve">наличие действующей лицензии, в соответствии с </w:t>
      </w:r>
      <w:r>
        <w:rPr>
          <w:rFonts w:ascii="Tinos" w:hAnsi="Tinos" w:eastAsia="Tinos" w:cs="Tinos"/>
          <w:sz w:val="24"/>
          <w:szCs w:val="24"/>
        </w:rPr>
        <w:t xml:space="preserve">Федеральным законом от 4 мая 2011 года N 99-ФЗ</w:t>
      </w:r>
      <w:r>
        <w:rPr>
          <w:rFonts w:ascii="Tinos" w:hAnsi="Tinos" w:eastAsia="Tinos" w:cs="Tinos"/>
          <w:sz w:val="24"/>
          <w:szCs w:val="24"/>
        </w:rPr>
        <w:t xml:space="preserve"> «</w:t>
      </w:r>
      <w:r>
        <w:rPr>
          <w:rFonts w:ascii="Tinos" w:hAnsi="Tinos" w:eastAsia="Tinos" w:cs="Tinos"/>
          <w:sz w:val="24"/>
          <w:szCs w:val="24"/>
        </w:rPr>
        <w:t xml:space="preserve">О лицензировании </w:t>
      </w:r>
      <w:r>
        <w:rPr>
          <w:rFonts w:ascii="Tinos" w:hAnsi="Tinos" w:eastAsia="Tinos" w:cs="Tinos"/>
          <w:sz w:val="24"/>
          <w:szCs w:val="24"/>
        </w:rPr>
        <w:t xml:space="preserve">отдельных видов деятельности»,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выданной Федеральной службой по надзору в сфере информационных технологий и массовых </w:t>
      </w:r>
      <w:r>
        <w:rPr>
          <w:rFonts w:ascii="Tinos" w:hAnsi="Tinos" w:eastAsia="Tinos" w:cs="Tinos"/>
          <w:sz w:val="24"/>
          <w:szCs w:val="24"/>
        </w:rPr>
        <w:t xml:space="preserve">коммуникаций на предоставление: </w:t>
      </w:r>
      <w:r>
        <w:rPr>
          <w:rFonts w:ascii="Tinos" w:hAnsi="Tinos" w:eastAsia="Tinos" w:cs="Tinos"/>
          <w:sz w:val="24"/>
          <w:szCs w:val="24"/>
        </w:rPr>
        <w:t xml:space="preserve">телематических услуг связи, услуги связи по передаче данных, за исключением услуг связи по передаче данных для целей передачи голосовой информации.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4"/>
        <w:contextualSpacing/>
        <w:ind w:firstLine="567"/>
        <w:jc w:val="both"/>
        <w:spacing w:after="200" w:line="276" w:lineRule="auto"/>
        <w:rPr>
          <w:rFonts w:ascii="Tinos" w:hAnsi="Tinos" w:cs="Tinos"/>
          <w:b/>
          <w:bCs/>
          <w:sz w:val="24"/>
          <w:szCs w:val="24"/>
        </w:rPr>
        <w:suppressLineNumbers w:val="0"/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Требование к качеству, безопасности, потребительским свойствам оказываемой услуги: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924"/>
        <w:ind w:firstLine="567"/>
        <w:jc w:val="both"/>
        <w:spacing w:line="276" w:lineRule="auto"/>
        <w:suppressLineNumbers w:val="0"/>
      </w:pPr>
      <w:r>
        <w:rPr>
          <w:rFonts w:ascii="Tinos" w:hAnsi="Tinos" w:eastAsia="Tinos" w:cs="Tinos"/>
          <w:sz w:val="24"/>
          <w:szCs w:val="24"/>
        </w:rPr>
        <w:t xml:space="preserve">Качество оказываемых Услуг должно соответствовать требованиям Федерального закона от 07.07.2003 № 126-ФЗ </w:t>
      </w:r>
      <w:r>
        <w:rPr>
          <w:rFonts w:ascii="Tinos" w:hAnsi="Tinos" w:eastAsia="Tinos" w:cs="Tinos"/>
          <w:sz w:val="24"/>
          <w:szCs w:val="24"/>
        </w:rPr>
        <w:t xml:space="preserve">«О связи», </w:t>
      </w:r>
      <w:r>
        <w:rPr>
          <w:rFonts w:ascii="Tinos" w:hAnsi="Tinos" w:eastAsia="Tinos" w:cs="Tinos"/>
          <w:sz w:val="24"/>
          <w:szCs w:val="24"/>
        </w:rPr>
        <w:t xml:space="preserve">постановление Правительства РФ от 30 декабря 2024 г. N 1994 «Об утверждении правил оказания услуг телефонной связи и перечня организаций, имеющих право осуществлять подтверждение сведений об абоненте - физическом лице», </w:t>
      </w:r>
      <w:r>
        <w:rPr>
          <w:rFonts w:ascii="Tinos" w:hAnsi="Tinos" w:eastAsia="Tinos" w:cs="Tinos"/>
          <w:sz w:val="24"/>
          <w:szCs w:val="24"/>
        </w:rPr>
        <w:t xml:space="preserve">приказ министерства цифрового развития, связи и массовых коммуникаций российской федерации от 25 ноября 2021 г. N 1229 «Об утверждении требований к организационно-техническому обеспечению устойчивого функционирования сети связи общего пользования»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/>
      <w:r>
        <w:rPr>
          <w:rFonts w:ascii="Tinos" w:hAnsi="Tinos" w:eastAsia="Tinos" w:cs="Tinos"/>
          <w:sz w:val="24"/>
          <w:szCs w:val="24"/>
        </w:rPr>
      </w:r>
    </w:p>
    <w:p>
      <w:pPr>
        <w:pStyle w:val="924"/>
        <w:ind w:firstLine="567"/>
        <w:jc w:val="both"/>
        <w:spacing w:line="276" w:lineRule="auto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</w:rPr>
        <w:t xml:space="preserve">При ока</w:t>
      </w:r>
      <w:r>
        <w:rPr>
          <w:rFonts w:ascii="Tinos" w:hAnsi="Tinos" w:eastAsia="Tinos" w:cs="Tinos"/>
          <w:sz w:val="24"/>
          <w:szCs w:val="24"/>
        </w:rPr>
        <w:t xml:space="preserve">зании услуг Исполнитель должен </w:t>
      </w:r>
      <w:r>
        <w:rPr>
          <w:rFonts w:ascii="Tinos" w:hAnsi="Tinos" w:eastAsia="Tinos" w:cs="Tinos"/>
          <w:sz w:val="24"/>
          <w:szCs w:val="24"/>
        </w:rPr>
        <w:t xml:space="preserve">обеспечить: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4"/>
        <w:numPr>
          <w:ilvl w:val="0"/>
          <w:numId w:val="25"/>
        </w:numPr>
        <w:contextualSpacing/>
        <w:ind w:firstLine="567"/>
        <w:jc w:val="both"/>
        <w:spacing w:line="276" w:lineRule="auto"/>
        <w:tabs>
          <w:tab w:val="left" w:pos="284" w:leader="none"/>
        </w:tabs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</w:rPr>
        <w:t xml:space="preserve">при оказании услуги</w:t>
      </w:r>
      <w:r>
        <w:rPr>
          <w:rFonts w:ascii="Tinos" w:hAnsi="Tinos" w:eastAsia="Tinos" w:cs="Tinos"/>
          <w:sz w:val="24"/>
          <w:szCs w:val="24"/>
        </w:rPr>
        <w:t xml:space="preserve"> по</w:t>
      </w:r>
      <w:r>
        <w:rPr>
          <w:rFonts w:ascii="Tinos" w:hAnsi="Tinos" w:eastAsia="Tinos" w:cs="Tinos"/>
          <w:sz w:val="24"/>
          <w:szCs w:val="24"/>
        </w:rPr>
        <w:t xml:space="preserve"> предоставлению доступа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к</w:t>
      </w:r>
      <w:r>
        <w:rPr>
          <w:rFonts w:ascii="Tinos" w:hAnsi="Tinos" w:eastAsia="Tinos" w:cs="Tinos"/>
          <w:sz w:val="24"/>
          <w:szCs w:val="24"/>
        </w:rPr>
        <w:t xml:space="preserve"> сети Интернет</w:t>
      </w:r>
      <w:r>
        <w:rPr>
          <w:rFonts w:ascii="Tinos" w:hAnsi="Tinos" w:eastAsia="Tinos" w:cs="Tinos"/>
          <w:sz w:val="24"/>
          <w:szCs w:val="24"/>
        </w:rPr>
        <w:t xml:space="preserve">: построение отказоустойчивой системы, предоставление для взаимодействия стандартизированных стеков, интерфейсов, поддержание стандартизированных протоколов для обмена данных; адаптацию к различным топологиям построения сети.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left"/>
        <w:spacing w:after="20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PT Serif" w:hAnsi="PT Serif" w:eastAsia="PT Serif" w:cs="PT Serif"/>
          <w:spacing w:val="7"/>
          <w:sz w:val="24"/>
          <w:szCs w:val="24"/>
          <w:u w:val="none"/>
          <w:lang w:eastAsia="ru-RU"/>
          <w14:ligatures w14:val="none"/>
        </w:rPr>
      </w:pPr>
      <w:r>
        <w:rPr>
          <w:rFonts w:ascii="PT Serif" w:hAnsi="PT Serif" w:eastAsia="PT Serif" w:cs="PT Serif"/>
          <w:spacing w:val="7"/>
          <w:sz w:val="24"/>
          <w:szCs w:val="24"/>
          <w:u w:val="none"/>
          <w:lang w:eastAsia="ru-RU"/>
          <w14:ligatures w14:val="none"/>
        </w:rPr>
      </w:r>
      <w:r>
        <w:rPr>
          <w:rFonts w:ascii="PT Serif" w:hAnsi="PT Serif" w:eastAsia="PT Serif" w:cs="PT Serif"/>
          <w:spacing w:val="7"/>
          <w:sz w:val="24"/>
          <w:szCs w:val="24"/>
          <w:u w:val="none"/>
          <w:lang w:eastAsia="ru-RU"/>
          <w14:ligatures w14:val="none"/>
        </w:rPr>
      </w:r>
      <w:r>
        <w:rPr>
          <w:rFonts w:ascii="PT Serif" w:hAnsi="PT Serif" w:eastAsia="PT Serif" w:cs="PT Serif"/>
          <w:spacing w:val="7"/>
          <w:sz w:val="24"/>
          <w:szCs w:val="24"/>
          <w:u w:val="none"/>
          <w:lang w:eastAsia="ru-RU"/>
          <w14:ligatures w14:val="none"/>
        </w:rPr>
      </w:r>
    </w:p>
    <w:p>
      <w:pPr>
        <w:contextualSpacing/>
        <w:jc w:val="both"/>
        <w:spacing w:after="120"/>
        <w:shd w:val="clear" w:color="auto" w:fill="ffffff"/>
        <w:tabs>
          <w:tab w:val="left" w:pos="993" w:leader="none"/>
        </w:tabs>
        <w:rPr>
          <w:rFonts w:eastAsia="Lucida Sans Unicode"/>
          <w:sz w:val="24"/>
          <w:szCs w:val="24"/>
          <w:lang w:eastAsia="en-US" w:bidi="en-US"/>
        </w:rPr>
      </w:pPr>
      <w:r>
        <w:rPr>
          <w:rFonts w:eastAsia="Lucida Sans Unicode"/>
          <w:sz w:val="24"/>
          <w:szCs w:val="24"/>
          <w:lang w:eastAsia="en-US" w:bidi="en-US"/>
        </w:rPr>
      </w:r>
      <w:r>
        <w:rPr>
          <w:rFonts w:eastAsia="Lucida Sans Unicode"/>
          <w:sz w:val="24"/>
          <w:szCs w:val="24"/>
          <w:lang w:eastAsia="en-US" w:bidi="en-US"/>
        </w:rPr>
      </w:r>
      <w:r>
        <w:rPr>
          <w:rFonts w:eastAsia="Lucida Sans Unicode"/>
          <w:sz w:val="24"/>
          <w:szCs w:val="24"/>
          <w:lang w:eastAsia="en-US" w:bidi="en-US"/>
        </w:rPr>
      </w:r>
    </w:p>
    <w:p>
      <w:pPr>
        <w:contextualSpacing/>
        <w:jc w:val="left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tbl>
      <w:tblPr>
        <w:tblStyle w:val="92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Приложение № 2 к контракту </w:t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                                                                           от «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___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» _________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2026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г. №46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ОБРАЗЕЦ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42"/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Акт оказанных услуг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right="-142"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№____ от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«___» __________ 2026  г.</w:t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по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контракту №  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 от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«___» __________ 2026 г.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right="-1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trike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Заказчик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Управлением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Росреестра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по Новгородской области</w:t>
      </w:r>
      <w:r>
        <w:rPr>
          <w:rFonts w:ascii="Tinos" w:hAnsi="Tinos" w:cs="Tinos"/>
          <w:strike/>
          <w:sz w:val="24"/>
          <w:szCs w:val="24"/>
        </w:rPr>
      </w:r>
      <w:r>
        <w:rPr>
          <w:rFonts w:ascii="Tinos" w:hAnsi="Tinos" w:cs="Tinos"/>
          <w:strike/>
          <w:sz w:val="24"/>
          <w:szCs w:val="24"/>
        </w:rPr>
      </w:r>
    </w:p>
    <w:p>
      <w:pPr>
        <w:contextualSpacing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Юридический адрес Заказчика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г. Великий Новгород, ул. Октябрьская, д. 17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lang w:eastAsia="ar-SA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Исполнитель: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Юридический адрес Исполнителя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tabs>
          <w:tab w:val="left" w:pos="590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Исполнителем в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соответствии с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контракт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ом №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  от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«___» __________ 2026 г.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б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ыли оказаны следующие услуги:</w:t>
      </w:r>
      <w:r>
        <w:rPr>
          <w:rFonts w:ascii="Tinos" w:hAnsi="Tinos" w:cs="Tinos"/>
          <w:sz w:val="24"/>
          <w:szCs w:val="24"/>
        </w:rPr>
        <w:tab/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0" w:type="auto"/>
        <w:jc w:val="center"/>
        <w:tblInd w:w="-3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331"/>
        <w:gridCol w:w="1559"/>
        <w:gridCol w:w="1967"/>
        <w:gridCol w:w="999"/>
      </w:tblGrid>
      <w:tr>
        <w:tblPrEx/>
        <w:trPr>
          <w:jc w:val="center"/>
          <w:trHeight w:val="268"/>
        </w:trPr>
        <w:tc>
          <w:tcPr>
            <w:tcW w:w="4331" w:type="dxa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Наименование услуг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  <w:vertAlign w:val="superscript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Кол-во,мес</w:t>
            </w:r>
            <w:r>
              <w:rPr>
                <w:rFonts w:ascii="Tinos" w:hAnsi="Tinos" w:cs="Tinos"/>
                <w:b/>
                <w:sz w:val="20"/>
                <w:szCs w:val="20"/>
                <w:vertAlign w:val="superscript"/>
              </w:rPr>
            </w:r>
            <w:r>
              <w:rPr>
                <w:rFonts w:ascii="Tinos" w:hAnsi="Tinos" w:cs="Tinos"/>
                <w:b/>
                <w:sz w:val="20"/>
                <w:szCs w:val="20"/>
                <w:vertAlign w:val="superscript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Цена, руб.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Сумма, руб.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634"/>
        </w:trPr>
        <w:tc>
          <w:tcPr>
            <w:tcW w:w="4331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у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слуги по предоставлению доступа к сети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Интернет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  <w:t xml:space="preserve">24</w:t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</w:tr>
    </w:tbl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Вышеперечисленные услуги оказаны полностью и в срок. Заказчик претензий по объему, качеству и срокам оказания услуг не имеет.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        </w:t>
      </w:r>
      <w:r>
        <w:rPr>
          <w:rFonts w:ascii="Tinos" w:hAnsi="Tinos" w:eastAsia="Tinos" w:cs="Tinos"/>
          <w:sz w:val="20"/>
          <w:szCs w:val="20"/>
          <w:lang w:eastAsia="ar-SA"/>
        </w:rPr>
        <w:t xml:space="preserve"> (*) Сумма, подлежащая оплате в соответствии с условиями контракта (итого общая стоимость оказанных услуг)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Размер неустойки, подлежащий взысканию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  <w:u w:val="single"/>
        </w:rPr>
      </w:pPr>
      <w:r>
        <w:rPr>
          <w:rFonts w:ascii="Tinos" w:hAnsi="Tinos" w:eastAsia="Tinos" w:cs="Tinos"/>
          <w:sz w:val="20"/>
          <w:szCs w:val="20"/>
          <w:u w:val="single"/>
          <w:lang w:eastAsia="ar-SA"/>
        </w:rPr>
      </w:r>
      <w:r>
        <w:rPr>
          <w:rFonts w:ascii="Tinos" w:hAnsi="Tinos" w:cs="Tinos"/>
          <w:sz w:val="16"/>
          <w:szCs w:val="16"/>
          <w:u w:val="single"/>
        </w:rPr>
      </w:r>
      <w:r>
        <w:rPr>
          <w:rFonts w:ascii="Tinos" w:hAnsi="Tinos" w:cs="Tinos"/>
          <w:sz w:val="16"/>
          <w:szCs w:val="16"/>
          <w:u w:val="singl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Основания применения и порядок расчета неустойки (штрафов)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  <w:u w:val="single"/>
        </w:rPr>
      </w:pPr>
      <w:r>
        <w:rPr>
          <w:rFonts w:ascii="Tinos" w:hAnsi="Tinos" w:eastAsia="Tinos" w:cs="Tinos"/>
          <w:sz w:val="20"/>
          <w:szCs w:val="20"/>
          <w:u w:val="single"/>
          <w:lang w:eastAsia="ar-SA"/>
        </w:rPr>
      </w:r>
      <w:r>
        <w:rPr>
          <w:rFonts w:ascii="Tinos" w:hAnsi="Tinos" w:cs="Tinos"/>
          <w:sz w:val="16"/>
          <w:szCs w:val="16"/>
          <w:u w:val="single"/>
        </w:rPr>
      </w:r>
      <w:r>
        <w:rPr>
          <w:rFonts w:ascii="Tinos" w:hAnsi="Tinos" w:cs="Tinos"/>
          <w:sz w:val="16"/>
          <w:szCs w:val="16"/>
          <w:u w:val="singl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Итоговая сумма, подлежащая оплате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u w:val="single"/>
        </w:rPr>
      </w:pPr>
      <w:r>
        <w:rPr>
          <w:rFonts w:ascii="Tinos" w:hAnsi="Tinos" w:eastAsia="Tinos" w:cs="Tinos"/>
          <w:sz w:val="24"/>
          <w:szCs w:val="24"/>
          <w:u w:val="single"/>
          <w:lang w:eastAsia="ar-SA"/>
        </w:rPr>
      </w:r>
      <w:r>
        <w:rPr>
          <w:rFonts w:ascii="Tinos" w:hAnsi="Tinos" w:cs="Tinos"/>
          <w:sz w:val="24"/>
          <w:szCs w:val="24"/>
          <w:u w:val="single"/>
        </w:rPr>
      </w:r>
      <w:r>
        <w:rPr>
          <w:rFonts w:ascii="Tinos" w:hAnsi="Tinos" w:cs="Tinos"/>
          <w:sz w:val="24"/>
          <w:szCs w:val="24"/>
          <w:u w:val="single"/>
        </w:rPr>
      </w:r>
    </w:p>
    <w:p>
      <w:pPr>
        <w:contextualSpacing/>
        <w:jc w:val="center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ar-SA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tbl>
      <w:tblPr>
        <w:tblStyle w:val="92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 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bCs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b/>
          <w:bCs/>
          <w:spacing w:val="7"/>
          <w:sz w:val="20"/>
          <w:szCs w:val="20"/>
          <w:lang w:eastAsia="ar-SA"/>
        </w:rPr>
        <w:t xml:space="preserve">(*) Данные разде</w:t>
      </w:r>
      <w:r>
        <w:rPr>
          <w:rFonts w:ascii="Tinos" w:hAnsi="Tinos" w:eastAsia="Tinos" w:cs="Tinos"/>
          <w:b/>
          <w:bCs/>
          <w:spacing w:val="7"/>
          <w:sz w:val="20"/>
          <w:szCs w:val="20"/>
          <w:lang w:eastAsia="ar-SA"/>
        </w:rPr>
        <w:t xml:space="preserve">лы акта заполняются Заказчиком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502040504020204"/>
  </w:font>
  <w:font w:name="Tinos">
    <w:panose1 w:val="02020603050405020304"/>
  </w:font>
  <w:font w:name="Wingdings">
    <w:panose1 w:val="05010000000000000000"/>
  </w:font>
  <w:font w:name="PT Serif">
    <w:panose1 w:val="020A0603040505020204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jc w:val="center"/>
    </w:pPr>
    <w:fldSimple w:instr="PAGE \* MERGEFORMAT">
      <w:r>
        <w:t xml:space="preserve">1</w:t>
      </w:r>
    </w:fldSimple>
    <w:r/>
    <w:r/>
  </w:p>
  <w:p>
    <w:pPr>
      <w:pStyle w:val="7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23" w:hanging="360"/>
        <w:tabs>
          <w:tab w:val="num" w:pos="102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4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6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8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0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2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4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6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83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34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786" w:hanging="360"/>
      </w:pPr>
      <w:rPr>
        <w:rFonts w:hint="default"/>
        <w:b w:val="0"/>
        <w:lang w:val="ru-RU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5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87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14"/>
  </w:num>
  <w:num w:numId="5">
    <w:abstractNumId w:val="1"/>
  </w:num>
  <w:num w:numId="6">
    <w:abstractNumId w:val="15"/>
  </w:num>
  <w:num w:numId="7">
    <w:abstractNumId w:val="2"/>
  </w:num>
  <w:num w:numId="8">
    <w:abstractNumId w:val="13"/>
  </w:num>
  <w:num w:numId="9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2"/>
  </w:num>
  <w:num w:numId="12">
    <w:abstractNumId w:val="8"/>
  </w:num>
  <w:num w:numId="13">
    <w:abstractNumId w:val="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1"/>
  </w:num>
  <w:num w:numId="18">
    <w:abstractNumId w:val="16"/>
  </w:num>
  <w:num w:numId="19">
    <w:abstractNumId w:val="17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9">
    <w:name w:val="Heading 1"/>
    <w:basedOn w:val="924"/>
    <w:next w:val="924"/>
    <w:link w:val="75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0">
    <w:name w:val="Heading 1 Char"/>
    <w:basedOn w:val="925"/>
    <w:link w:val="749"/>
    <w:uiPriority w:val="9"/>
    <w:rPr>
      <w:rFonts w:ascii="Arial" w:hAnsi="Arial" w:eastAsia="Arial" w:cs="Arial"/>
      <w:sz w:val="40"/>
      <w:szCs w:val="40"/>
    </w:rPr>
  </w:style>
  <w:style w:type="paragraph" w:styleId="751">
    <w:name w:val="Heading 2"/>
    <w:basedOn w:val="924"/>
    <w:next w:val="924"/>
    <w:link w:val="75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2">
    <w:name w:val="Heading 2 Char"/>
    <w:basedOn w:val="925"/>
    <w:link w:val="751"/>
    <w:uiPriority w:val="9"/>
    <w:rPr>
      <w:rFonts w:ascii="Arial" w:hAnsi="Arial" w:eastAsia="Arial" w:cs="Arial"/>
      <w:sz w:val="34"/>
    </w:rPr>
  </w:style>
  <w:style w:type="paragraph" w:styleId="753">
    <w:name w:val="Heading 3"/>
    <w:basedOn w:val="924"/>
    <w:next w:val="924"/>
    <w:link w:val="7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4">
    <w:name w:val="Heading 3 Char"/>
    <w:basedOn w:val="925"/>
    <w:link w:val="753"/>
    <w:uiPriority w:val="9"/>
    <w:rPr>
      <w:rFonts w:ascii="Arial" w:hAnsi="Arial" w:eastAsia="Arial" w:cs="Arial"/>
      <w:sz w:val="30"/>
      <w:szCs w:val="30"/>
    </w:rPr>
  </w:style>
  <w:style w:type="paragraph" w:styleId="755">
    <w:name w:val="Heading 4"/>
    <w:basedOn w:val="924"/>
    <w:next w:val="924"/>
    <w:link w:val="75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6">
    <w:name w:val="Heading 4 Char"/>
    <w:basedOn w:val="925"/>
    <w:link w:val="755"/>
    <w:uiPriority w:val="9"/>
    <w:rPr>
      <w:rFonts w:ascii="Arial" w:hAnsi="Arial" w:eastAsia="Arial" w:cs="Arial"/>
      <w:b/>
      <w:bCs/>
      <w:sz w:val="26"/>
      <w:szCs w:val="26"/>
    </w:rPr>
  </w:style>
  <w:style w:type="paragraph" w:styleId="757">
    <w:name w:val="Heading 5"/>
    <w:basedOn w:val="924"/>
    <w:next w:val="924"/>
    <w:link w:val="75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8">
    <w:name w:val="Heading 5 Char"/>
    <w:basedOn w:val="925"/>
    <w:link w:val="757"/>
    <w:uiPriority w:val="9"/>
    <w:rPr>
      <w:rFonts w:ascii="Arial" w:hAnsi="Arial" w:eastAsia="Arial" w:cs="Arial"/>
      <w:b/>
      <w:bCs/>
      <w:sz w:val="24"/>
      <w:szCs w:val="24"/>
    </w:rPr>
  </w:style>
  <w:style w:type="paragraph" w:styleId="759">
    <w:name w:val="Heading 6"/>
    <w:basedOn w:val="924"/>
    <w:next w:val="924"/>
    <w:link w:val="7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0">
    <w:name w:val="Heading 6 Char"/>
    <w:basedOn w:val="925"/>
    <w:link w:val="759"/>
    <w:uiPriority w:val="9"/>
    <w:rPr>
      <w:rFonts w:ascii="Arial" w:hAnsi="Arial" w:eastAsia="Arial" w:cs="Arial"/>
      <w:b/>
      <w:bCs/>
      <w:sz w:val="22"/>
      <w:szCs w:val="22"/>
    </w:rPr>
  </w:style>
  <w:style w:type="paragraph" w:styleId="761">
    <w:name w:val="Heading 7"/>
    <w:basedOn w:val="924"/>
    <w:next w:val="924"/>
    <w:link w:val="7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2">
    <w:name w:val="Heading 7 Char"/>
    <w:basedOn w:val="925"/>
    <w:link w:val="7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3">
    <w:name w:val="Heading 8"/>
    <w:basedOn w:val="924"/>
    <w:next w:val="924"/>
    <w:link w:val="7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4">
    <w:name w:val="Heading 8 Char"/>
    <w:basedOn w:val="925"/>
    <w:link w:val="763"/>
    <w:uiPriority w:val="9"/>
    <w:rPr>
      <w:rFonts w:ascii="Arial" w:hAnsi="Arial" w:eastAsia="Arial" w:cs="Arial"/>
      <w:i/>
      <w:iCs/>
      <w:sz w:val="22"/>
      <w:szCs w:val="22"/>
    </w:rPr>
  </w:style>
  <w:style w:type="paragraph" w:styleId="765">
    <w:name w:val="Heading 9"/>
    <w:basedOn w:val="924"/>
    <w:next w:val="924"/>
    <w:link w:val="7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6">
    <w:name w:val="Heading 9 Char"/>
    <w:basedOn w:val="925"/>
    <w:link w:val="765"/>
    <w:uiPriority w:val="9"/>
    <w:rPr>
      <w:rFonts w:ascii="Arial" w:hAnsi="Arial" w:eastAsia="Arial" w:cs="Arial"/>
      <w:i/>
      <w:iCs/>
      <w:sz w:val="21"/>
      <w:szCs w:val="21"/>
    </w:rPr>
  </w:style>
  <w:style w:type="paragraph" w:styleId="767">
    <w:name w:val="No Spacing"/>
    <w:uiPriority w:val="1"/>
    <w:qFormat/>
    <w:pPr>
      <w:spacing w:before="0" w:after="0" w:line="240" w:lineRule="auto"/>
    </w:pPr>
  </w:style>
  <w:style w:type="paragraph" w:styleId="768">
    <w:name w:val="Title"/>
    <w:basedOn w:val="924"/>
    <w:next w:val="924"/>
    <w:link w:val="76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9">
    <w:name w:val="Title Char"/>
    <w:basedOn w:val="925"/>
    <w:link w:val="768"/>
    <w:uiPriority w:val="10"/>
    <w:rPr>
      <w:sz w:val="48"/>
      <w:szCs w:val="48"/>
    </w:rPr>
  </w:style>
  <w:style w:type="paragraph" w:styleId="770">
    <w:name w:val="Subtitle"/>
    <w:basedOn w:val="924"/>
    <w:next w:val="924"/>
    <w:link w:val="771"/>
    <w:uiPriority w:val="11"/>
    <w:qFormat/>
    <w:pPr>
      <w:spacing w:before="200" w:after="200"/>
    </w:pPr>
    <w:rPr>
      <w:sz w:val="24"/>
      <w:szCs w:val="24"/>
    </w:rPr>
  </w:style>
  <w:style w:type="character" w:styleId="771">
    <w:name w:val="Subtitle Char"/>
    <w:basedOn w:val="925"/>
    <w:link w:val="770"/>
    <w:uiPriority w:val="11"/>
    <w:rPr>
      <w:sz w:val="24"/>
      <w:szCs w:val="24"/>
    </w:rPr>
  </w:style>
  <w:style w:type="paragraph" w:styleId="772">
    <w:name w:val="Quote"/>
    <w:basedOn w:val="924"/>
    <w:next w:val="924"/>
    <w:link w:val="773"/>
    <w:uiPriority w:val="29"/>
    <w:qFormat/>
    <w:pPr>
      <w:ind w:left="720" w:right="720"/>
    </w:pPr>
    <w:rPr>
      <w:i/>
    </w:rPr>
  </w:style>
  <w:style w:type="character" w:styleId="773">
    <w:name w:val="Quote Char"/>
    <w:link w:val="772"/>
    <w:uiPriority w:val="29"/>
    <w:rPr>
      <w:i/>
    </w:rPr>
  </w:style>
  <w:style w:type="paragraph" w:styleId="774">
    <w:name w:val="Intense Quote"/>
    <w:basedOn w:val="924"/>
    <w:next w:val="924"/>
    <w:link w:val="7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5">
    <w:name w:val="Intense Quote Char"/>
    <w:link w:val="774"/>
    <w:uiPriority w:val="30"/>
    <w:rPr>
      <w:i/>
    </w:rPr>
  </w:style>
  <w:style w:type="paragraph" w:styleId="776">
    <w:name w:val="Header"/>
    <w:basedOn w:val="924"/>
    <w:link w:val="7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7">
    <w:name w:val="Header Char"/>
    <w:basedOn w:val="925"/>
    <w:link w:val="776"/>
    <w:uiPriority w:val="99"/>
  </w:style>
  <w:style w:type="paragraph" w:styleId="778">
    <w:name w:val="Footer"/>
    <w:basedOn w:val="924"/>
    <w:link w:val="7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9">
    <w:name w:val="Footer Char"/>
    <w:basedOn w:val="925"/>
    <w:link w:val="778"/>
    <w:uiPriority w:val="99"/>
  </w:style>
  <w:style w:type="paragraph" w:styleId="780">
    <w:name w:val="Caption"/>
    <w:basedOn w:val="924"/>
    <w:next w:val="9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1">
    <w:name w:val="Caption Char"/>
    <w:basedOn w:val="780"/>
    <w:link w:val="778"/>
    <w:uiPriority w:val="99"/>
  </w:style>
  <w:style w:type="table" w:styleId="782">
    <w:name w:val="Table Grid Light"/>
    <w:basedOn w:val="9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Plain Table 1"/>
    <w:basedOn w:val="9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2"/>
    <w:basedOn w:val="9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6">
    <w:name w:val="Plain Table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Plain Table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8">
    <w:name w:val="Grid Table 1 Light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4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0">
    <w:name w:val="Grid Table 4 - Accent 1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1">
    <w:name w:val="Grid Table 4 - Accent 2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Grid Table 4 - Accent 3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3">
    <w:name w:val="Grid Table 4 - Accent 4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Grid Table 4 - Accent 5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5">
    <w:name w:val="Grid Table 4 - Accent 6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6">
    <w:name w:val="Grid Table 5 Dark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7">
    <w:name w:val="Grid Table 5 Dark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0">
    <w:name w:val="Grid Table 5 Dark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3">
    <w:name w:val="Grid Table 6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4">
    <w:name w:val="Grid Table 6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5">
    <w:name w:val="Grid Table 6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6">
    <w:name w:val="Grid Table 6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7">
    <w:name w:val="Grid Table 6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8">
    <w:name w:val="Grid Table 6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6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7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5">
    <w:name w:val="List Table 2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6">
    <w:name w:val="List Table 2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7">
    <w:name w:val="List Table 2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8">
    <w:name w:val="List Table 2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9">
    <w:name w:val="List Table 2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0">
    <w:name w:val="List Table 2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1">
    <w:name w:val="List Table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5 Dark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6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3">
    <w:name w:val="List Table 6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4">
    <w:name w:val="List Table 6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5">
    <w:name w:val="List Table 6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6">
    <w:name w:val="List Table 6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7">
    <w:name w:val="List Table 6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8">
    <w:name w:val="List Table 6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9">
    <w:name w:val="List Table 7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0">
    <w:name w:val="List Table 7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81">
    <w:name w:val="List Table 7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2">
    <w:name w:val="List Table 7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3">
    <w:name w:val="List Table 7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4">
    <w:name w:val="List Table 7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85">
    <w:name w:val="List Table 7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6">
    <w:name w:val="Lined - Accent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7">
    <w:name w:val="Lined - Accent 1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8">
    <w:name w:val="Lined - Accent 2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9">
    <w:name w:val="Lined - Accent 3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0">
    <w:name w:val="Lined - Accent 4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1">
    <w:name w:val="Lined - Accent 5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2">
    <w:name w:val="Lined - Accent 6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3">
    <w:name w:val="Bordered &amp; Lined - Accent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4">
    <w:name w:val="Bordered &amp; Lined - Accent 1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5">
    <w:name w:val="Bordered &amp; Lined - Accent 2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6">
    <w:name w:val="Bordered &amp; Lined - Accent 3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7">
    <w:name w:val="Bordered &amp; Lined - Accent 4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8">
    <w:name w:val="Bordered &amp; Lined - Accent 5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9">
    <w:name w:val="Bordered &amp; Lined - Accent 6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0">
    <w:name w:val="Bordered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1">
    <w:name w:val="Bordered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2">
    <w:name w:val="Bordered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3">
    <w:name w:val="Bordered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4">
    <w:name w:val="Bordered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5">
    <w:name w:val="Bordered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6">
    <w:name w:val="Bordered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7">
    <w:name w:val="footnote text"/>
    <w:basedOn w:val="924"/>
    <w:link w:val="908"/>
    <w:uiPriority w:val="99"/>
    <w:semiHidden/>
    <w:unhideWhenUsed/>
    <w:pPr>
      <w:spacing w:after="40" w:line="240" w:lineRule="auto"/>
    </w:pPr>
    <w:rPr>
      <w:sz w:val="18"/>
    </w:rPr>
  </w:style>
  <w:style w:type="character" w:styleId="908">
    <w:name w:val="Footnote Text Char"/>
    <w:link w:val="907"/>
    <w:uiPriority w:val="99"/>
    <w:rPr>
      <w:sz w:val="18"/>
    </w:rPr>
  </w:style>
  <w:style w:type="character" w:styleId="909">
    <w:name w:val="footnote reference"/>
    <w:basedOn w:val="925"/>
    <w:uiPriority w:val="99"/>
    <w:unhideWhenUsed/>
    <w:rPr>
      <w:vertAlign w:val="superscript"/>
    </w:rPr>
  </w:style>
  <w:style w:type="paragraph" w:styleId="910">
    <w:name w:val="endnote text"/>
    <w:basedOn w:val="924"/>
    <w:link w:val="911"/>
    <w:uiPriority w:val="99"/>
    <w:semiHidden/>
    <w:unhideWhenUsed/>
    <w:pPr>
      <w:spacing w:after="0" w:line="240" w:lineRule="auto"/>
    </w:pPr>
    <w:rPr>
      <w:sz w:val="20"/>
    </w:rPr>
  </w:style>
  <w:style w:type="character" w:styleId="911">
    <w:name w:val="Endnote Text Char"/>
    <w:link w:val="910"/>
    <w:uiPriority w:val="99"/>
    <w:rPr>
      <w:sz w:val="20"/>
    </w:rPr>
  </w:style>
  <w:style w:type="character" w:styleId="912">
    <w:name w:val="endnote reference"/>
    <w:basedOn w:val="925"/>
    <w:uiPriority w:val="99"/>
    <w:semiHidden/>
    <w:unhideWhenUsed/>
    <w:rPr>
      <w:vertAlign w:val="superscript"/>
    </w:rPr>
  </w:style>
  <w:style w:type="paragraph" w:styleId="913">
    <w:name w:val="toc 1"/>
    <w:basedOn w:val="924"/>
    <w:next w:val="924"/>
    <w:uiPriority w:val="39"/>
    <w:unhideWhenUsed/>
    <w:pPr>
      <w:ind w:left="0" w:right="0" w:firstLine="0"/>
      <w:spacing w:after="57"/>
    </w:pPr>
  </w:style>
  <w:style w:type="paragraph" w:styleId="914">
    <w:name w:val="toc 2"/>
    <w:basedOn w:val="924"/>
    <w:next w:val="924"/>
    <w:uiPriority w:val="39"/>
    <w:unhideWhenUsed/>
    <w:pPr>
      <w:ind w:left="283" w:right="0" w:firstLine="0"/>
      <w:spacing w:after="57"/>
    </w:pPr>
  </w:style>
  <w:style w:type="paragraph" w:styleId="915">
    <w:name w:val="toc 3"/>
    <w:basedOn w:val="924"/>
    <w:next w:val="924"/>
    <w:uiPriority w:val="39"/>
    <w:unhideWhenUsed/>
    <w:pPr>
      <w:ind w:left="567" w:right="0" w:firstLine="0"/>
      <w:spacing w:after="57"/>
    </w:pPr>
  </w:style>
  <w:style w:type="paragraph" w:styleId="916">
    <w:name w:val="toc 4"/>
    <w:basedOn w:val="924"/>
    <w:next w:val="924"/>
    <w:uiPriority w:val="39"/>
    <w:unhideWhenUsed/>
    <w:pPr>
      <w:ind w:left="850" w:right="0" w:firstLine="0"/>
      <w:spacing w:after="57"/>
    </w:pPr>
  </w:style>
  <w:style w:type="paragraph" w:styleId="917">
    <w:name w:val="toc 5"/>
    <w:basedOn w:val="924"/>
    <w:next w:val="924"/>
    <w:uiPriority w:val="39"/>
    <w:unhideWhenUsed/>
    <w:pPr>
      <w:ind w:left="1134" w:right="0" w:firstLine="0"/>
      <w:spacing w:after="57"/>
    </w:pPr>
  </w:style>
  <w:style w:type="paragraph" w:styleId="918">
    <w:name w:val="toc 6"/>
    <w:basedOn w:val="924"/>
    <w:next w:val="924"/>
    <w:uiPriority w:val="39"/>
    <w:unhideWhenUsed/>
    <w:pPr>
      <w:ind w:left="1417" w:right="0" w:firstLine="0"/>
      <w:spacing w:after="57"/>
    </w:pPr>
  </w:style>
  <w:style w:type="paragraph" w:styleId="919">
    <w:name w:val="toc 7"/>
    <w:basedOn w:val="924"/>
    <w:next w:val="924"/>
    <w:uiPriority w:val="39"/>
    <w:unhideWhenUsed/>
    <w:pPr>
      <w:ind w:left="1701" w:right="0" w:firstLine="0"/>
      <w:spacing w:after="57"/>
    </w:pPr>
  </w:style>
  <w:style w:type="paragraph" w:styleId="920">
    <w:name w:val="toc 8"/>
    <w:basedOn w:val="924"/>
    <w:next w:val="924"/>
    <w:uiPriority w:val="39"/>
    <w:unhideWhenUsed/>
    <w:pPr>
      <w:ind w:left="1984" w:right="0" w:firstLine="0"/>
      <w:spacing w:after="57"/>
    </w:pPr>
  </w:style>
  <w:style w:type="paragraph" w:styleId="921">
    <w:name w:val="toc 9"/>
    <w:basedOn w:val="924"/>
    <w:next w:val="924"/>
    <w:uiPriority w:val="39"/>
    <w:unhideWhenUsed/>
    <w:pPr>
      <w:ind w:left="2268" w:right="0" w:firstLine="0"/>
      <w:spacing w:after="57"/>
    </w:pPr>
  </w:style>
  <w:style w:type="paragraph" w:styleId="922">
    <w:name w:val="TOC Heading"/>
    <w:uiPriority w:val="39"/>
    <w:unhideWhenUsed/>
  </w:style>
  <w:style w:type="paragraph" w:styleId="923">
    <w:name w:val="table of figures"/>
    <w:basedOn w:val="924"/>
    <w:next w:val="924"/>
    <w:uiPriority w:val="99"/>
    <w:unhideWhenUsed/>
    <w:pPr>
      <w:spacing w:after="0" w:afterAutospacing="0"/>
    </w:pPr>
  </w:style>
  <w:style w:type="paragraph" w:styleId="924" w:default="1">
    <w:name w:val="Normal"/>
    <w:qFormat/>
  </w:style>
  <w:style w:type="character" w:styleId="925" w:default="1">
    <w:name w:val="Default Paragraph Font"/>
    <w:uiPriority w:val="1"/>
    <w:semiHidden/>
    <w:unhideWhenUsed/>
  </w:style>
  <w:style w:type="table" w:styleId="9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7" w:default="1">
    <w:name w:val="No List"/>
    <w:uiPriority w:val="99"/>
    <w:semiHidden/>
    <w:unhideWhenUsed/>
  </w:style>
  <w:style w:type="table" w:styleId="928" w:customStyle="1">
    <w:name w:val="Сетка таблицы1"/>
    <w:basedOn w:val="926"/>
    <w:next w:val="929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29">
    <w:name w:val="Table Grid"/>
    <w:basedOn w:val="926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0">
    <w:name w:val="Balloon Text"/>
    <w:basedOn w:val="924"/>
    <w:link w:val="93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31" w:customStyle="1">
    <w:name w:val="Текст выноски Знак"/>
    <w:basedOn w:val="925"/>
    <w:link w:val="930"/>
    <w:uiPriority w:val="99"/>
    <w:semiHidden/>
    <w:rPr>
      <w:rFonts w:ascii="Segoe UI" w:hAnsi="Segoe UI" w:cs="Segoe UI"/>
      <w:sz w:val="18"/>
      <w:szCs w:val="18"/>
    </w:rPr>
  </w:style>
  <w:style w:type="table" w:styleId="932" w:customStyle="1">
    <w:name w:val="Сетка таблицы2"/>
    <w:basedOn w:val="926"/>
    <w:next w:val="929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3" w:customStyle="1">
    <w:name w:val="Сетка таблицы3"/>
    <w:basedOn w:val="926"/>
    <w:next w:val="929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4">
    <w:name w:val="List Paragraph"/>
    <w:basedOn w:val="924"/>
    <w:uiPriority w:val="34"/>
    <w:qFormat/>
    <w:pPr>
      <w:contextualSpacing/>
      <w:ind w:left="720"/>
    </w:pPr>
  </w:style>
  <w:style w:type="character" w:styleId="935">
    <w:name w:val="Hyperlink"/>
    <w:basedOn w:val="925"/>
    <w:uiPriority w:val="99"/>
    <w:unhideWhenUsed/>
    <w:rPr>
      <w:color w:val="0563c1" w:themeColor="hyperlink"/>
      <w:u w:val="single"/>
    </w:rPr>
  </w:style>
  <w:style w:type="paragraph" w:styleId="936" w:customStyle="1">
    <w:name w:val="Содержимое таблицы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37" w:customStyle="1">
    <w:name w:val="ConsNormal"/>
    <w:link w:val="847"/>
    <w:uiPriority w:val="99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38" w:customStyle="1">
    <w:name w:val="Гиперссылка"/>
    <w:link w:val="919"/>
    <w:uiPriority w:val="99"/>
    <w:rPr>
      <w:color w:val="0000ff"/>
      <w:u w:val="single"/>
    </w:rPr>
  </w:style>
  <w:style w:type="paragraph" w:styleId="939" w:customStyle="1">
    <w:name w:val="Абзац списка"/>
    <w:basedOn w:val="919"/>
    <w:link w:val="919"/>
    <w:uiPriority w:val="34"/>
    <w:qFormat/>
    <w:pPr>
      <w:contextualSpacing w:val="0"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shov</dc:creator>
  <cp:keywords/>
  <dc:description/>
  <cp:revision>27</cp:revision>
  <dcterms:created xsi:type="dcterms:W3CDTF">2023-10-13T09:26:00Z</dcterms:created>
  <dcterms:modified xsi:type="dcterms:W3CDTF">2026-07-31T06:09:04Z</dcterms:modified>
</cp:coreProperties>
</file>