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firstLine="0"/>
        <w:jc w:val="center"/>
        <w:spacing w:line="240" w:lineRule="auto"/>
        <w:rPr>
          <w:rFonts w:eastAsia="Times New Roman"/>
          <w:b/>
          <w:bCs/>
          <w:color w:val="0d0d0d"/>
          <w:spacing w:val="0"/>
          <w:lang w:eastAsia="ru-RU"/>
        </w:rPr>
      </w:pPr>
      <w:r/>
      <w:bookmarkStart w:id="0" w:name="_Toc448149724"/>
      <w:r/>
      <w:bookmarkStart w:id="1" w:name="_Toc426640475"/>
      <w:r/>
      <w:bookmarkStart w:id="2" w:name="_Toc401332659"/>
      <w:r/>
      <w:bookmarkStart w:id="3" w:name="_GoBack"/>
      <w:r/>
      <w:bookmarkEnd w:id="3"/>
      <w:r>
        <w:rPr>
          <w:rFonts w:eastAsia="Times New Roman"/>
          <w:b/>
          <w:color w:val="0d0d0d"/>
          <w:spacing w:val="0"/>
          <w:szCs w:val="24"/>
          <w:lang w:eastAsia="ru-RU"/>
        </w:rPr>
        <w:t xml:space="preserve">ТЕХНИЧЕСКОЕ ЗАДАНИЕ</w:t>
      </w:r>
      <w:r>
        <w:rPr>
          <w:rFonts w:eastAsia="Times New Roman"/>
          <w:b/>
          <w:bCs/>
          <w:color w:val="0d0d0d"/>
          <w:spacing w:val="0"/>
          <w:lang w:eastAsia="ru-RU"/>
        </w:rPr>
      </w:r>
      <w:r>
        <w:rPr>
          <w:rFonts w:eastAsia="Times New Roman"/>
          <w:b/>
          <w:bCs/>
          <w:color w:val="0d0d0d"/>
          <w:spacing w:val="0"/>
          <w:lang w:eastAsia="ru-RU"/>
        </w:rPr>
      </w:r>
    </w:p>
    <w:p>
      <w:pPr>
        <w:contextualSpacing w:val="0"/>
        <w:ind w:firstLine="0"/>
        <w:jc w:val="center"/>
        <w:spacing w:line="240" w:lineRule="auto"/>
        <w:rPr>
          <w:rFonts w:eastAsia="Times New Roman"/>
          <w:b/>
          <w:color w:val="0d0d0d"/>
          <w:spacing w:val="0"/>
          <w:szCs w:val="24"/>
          <w:lang w:eastAsia="ru-RU"/>
        </w:rPr>
      </w:pPr>
      <w:r>
        <w:rPr>
          <w:rFonts w:eastAsia="Times New Roman"/>
          <w:b/>
          <w:color w:val="0d0d0d"/>
          <w:spacing w:val="0"/>
          <w:szCs w:val="24"/>
          <w:lang w:eastAsia="ru-RU"/>
        </w:rPr>
        <w:t xml:space="preserve">(описание объекта закупки)</w:t>
      </w:r>
      <w:r>
        <w:rPr>
          <w:rFonts w:eastAsia="Times New Roman"/>
          <w:b/>
          <w:color w:val="0d0d0d"/>
          <w:spacing w:val="0"/>
          <w:szCs w:val="24"/>
          <w:lang w:eastAsia="ru-RU"/>
        </w:rPr>
      </w:r>
      <w:r>
        <w:rPr>
          <w:rFonts w:eastAsia="Times New Roman"/>
          <w:b/>
          <w:color w:val="0d0d0d"/>
          <w:spacing w:val="0"/>
          <w:szCs w:val="24"/>
          <w:lang w:eastAsia="ru-RU"/>
        </w:rPr>
      </w:r>
    </w:p>
    <w:p>
      <w:pPr>
        <w:contextualSpacing w:val="0"/>
        <w:ind w:firstLine="0"/>
        <w:jc w:val="center"/>
        <w:spacing w:line="240" w:lineRule="auto"/>
        <w:rPr>
          <w:b/>
          <w:bCs/>
          <w:szCs w:val="24"/>
        </w:rPr>
        <w:suppressLineNumbers/>
      </w:pPr>
      <w:r>
        <w:rPr>
          <w:b/>
          <w:bCs/>
          <w:szCs w:val="24"/>
        </w:rPr>
        <w:t xml:space="preserve">на поставку комплектующих, инструментов и расходных материалов для серверного оборудования и компьютерной техники</w:t>
      </w: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contextualSpacing w:val="0"/>
        <w:ind w:firstLine="0"/>
        <w:jc w:val="right"/>
        <w:spacing w:line="240" w:lineRule="auto"/>
        <w:rPr>
          <w:spacing w:val="0"/>
          <w:szCs w:val="24"/>
        </w:rPr>
        <w:suppressLineNumbers/>
      </w:pPr>
      <w:r>
        <w:rPr>
          <w:spacing w:val="0"/>
          <w:szCs w:val="24"/>
        </w:rPr>
      </w:r>
      <w:r>
        <w:rPr>
          <w:spacing w:val="0"/>
          <w:szCs w:val="24"/>
        </w:rPr>
      </w:r>
      <w:r>
        <w:rPr>
          <w:spacing w:val="0"/>
          <w:szCs w:val="24"/>
        </w:rPr>
      </w:r>
    </w:p>
    <w:p>
      <w:pPr>
        <w:numPr>
          <w:ilvl w:val="0"/>
          <w:numId w:val="2"/>
        </w:numPr>
        <w:contextualSpacing w:val="0"/>
        <w:ind w:left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Общие положения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Наименование объекта закупки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pStyle w:val="858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Поставка комплектующих, инструментов и расходных материалов для серверного оборудования и компьютерной техники (далее - Товар).</w:t>
      </w:r>
      <w:r>
        <w:rPr>
          <w:color w:val="000000"/>
          <w:spacing w:val="0"/>
          <w:szCs w:val="24"/>
        </w:rPr>
      </w:r>
      <w:r>
        <w:rPr>
          <w:color w:val="000000"/>
          <w:spacing w:val="0"/>
          <w:szCs w:val="24"/>
        </w:rPr>
      </w:r>
    </w:p>
    <w:p>
      <w:pPr>
        <w:pStyle w:val="858"/>
        <w:numPr>
          <w:ilvl w:val="0"/>
          <w:numId w:val="0"/>
        </w:numPr>
        <w:ind w:right="-6"/>
        <w:spacing w:line="240" w:lineRule="auto"/>
        <w:widowControl w:val="off"/>
        <w:rPr>
          <w:rFonts w:eastAsia="Times New Roman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ОКПД2: </w:t>
      </w:r>
      <w:r>
        <w:rPr>
          <w:rFonts w:eastAsia="Times New Roman"/>
          <w:spacing w:val="0"/>
          <w:szCs w:val="24"/>
          <w:lang w:eastAsia="ru-RU"/>
        </w:rPr>
        <w:t xml:space="preserve">27.40.25.123, 27.32.13.159, 26.30.11.199, 27.32.13.150, 26.20.21.120, 26.20.16.190, 27.33.13.120</w:t>
      </w:r>
      <w:r>
        <w:rPr>
          <w:rFonts w:eastAsia="Times New Roman"/>
          <w:spacing w:val="0"/>
          <w:szCs w:val="24"/>
          <w:lang w:eastAsia="ru-RU"/>
        </w:rPr>
        <w:t xml:space="preserve">, </w:t>
      </w:r>
      <w:r>
        <w:rPr>
          <w:rFonts w:eastAsia="Times New Roman"/>
          <w:spacing w:val="0"/>
          <w:szCs w:val="24"/>
          <w:highlight w:val="white"/>
        </w:rPr>
        <w:t xml:space="preserve">26.40.42.110</w:t>
      </w:r>
      <w:r>
        <w:rPr>
          <w:rFonts w:eastAsia="Times New Roman"/>
          <w:spacing w:val="0"/>
          <w:szCs w:val="24"/>
        </w:rPr>
        <w:t xml:space="preserve">,</w:t>
      </w:r>
      <w:r>
        <w:rPr>
          <w:rFonts w:eastAsia="Times New Roman"/>
          <w:spacing w:val="0"/>
          <w:szCs w:val="24"/>
          <w:lang w:eastAsia="ru-RU"/>
        </w:rPr>
      </w:r>
      <w:r>
        <w:rPr>
          <w:rFonts w:eastAsia="Times New Roman"/>
          <w:spacing w:val="0"/>
          <w:szCs w:val="24"/>
          <w:lang w:eastAsia="ru-RU"/>
        </w:rPr>
      </w:r>
    </w:p>
    <w:p>
      <w:pPr>
        <w:ind w:firstLine="0"/>
        <w:jc w:val="left"/>
        <w:spacing w:line="240" w:lineRule="auto"/>
        <w:rPr>
          <w:strike/>
          <w:szCs w:val="24"/>
          <w:highlight w:val="white"/>
        </w:rPr>
      </w:pPr>
      <w:r>
        <w:rPr>
          <w:color w:val="000000"/>
          <w:spacing w:val="0"/>
          <w:szCs w:val="24"/>
        </w:rPr>
        <w:t xml:space="preserve">КТРУ: </w:t>
      </w:r>
      <w:r>
        <w:rPr>
          <w:rFonts w:eastAsia="Times New Roman"/>
          <w:szCs w:val="24"/>
          <w:highlight w:val="white"/>
        </w:rPr>
        <w:t xml:space="preserve">27.33.13.190-00000001, </w:t>
      </w:r>
      <w:r>
        <w:rPr>
          <w:rFonts w:eastAsia="Times New Roman"/>
          <w:szCs w:val="24"/>
          <w:highlight w:val="white"/>
          <w:lang w:eastAsia="ru-RU"/>
        </w:rPr>
        <w:t xml:space="preserve">26.80.12.000, </w:t>
      </w:r>
      <w:r>
        <w:rPr>
          <w:rFonts w:eastAsia="Times New Roman"/>
          <w:szCs w:val="24"/>
          <w:highlight w:val="white"/>
        </w:rPr>
        <w:t xml:space="preserve">26.20.16.170-00000001, 26.20.16.110-00000001, 26.40.42.120-00000006</w:t>
      </w:r>
      <w:r>
        <w:rPr>
          <w:strike/>
          <w:szCs w:val="24"/>
          <w:highlight w:val="white"/>
        </w:rPr>
      </w:r>
      <w:r>
        <w:rPr>
          <w:strike/>
          <w:szCs w:val="24"/>
          <w:highlight w:val="white"/>
        </w:rPr>
      </w:r>
    </w:p>
    <w:p>
      <w:pPr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2.   Источник финансирования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color w:val="000000"/>
          <w:spacing w:val="0"/>
          <w:szCs w:val="24"/>
        </w:rPr>
      </w:pPr>
      <w:r/>
      <w:bookmarkStart w:id="4" w:name="_30j0zll"/>
      <w:r/>
      <w:bookmarkStart w:id="5" w:name="_1fob9te"/>
      <w:r/>
      <w:bookmarkStart w:id="6" w:name="_3znysh7"/>
      <w:r/>
      <w:bookmarkEnd w:id="4"/>
      <w:r/>
      <w:bookmarkEnd w:id="5"/>
      <w:r/>
      <w:bookmarkEnd w:id="6"/>
      <w:r>
        <w:rPr>
          <w:color w:val="000000"/>
          <w:spacing w:val="0"/>
          <w:szCs w:val="24"/>
        </w:rPr>
        <w:t xml:space="preserve">Средства субсидии из федерального бюджета Российской Федерации на 2025 год, предоставленной в соответствии с абзацем вторым пункта 1 статьи 78.1 Бюджетного кодекса Российской Федерации </w:t>
      </w:r>
      <w:r>
        <w:rPr>
          <w:color w:val="000000"/>
          <w:spacing w:val="0"/>
          <w:szCs w:val="24"/>
          <w:highlight w:val="white"/>
        </w:rPr>
        <w:t xml:space="preserve">(</w:t>
      </w:r>
      <w:r>
        <w:rPr>
          <w:color w:val="000000" w:themeColor="text1"/>
          <w:highlight w:val="white"/>
        </w:rPr>
        <w:t xml:space="preserve">КВР – 244, код цели </w:t>
      </w:r>
      <w:r>
        <w:rPr>
          <w:color w:val="000000" w:themeColor="text1"/>
        </w:rPr>
        <w:t xml:space="preserve">08-18-Т8 73520</w:t>
      </w:r>
      <w:r>
        <w:rPr>
          <w:color w:val="000000"/>
          <w:spacing w:val="0"/>
          <w:szCs w:val="24"/>
          <w:highlight w:val="white"/>
        </w:rPr>
        <w:t xml:space="preserve">).</w:t>
      </w:r>
      <w:r>
        <w:rPr>
          <w:color w:val="000000"/>
          <w:spacing w:val="0"/>
          <w:szCs w:val="24"/>
        </w:rPr>
      </w:r>
      <w:r>
        <w:rPr>
          <w:color w:val="000000"/>
          <w:spacing w:val="0"/>
          <w:szCs w:val="24"/>
        </w:rPr>
      </w:r>
    </w:p>
    <w:p>
      <w:pPr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3. Срок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jc w:val="left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Поставка в течение 20 (двадцати) рабочих дней с даты заключения Контракта.</w:t>
      </w:r>
      <w:r>
        <w:rPr>
          <w:rFonts w:eastAsia="Times New Roman"/>
          <w:color w:val="000000"/>
          <w:spacing w:val="0"/>
          <w:szCs w:val="24"/>
          <w:lang w:eastAsia="ru-RU"/>
        </w:rPr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4. </w:t>
      </w:r>
      <w:bookmarkStart w:id="7" w:name="_2et92p0"/>
      <w:r/>
      <w:bookmarkEnd w:id="7"/>
      <w:r>
        <w:rPr>
          <w:rFonts w:eastAsia="Times New Roman"/>
          <w:b/>
          <w:spacing w:val="0"/>
          <w:szCs w:val="24"/>
          <w:lang w:eastAsia="ru-RU"/>
        </w:rPr>
        <w:t xml:space="preserve">Место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jc w:val="left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105082, г. Москва, ул. Большая Почтовая, д. 26, стр. 1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.</w:t>
      </w:r>
      <w:r>
        <w:rPr>
          <w:rFonts w:eastAsia="Times New Roman"/>
          <w:color w:val="000000"/>
          <w:spacing w:val="0"/>
          <w:szCs w:val="24"/>
          <w:lang w:eastAsia="ru-RU"/>
        </w:rPr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ind w:right="-6" w:firstLine="0"/>
        <w:jc w:val="left"/>
        <w:spacing w:line="240" w:lineRule="auto"/>
        <w:widowControl w:val="off"/>
        <w:rPr>
          <w:rFonts w:eastAsia="Times New Roman"/>
          <w:b/>
          <w:bCs/>
          <w:spacing w:val="0"/>
          <w:szCs w:val="24"/>
          <w:lang w:eastAsia="ru-RU"/>
        </w:rPr>
      </w:pPr>
      <w:r>
        <w:rPr>
          <w:rFonts w:eastAsia="Times New Roman"/>
          <w:b/>
          <w:bCs/>
          <w:color w:val="000000"/>
          <w:spacing w:val="0"/>
          <w:szCs w:val="24"/>
          <w:lang w:eastAsia="ru-RU"/>
        </w:rPr>
        <w:t xml:space="preserve">5. Порядок поставки Товара</w:t>
      </w:r>
      <w:r>
        <w:rPr>
          <w:rFonts w:eastAsia="Times New Roman"/>
          <w:b/>
          <w:bCs/>
          <w:spacing w:val="0"/>
          <w:szCs w:val="24"/>
          <w:lang w:eastAsia="ru-RU"/>
        </w:rPr>
      </w:r>
      <w:r>
        <w:rPr>
          <w:rFonts w:eastAsia="Times New Roman"/>
          <w:b/>
          <w:bCs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rFonts w:eastAsia="Times New Roman"/>
          <w:color w:val="040404"/>
          <w:spacing w:val="0"/>
          <w:szCs w:val="24"/>
          <w:lang w:eastAsia="ru-RU"/>
        </w:rPr>
      </w:pPr>
      <w:r>
        <w:rPr>
          <w:rFonts w:eastAsia="Times New Roman"/>
          <w:color w:val="040404"/>
          <w:spacing w:val="0"/>
          <w:szCs w:val="24"/>
          <w:lang w:eastAsia="ru-RU"/>
        </w:rPr>
        <w:t xml:space="preserve">5.1. Товар должен быть поставлен и разгружен в период исполн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ения Контракта в рабочие часы Заказчика с понедельника по четверг с 09.00 до 18.00 часов, в пятницу с 09.00 до 16.45 часов (за исключением выходных дней и дней общегосударственных праздников), в соответствии с требованиями Таблицы № 1 настоящего документа.</w:t>
      </w:r>
      <w:r>
        <w:rPr>
          <w:rFonts w:eastAsia="Times New Roman"/>
          <w:color w:val="040404"/>
          <w:spacing w:val="0"/>
          <w:szCs w:val="24"/>
          <w:lang w:eastAsia="ru-RU"/>
        </w:rPr>
      </w:r>
      <w:r>
        <w:rPr>
          <w:rFonts w:eastAsia="Times New Roman"/>
          <w:color w:val="040404"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rFonts w:eastAsia="Times New Roman"/>
          <w:color w:val="040404"/>
          <w:spacing w:val="-6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 xml:space="preserve">5.2. Весь Товар должен быть поставлен Заказчику единовременно в срок, указанный в п. 3. Настоящего Технического задания, в соответствии с наименованием, количеством и характеристиками Товара.</w:t>
      </w:r>
      <w:r>
        <w:rPr>
          <w:rFonts w:eastAsia="Times New Roman"/>
          <w:color w:val="040404"/>
          <w:spacing w:val="-6"/>
          <w:szCs w:val="24"/>
          <w:lang w:eastAsia="ru-RU"/>
        </w:rPr>
        <w:t xml:space="preserve"> </w:t>
      </w:r>
      <w:r>
        <w:rPr>
          <w:rFonts w:eastAsia="Times New Roman"/>
          <w:color w:val="040404"/>
          <w:spacing w:val="-6"/>
          <w:szCs w:val="24"/>
          <w:lang w:eastAsia="ru-RU"/>
        </w:rPr>
      </w:r>
      <w:r>
        <w:rPr>
          <w:rFonts w:eastAsia="Times New Roman"/>
          <w:color w:val="040404"/>
          <w:spacing w:val="-6"/>
          <w:szCs w:val="24"/>
          <w:lang w:eastAsia="ru-RU"/>
        </w:rPr>
      </w:r>
    </w:p>
    <w:p>
      <w:pPr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</w:pPr>
      <w:r>
        <w:rPr>
          <w:rFonts w:eastAsia="Times New Roman"/>
          <w:b/>
          <w:spacing w:val="0"/>
          <w:szCs w:val="24"/>
          <w:lang w:eastAsia="ru-RU"/>
        </w:rPr>
        <w:t xml:space="preserve">6. Требования к поставляемому Товару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  <w:t xml:space="preserve">Товар должен быть новым (Товаром, который не был в употреблении, в ремонте, в том числе котор</w:t>
      </w:r>
      <w:r>
        <w:rPr>
          <w:rFonts w:eastAsia="Times New Roman"/>
          <w:spacing w:val="0"/>
          <w:szCs w:val="24"/>
          <w:lang w:eastAsia="ru-RU"/>
        </w:rPr>
        <w:t xml:space="preserve">ый не был восстановлен, у которого не была осуществлена замена составных частей, не были восстановлены потребительские свойства), серийно выпускаемым, не имеющим дефектов, связанных с конструкцией, материалами или функционированием в процессе эксплуатации.</w:t>
      </w:r>
      <w:r>
        <w:rPr>
          <w:rFonts w:eastAsia="Times New Roman"/>
          <w:spacing w:val="0"/>
          <w:szCs w:val="24"/>
          <w:lang w:eastAsia="ru-RU"/>
        </w:rPr>
      </w:r>
      <w:r>
        <w:rPr>
          <w:rFonts w:eastAsia="Times New Roman"/>
          <w:spacing w:val="0"/>
          <w:szCs w:val="24"/>
          <w:lang w:eastAsia="ru-RU"/>
        </w:rPr>
      </w:r>
    </w:p>
    <w:p>
      <w:pPr>
        <w:pStyle w:val="858"/>
        <w:numPr>
          <w:ilvl w:val="0"/>
          <w:numId w:val="0"/>
        </w:numPr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suppressLineNumbers/>
      </w:pPr>
      <w:r>
        <w:rPr>
          <w:rFonts w:eastAsia="Times New Roman"/>
          <w:b/>
          <w:spacing w:val="0"/>
          <w:szCs w:val="24"/>
          <w:lang w:eastAsia="ru-RU"/>
        </w:rPr>
        <w:t xml:space="preserve">7. Гарантийные обязательства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right="-6" w:firstLine="0"/>
        <w:spacing w:line="240" w:lineRule="auto"/>
        <w:rPr>
          <w:color w:val="000000"/>
        </w:rP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7.1. </w:t>
      </w:r>
      <w:r>
        <w:rPr>
          <w:color w:val="000000"/>
        </w:rPr>
        <w:t xml:space="preserve">Гарантийный срок на поставляемый Товар устанавливается заводом-изготовителем, составляет не менее 12 (двенадцати) месяцев и исчисляется со дня подписания Заказчиком документа о приемке в соответствии с Контрактом.</w:t>
      </w:r>
      <w:r>
        <w:rPr>
          <w:color w:val="000000"/>
        </w:rPr>
      </w:r>
      <w:r>
        <w:rPr>
          <w:color w:val="000000"/>
        </w:rPr>
      </w:r>
    </w:p>
    <w:p>
      <w:pPr>
        <w:ind w:right="-6" w:firstLine="0"/>
        <w:spacing w:line="240" w:lineRule="auto"/>
        <w:rPr>
          <w:color w:val="000000"/>
          <w:lang w:bidi="ru-RU"/>
        </w:rPr>
      </w:pPr>
      <w:r>
        <w:rPr>
          <w:color w:val="000000"/>
        </w:rPr>
        <w:t xml:space="preserve">7.2. Гарантийное обслуживание осуществляется путем ремонта или замены поставленного Товара (при отсутствии механических повреждений и соблюдения Заказчиком требований инструкций по эксплуатации).</w:t>
      </w:r>
      <w:r>
        <w:rPr>
          <w:color w:val="000000"/>
          <w:spacing w:val="0"/>
          <w:szCs w:val="24"/>
          <w:lang w:eastAsia="ru-RU" w:bidi="ru-RU"/>
        </w:rPr>
        <w:t xml:space="preserve"> 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8. Требования к упаковке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Товар должен поставляться в оригинальной заводской упаковке, соответствующей характеру поставляе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мого Товара и способу транспортировки,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товара возврату Поставщику не подлежит.</w:t>
      </w:r>
      <w:r>
        <w:rPr>
          <w:rFonts w:eastAsia="Times New Roman"/>
          <w:color w:val="000000"/>
          <w:spacing w:val="0"/>
          <w:szCs w:val="24"/>
          <w:lang w:eastAsia="ru-RU"/>
        </w:rPr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contextualSpacing w:val="0"/>
        <w:ind w:firstLine="0"/>
        <w:jc w:val="right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  <w:t xml:space="preserve">Таблица № 1</w:t>
      </w:r>
      <w:bookmarkEnd w:id="0"/>
      <w:r/>
      <w:bookmarkEnd w:id="1"/>
      <w:r/>
      <w:bookmarkEnd w:id="2"/>
      <w:r>
        <w:rPr>
          <w:rFonts w:eastAsia="Times New Roman"/>
          <w:spacing w:val="0"/>
          <w:szCs w:val="24"/>
          <w:lang w:eastAsia="ru-RU"/>
        </w:rPr>
      </w:r>
      <w:r>
        <w:rPr>
          <w:rFonts w:eastAsia="Times New Roman"/>
          <w:spacing w:val="0"/>
          <w:szCs w:val="24"/>
          <w:lang w:eastAsia="ru-RU"/>
        </w:rPr>
      </w:r>
    </w:p>
    <w:tbl>
      <w:tblPr>
        <w:tblW w:w="10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3" w:type="dxa"/>
          <w:top w:w="17" w:type="dxa"/>
          <w:right w:w="50" w:type="dxa"/>
        </w:tblCellMar>
        <w:tblLook w:val="04A0" w:firstRow="1" w:lastRow="0" w:firstColumn="1" w:lastColumn="0" w:noHBand="0" w:noVBand="1"/>
      </w:tblPr>
      <w:tblGrid>
        <w:gridCol w:w="425"/>
        <w:gridCol w:w="3118"/>
        <w:gridCol w:w="2693"/>
        <w:gridCol w:w="2551"/>
        <w:gridCol w:w="709"/>
        <w:gridCol w:w="709"/>
      </w:tblGrid>
      <w:tr>
        <w:tblPrEx/>
        <w:trPr/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№ п/п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3118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  <w:t xml:space="preserve">Наименование Товара</w:t>
            </w: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</w: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</w:r>
          </w:p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16"/>
                <w:szCs w:val="16"/>
              </w:rPr>
            </w:pPr>
            <w:r>
              <w:rPr>
                <w:i/>
                <w:spacing w:val="0"/>
                <w:sz w:val="16"/>
                <w:szCs w:val="16"/>
                <w:highlight w:val="lightGray"/>
              </w:rPr>
              <w:t xml:space="preserve">Участник дополнительно указывает: марку, модель, страну происхождения товара</w:t>
            </w:r>
            <w:r>
              <w:rPr>
                <w:b/>
                <w:bCs/>
                <w:spacing w:val="0"/>
                <w:sz w:val="16"/>
                <w:szCs w:val="16"/>
              </w:rPr>
            </w:r>
            <w:r>
              <w:rPr>
                <w:b/>
                <w:bCs/>
                <w:spacing w:val="0"/>
                <w:sz w:val="16"/>
                <w:szCs w:val="16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spacing w:val="0"/>
                <w:sz w:val="20"/>
                <w:szCs w:val="20"/>
                <w:lang w:eastAsia="ru-RU"/>
              </w:rPr>
              <w:t xml:space="preserve">Наименование характеристики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2551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Значение характеристики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16"/>
                <w:szCs w:val="16"/>
              </w:rPr>
            </w:pPr>
            <w:r>
              <w:rPr>
                <w:i/>
                <w:spacing w:val="0"/>
                <w:sz w:val="16"/>
                <w:szCs w:val="16"/>
                <w:highlight w:val="lightGray"/>
              </w:rPr>
              <w:t xml:space="preserve">Участник указывает конкретные характеристики предлагаемого к поставке Товара</w:t>
            </w:r>
            <w:r>
              <w:rPr>
                <w:b/>
                <w:bCs/>
                <w:spacing w:val="0"/>
                <w:sz w:val="16"/>
                <w:szCs w:val="16"/>
              </w:rPr>
            </w:r>
            <w:r>
              <w:rPr>
                <w:b/>
                <w:bCs/>
                <w:spacing w:val="0"/>
                <w:sz w:val="16"/>
                <w:szCs w:val="16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Ед. изм.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Кол-во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1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3118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2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3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2551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4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5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"/>
                <w:b/>
                <w:bCs/>
                <w:spacing w:val="0"/>
                <w:sz w:val="20"/>
                <w:szCs w:val="20"/>
              </w:rPr>
              <w:t xml:space="preserve">6</w:t>
            </w:r>
            <w:r>
              <w:rPr>
                <w:b/>
                <w:bCs/>
                <w:spacing w:val="0"/>
                <w:sz w:val="20"/>
                <w:szCs w:val="20"/>
              </w:rPr>
            </w:r>
            <w:r>
              <w:rPr>
                <w:b/>
                <w:bCs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1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Светильник светодиодный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ДСП44-38-005 Flagman F 840*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Российская Федерация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27.40.25.123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Потребляемая мощность, Вт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35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12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right="43" w:firstLine="0"/>
              <w:jc w:val="center"/>
              <w:keepLines/>
              <w:spacing w:line="240" w:lineRule="auto"/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"/>
                <w:color w:val="000000" w:themeColor="text1"/>
                <w:sz w:val="20"/>
                <w:szCs w:val="20"/>
              </w:rPr>
            </w:pPr>
            <w:r>
              <w:rPr>
                <w:rFonts w:eastAsia="tim"/>
                <w:color w:val="000000" w:themeColor="text1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Цветовая температура, К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4000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keepLines/>
              <w:spacing w:line="240" w:lineRule="auto"/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rFonts w:eastAsia="tim"/>
                <w:color w:val="000000" w:themeColor="text1"/>
                <w:spacing w:val="0"/>
                <w:sz w:val="20"/>
                <w:szCs w:val="20"/>
                <w:lang w:val="en-US"/>
              </w:rPr>
            </w:pPr>
            <w:r>
              <w:rPr>
                <w:rFonts w:eastAsia="tim"/>
                <w:color w:val="000000" w:themeColor="text1"/>
                <w:spacing w:val="0"/>
                <w:sz w:val="20"/>
                <w:szCs w:val="20"/>
                <w:lang w:val="en-US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  <w:lang w:val="en-US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Высота, мм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97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Область применения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Промышленное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Степень пылевлагозащиты, IP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IP65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Ширина, мм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97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Установочная длина (A), мм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850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Тип подключения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Клеммная колодка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Монтажные устройства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Скоба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Способ установки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Подвесной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Установочная длина (A), мм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850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Напряжение питания, В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220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Тип оптической части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Рассеиватель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2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Патч-корд, (5Е, RJ-45 0,3м.)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NEOMAX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shd w:val="clear" w:color="ffffff" w:fill="ffffff"/>
              <w:rPr>
                <w:sz w:val="20"/>
                <w:szCs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Длина, Метр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0,30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  <w:lang w:val="en-US"/>
              </w:rPr>
              <w:t xml:space="preserve">100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Материал проводника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Медь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Категория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5e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Материал внешней оболочки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PVC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патч-корда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  <w:highlight w:val="cyan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F/UTP</w:t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Количество пар жил кабеля, Штука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4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1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2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3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Патч-корд, (5Е, RJ-45 2м.)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NEOMAX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Длина, Метр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2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10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Материал проводника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Медь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Категория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5e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Материал внешней оболочки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PVC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патч-корда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F/UTP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Количество пар жил кабеля, Штука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4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1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2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4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Патч-корд, (5Е, RJ-45 3м.)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NEOMAX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Длина, Метр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3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10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Материал проводника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Медь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Категория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5e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Материал внешней оболочки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PVC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патч-корда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  <w:highlight w:val="cyan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F/UTP</w:t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Количество пар жил кабеля, Штука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4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1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2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5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Патч-корд, (5Е, RJ-45 5м.)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NEOMAX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Длина, Метр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5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10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Материал проводника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Медь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Категория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5e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Материал внешней оболочки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PVC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патч-корда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  <w:highlight w:val="cyan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F/UTP</w:t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Количество пар жил кабеля, Штука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4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1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2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6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Патч-корд, (5Е, RJ-45 7м.)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Cablexpert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Длина, Метр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7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10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Материал проводника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Медь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Категория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5e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Материал внешней оболочки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PVC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патч-корда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  <w:highlight w:val="cyan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F/UTP</w:t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Количество пар жил кабеля, Штука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4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1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2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7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Патч-корд, (5Е, RJ-45 10м.)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Cablexpert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Длина, Метр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10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10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Материал проводника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Медь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Категория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5e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Материал внешней оболочки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PVC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патч-корда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  <w:highlight w:val="cyan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F/UTP</w:t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  <w:r>
              <w:rPr>
                <w:rFonts w:eastAsia="Times New Roman"/>
                <w:spacing w:val="0"/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Количество пар жил кабеля, Штука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4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1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Тип разъема 2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RJ-45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spacing w:line="240" w:lineRule="auto"/>
              <w:rPr>
                <w:spacing w:val="0"/>
                <w:sz w:val="20"/>
                <w:szCs w:val="20"/>
                <w:lang w:val="en-US"/>
              </w:rPr>
            </w:pPr>
            <w:r>
              <w:rPr>
                <w:spacing w:val="0"/>
                <w:sz w:val="20"/>
                <w:szCs w:val="20"/>
                <w:lang w:val="en-US"/>
              </w:rPr>
              <w:t xml:space="preserve">Ко</w:t>
            </w:r>
            <w:r>
              <w:rPr>
                <w:spacing w:val="0"/>
                <w:sz w:val="20"/>
                <w:szCs w:val="20"/>
              </w:rPr>
              <w:t xml:space="preserve">н</w:t>
            </w:r>
            <w:r>
              <w:rPr>
                <w:spacing w:val="0"/>
                <w:sz w:val="20"/>
                <w:szCs w:val="20"/>
                <w:lang w:val="en-US"/>
              </w:rPr>
              <w:t xml:space="preserve">некторы</w:t>
            </w:r>
            <w:r>
              <w:rPr>
                <w:spacing w:val="0"/>
                <w:sz w:val="20"/>
                <w:szCs w:val="20"/>
                <w:lang w:val="en-US"/>
              </w:rPr>
            </w:r>
            <w:r>
              <w:rPr>
                <w:spacing w:val="0"/>
                <w:sz w:val="20"/>
                <w:szCs w:val="20"/>
                <w:lang w:val="en-US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5Bites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contextualSpacing w:val="0"/>
              <w:ind w:firstLine="0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  <w:p>
            <w:pPr>
              <w:contextualSpacing w:val="0"/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 xml:space="preserve">ОКПД2: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27.33.13.120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tabs>
                <w:tab w:val="left" w:pos="284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 xml:space="preserve">Тип соединителя/разъема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tabs>
                <w:tab w:val="left" w:pos="496" w:leader="none"/>
              </w:tabs>
              <w:rPr>
                <w:spacing w:val="0"/>
                <w:sz w:val="20"/>
                <w:szCs w:val="20"/>
                <w:lang w:val="en-US"/>
              </w:rPr>
            </w:pPr>
            <w:r>
              <w:rPr>
                <w:spacing w:val="0"/>
                <w:sz w:val="20"/>
                <w:szCs w:val="20"/>
              </w:rPr>
              <w:t xml:space="preserve">RJ45.</w:t>
            </w:r>
            <w:r>
              <w:rPr>
                <w:spacing w:val="0"/>
                <w:sz w:val="20"/>
                <w:szCs w:val="20"/>
                <w:lang w:val="en-US"/>
              </w:rPr>
            </w:r>
            <w:r>
              <w:rPr>
                <w:spacing w:val="0"/>
                <w:sz w:val="20"/>
                <w:szCs w:val="20"/>
                <w:lang w:val="en-US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contextualSpacing w:val="0"/>
              <w:ind w:left="-105" w:firstLine="0"/>
              <w:jc w:val="center"/>
              <w:spacing w:line="240" w:lineRule="auto"/>
              <w:tabs>
                <w:tab w:val="left" w:pos="496" w:leader="none"/>
              </w:tabs>
              <w:rPr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tabs>
                <w:tab w:val="left" w:pos="496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  <w:lang w:val="en-US"/>
              </w:rPr>
            </w:pPr>
            <w:r>
              <w:rPr>
                <w:spacing w:val="0"/>
                <w:sz w:val="20"/>
                <w:szCs w:val="20"/>
              </w:rPr>
              <w:t xml:space="preserve">Категория</w:t>
            </w: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 xml:space="preserve">5e.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  <w:lang w:val="en-US"/>
              </w:rPr>
            </w:pPr>
            <w:r>
              <w:rPr>
                <w:spacing w:val="0"/>
                <w:sz w:val="20"/>
                <w:szCs w:val="20"/>
              </w:rPr>
              <w:t xml:space="preserve">Модель/исполнение</w:t>
            </w: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 xml:space="preserve">Штекер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  <w:lang w:val="en-US"/>
              </w:rPr>
            </w:pPr>
            <w:r>
              <w:rPr>
                <w:spacing w:val="0"/>
                <w:sz w:val="20"/>
                <w:szCs w:val="20"/>
              </w:rPr>
              <w:t xml:space="preserve">Способ подключения</w:t>
            </w: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 xml:space="preserve">Обжим.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9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Внешний оптический привод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Gembird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26.20.16.190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Тип дискового накопителя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1223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  <w:lang w:val="en-US"/>
              </w:rPr>
              <w:t xml:space="preserve">DVD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-</w:t>
            </w:r>
            <w:r>
              <w:rPr>
                <w:rFonts w:eastAsia="Times New Roman"/>
                <w:bCs/>
                <w:sz w:val="20"/>
                <w:szCs w:val="20"/>
                <w:lang w:val="en-US"/>
              </w:rPr>
              <w:t xml:space="preserve">RW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3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Интерфейс привода USB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2.0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Кабель для подключения к компьютеру в комплекте USB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1223" w:leader="none"/>
              </w:tabs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tabs>
                <w:tab w:val="center" w:pos="1294" w:leader="none"/>
              </w:tabs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Поддерживаемые форматы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одно/двухслойный DVD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DVD-R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DVD+R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DVD-RW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DVD+RW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CD-R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CD-RW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Скорость считывания DVD-ROM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6х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Скорость записи DVD+/-RW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6х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Скорость считывания CD-R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24х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Скорость записи CD-R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24х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  <w:t xml:space="preserve">10</w:t>
            </w:r>
            <w:r>
              <w:rPr>
                <w:color w:val="000000"/>
                <w:spacing w:val="0"/>
                <w:sz w:val="20"/>
                <w:szCs w:val="20"/>
              </w:rPr>
            </w:r>
            <w:r>
              <w:rPr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USB флеш-накопитель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Adata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26.20.21.120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Тип памяти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USB Flash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/>
                <w:spacing w:val="0"/>
                <w:sz w:val="20"/>
                <w:szCs w:val="20"/>
              </w:rPr>
            </w:r>
            <w:r>
              <w:rPr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  <w:t xml:space="preserve">10</w:t>
            </w:r>
            <w:r>
              <w:rPr>
                <w:color w:val="000000"/>
                <w:spacing w:val="0"/>
                <w:sz w:val="20"/>
                <w:szCs w:val="20"/>
              </w:rPr>
            </w:r>
            <w:r>
              <w:rPr>
                <w:color w:val="000000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Стандарт USB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3.2 Gen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Объем памяти, Гигабайт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Интерфейс подключения USB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Type-A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Поддержка OTG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Максимальная скорость чтения данных, Мегабайт в секунду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не менее 100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11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Гарнитура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Logitech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КТРУ: 26.40.42.120-00000006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Вид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Однопроводная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  <w:lang w:val="en-US"/>
              </w:rPr>
              <w:t xml:space="preserve">10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Конструкция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 двумя наушниками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Тип конструкции наушников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Накладные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Разъем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USB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Шумоподавление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Крепление микрофона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Подвижное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Максимальная воспроизводимая частота, Герц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10000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Длина провода при проводном подключении, Метр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2.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3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Чувствительность микрофона, Децибел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</w:t>
            </w:r>
            <w:r>
              <w:rPr>
                <w:rFonts w:eastAsia="Times New Roman"/>
                <w:sz w:val="20"/>
                <w:szCs w:val="20"/>
              </w:rPr>
              <w:t xml:space="preserve">17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Чувствительность наушников, Децибел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94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Дополнительные функции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Регулировка громкости, Отключение микрофона, Индикация доступа к микрофону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12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Клавиатура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Oklick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КТРУ: 26.20.16.110-00000001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Тип подключения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Проводная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10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right="43" w:firstLine="0"/>
              <w:jc w:val="center"/>
              <w:keepLines/>
              <w:spacing w:line="240" w:lineRule="auto"/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rFonts w:eastAsia="tim"/>
                <w:color w:val="000000" w:themeColor="text1"/>
                <w:sz w:val="20"/>
                <w:szCs w:val="20"/>
              </w:rPr>
            </w:pPr>
            <w:r>
              <w:rPr>
                <w:rFonts w:eastAsia="tim"/>
                <w:color w:val="000000" w:themeColor="text1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Тип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Полноразмерная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keepLines/>
              <w:spacing w:line="240" w:lineRule="auto"/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keepLines/>
              <w:spacing w:line="240" w:lineRule="auto"/>
              <w:rPr>
                <w:rFonts w:eastAsia="tim"/>
                <w:color w:val="000000" w:themeColor="text1"/>
                <w:spacing w:val="0"/>
                <w:sz w:val="20"/>
                <w:szCs w:val="20"/>
                <w:lang w:val="en-US"/>
              </w:rPr>
            </w:pPr>
            <w:r>
              <w:rPr>
                <w:rFonts w:eastAsia="tim"/>
                <w:color w:val="000000" w:themeColor="text1"/>
                <w:spacing w:val="0"/>
                <w:sz w:val="20"/>
                <w:szCs w:val="20"/>
                <w:lang w:val="en-US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  <w:lang w:val="en-US"/>
              </w:rPr>
            </w:r>
            <w:r>
              <w:rPr>
                <w:rFonts w:eastAsia="tim"/>
                <w:color w:val="000000" w:themeColor="text1"/>
                <w:spacing w:val="0"/>
                <w:sz w:val="20"/>
                <w:szCs w:val="20"/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Длина кабеля, Метр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Интерфейс подключения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USB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Гибкая клавиатура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USB порт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Мультифункциональные клавиши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Встроенный тачпад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Подставка для рук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дополнительных клавиш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прогроммируемых клавиш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колеса прокрутки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аудиоразъема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защиты от воды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съемного кабеля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Особенности клавиш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Стандартный ход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регулировки громкости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Раскладка клавиатуры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ЙЦУКЕН, QWERTY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Способ нанесения русификации клавиатуры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Промышленный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подсветки клавиш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зональной настройки подсветки клавиш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contextualSpacing w:val="0"/>
              <w:ind w:left="-102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Отличие цвета русских букв на клавишах от латинских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contextualSpacing w:val="0"/>
              <w:ind w:left="18" w:firstLine="0"/>
              <w:jc w:val="center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pacing w:val="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13</w:t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  <w:r>
              <w:rPr>
                <w:color w:val="000000" w:themeColor="text1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Мышь компьютерная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Oklick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tabs>
                <w:tab w:val="center" w:pos="1648" w:leader="none"/>
              </w:tabs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ab/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keepLines/>
              <w:spacing w:line="240" w:lineRule="auto"/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КТРУ: 26.20.16.170-00000001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Тип подключения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Проводной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</w:rPr>
              <w:t xml:space="preserve">шт.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keepLines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pacing w:val="0"/>
                <w:sz w:val="20"/>
                <w:szCs w:val="20"/>
                <w:lang w:val="en-US"/>
              </w:rPr>
              <w:t xml:space="preserve">10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Длина кабеля, Метр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</w:t>
            </w: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Интерфейс подключения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USB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мультифункциональных клавиш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Нет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tabs>
                <w:tab w:val="center" w:pos="968" w:leader="none"/>
              </w:tabs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программируемых кнопок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Нет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боковых кнопок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функции тихого клика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Нет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съемного кабеля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Нет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Наличие сканера отпечатка пальца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Нет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Тип сенсора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Лазерный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Разрешение сенсора, точек/дюйм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ind w:firstLine="0"/>
              <w:jc w:val="left"/>
              <w:keepLines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1200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Кабель HDMI тип 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Cablexpert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tabs>
                <w:tab w:val="center" w:pos="1648" w:leader="none"/>
              </w:tabs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27.32.13.150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Разъем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HDMI</w:t>
            </w:r>
            <w:r>
              <w:rPr>
                <w:rFonts w:eastAsia="Times New Roman"/>
                <w:sz w:val="20"/>
                <w:szCs w:val="20"/>
              </w:rPr>
              <w:t xml:space="preserve"> (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m)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Разъем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HDMI (m)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Вид разъемов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Вилка-вилка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Версия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разъема 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HDMI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ver 2.0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Длина кабеля, Метр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Кабель HDMI тип 2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Cablexpert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tabs>
                <w:tab w:val="center" w:pos="1648" w:leader="none"/>
              </w:tabs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Китай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ОКПД2: 27.32.13.150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Разъем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HDMI</w:t>
            </w:r>
            <w:r>
              <w:rPr>
                <w:rFonts w:eastAsia="Times New Roman"/>
                <w:sz w:val="20"/>
                <w:szCs w:val="20"/>
              </w:rPr>
              <w:t xml:space="preserve"> (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m)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Разъем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HDMI (m)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Вид разъемов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Вилка-вилка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Версия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разъема 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HDMI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ver 2.0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Длина кабеля, Метр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pacing w:val="0"/>
                <w:sz w:val="20"/>
                <w:szCs w:val="20"/>
                <w:highlight w:val="white"/>
                <w:lang w:eastAsia="ru-RU"/>
              </w:rPr>
              <w:t xml:space="preserve">Беcпроводной HDMI удлинитель по Wi-Fi</w:t>
            </w:r>
            <w:r>
              <w:rPr>
                <w:rFonts w:eastAsia="Times New Roman"/>
                <w:spacing w:val="0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highlight w:val="white"/>
                <w:lang w:eastAsia="ru-RU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 xml:space="preserve">ORIENT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Китай</w:t>
            </w:r>
            <w:r>
              <w:rPr>
                <w:rFonts w:eastAsia="Times New Roman"/>
                <w:spacing w:val="0"/>
                <w:sz w:val="20"/>
                <w:szCs w:val="20"/>
                <w:highlight w:val="white"/>
                <w:lang w:eastAsia="ru-RU"/>
              </w:rPr>
              <w:t xml:space="preserve">.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highlight w:val="white"/>
                <w:lang w:eastAsia="ru-RU"/>
              </w:rPr>
              <w:t xml:space="preserve">ОКПД2: 26.30.11.199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Передатчик</w:t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 xml:space="preserve">HDMI</w:t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шт.</w:t>
            </w: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</w:t>
            </w: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Приемник</w:t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 xml:space="preserve">HDMI</w:t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Расстояние передачи (м)</w:t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50</w:t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Питание (V)</w:t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5</w:t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Блок розеток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Товарный знак (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марка, 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модель): </w:t>
            </w:r>
            <w:r>
              <w:rPr>
                <w:rFonts w:eastAsia="Times New Roman"/>
                <w:sz w:val="20"/>
                <w:szCs w:val="20"/>
              </w:rPr>
              <w:t xml:space="preserve">Exegate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Страна происхождения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 товара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: </w:t>
            </w:r>
            <w:r>
              <w:rPr>
                <w:rFonts w:eastAsia="Times New Roman"/>
                <w:sz w:val="20"/>
                <w:szCs w:val="20"/>
              </w:rPr>
              <w:t xml:space="preserve">Китай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КТРУ: 27.33.13.190-00000001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Длина кабеля, Метр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3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розеток EURO, Штука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5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Максимальная мощность подключенных устройств, </w:t>
            </w:r>
            <w:r>
              <w:rPr>
                <w:rFonts w:eastAsia="Times New Roman"/>
                <w:sz w:val="20"/>
                <w:szCs w:val="20"/>
              </w:rPr>
              <w:t xml:space="preserve"> Киловатт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  <w:t xml:space="preserve">.2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Требования к комплектации и конструкции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Выключатель на корпусе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Тип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Сетевой фильтр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Тип розеток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EURO с заземлением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Тип штепселя блока розеток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EURO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Блок розеток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Товарный знак (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марка, 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модель): </w:t>
            </w:r>
            <w:r>
              <w:rPr>
                <w:rFonts w:eastAsia="Times New Roman"/>
                <w:sz w:val="20"/>
                <w:szCs w:val="20"/>
              </w:rPr>
              <w:t xml:space="preserve">Exegate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Страна происхождения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 товара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: </w:t>
            </w:r>
            <w:r>
              <w:rPr>
                <w:rFonts w:eastAsia="Times New Roman"/>
                <w:sz w:val="20"/>
                <w:szCs w:val="20"/>
              </w:rPr>
              <w:t xml:space="preserve">Китай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КТРУ: 27.33.13.190-00000001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Длина кабеля, Метр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10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розеток EURO, Штука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5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Максимальная мощность подключенных устройств, </w:t>
            </w:r>
            <w:r>
              <w:rPr>
                <w:rFonts w:eastAsia="Times New Roman"/>
                <w:sz w:val="20"/>
                <w:szCs w:val="20"/>
              </w:rPr>
              <w:t xml:space="preserve"> Киловатт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  <w:t xml:space="preserve">.2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Требования к комплектации и конструкции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Выключатель на корпусе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Тип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Сетевой фильтр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Тип розеток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EURO с заземлением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Тип штепселя блока розеток</w:t>
            </w:r>
            <w:r>
              <w:rPr>
                <w:strike/>
                <w:sz w:val="20"/>
                <w:szCs w:val="20"/>
              </w:rPr>
            </w:r>
            <w:r>
              <w:rPr>
                <w:strike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EURO</w:t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  <w:r>
              <w:rPr>
                <w:strike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Носители данных оптические без записи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(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0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0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штук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)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Товарный знак (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марка, 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модель): </w:t>
            </w:r>
            <w:r>
              <w:rPr>
                <w:rFonts w:eastAsia="Times New Roman"/>
                <w:sz w:val="20"/>
                <w:szCs w:val="20"/>
              </w:rPr>
              <w:t xml:space="preserve">Mirex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Страна происхождения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 товара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: </w:t>
            </w:r>
            <w:r>
              <w:rPr>
                <w:rFonts w:eastAsia="Times New Roman"/>
                <w:sz w:val="20"/>
                <w:szCs w:val="20"/>
              </w:rPr>
              <w:t xml:space="preserve">Российская Федерация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ОКПД2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: 26.80.12.000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Тип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9" w:tooltip="https://www.komus.ru/katalog/tekhnika/kompyutery-i-periferiya/nositeli-informatsii/kompakt-diski/kompakt-diski-dvd/c/16409/f/1598=dvd-r/3312=50/?from=kth-2" w:history="1">
              <w:r>
                <w:rPr>
                  <w:rFonts w:eastAsia="Times New Roman"/>
                  <w:sz w:val="20"/>
                  <w:szCs w:val="20"/>
                  <w:highlight w:val="white"/>
                  <w:lang w:eastAsia="ru-RU"/>
                </w:rPr>
                <w:t xml:space="preserve">DVD-R</w:t>
              </w:r>
            </w:hyperlink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упаковка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Емкость диска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" w:tooltip="https://www.komus.ru/katalog/tekhnika/kompyutery-i-periferiya/nositeli-informatsii/kompakt-diski/kompakt-diski-dvd/c/16409/f/9420=4-7-gb/?from=kth-2" w:history="1">
              <w:r>
                <w:rPr>
                  <w:rFonts w:eastAsia="Times New Roman"/>
                  <w:sz w:val="20"/>
                  <w:szCs w:val="20"/>
                  <w:highlight w:val="white"/>
                  <w:lang w:eastAsia="ru-RU"/>
                </w:rPr>
                <w:t xml:space="preserve">4.7 ГБ</w:t>
              </w:r>
            </w:hyperlink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Скорость записи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16x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Количество штук в упаковке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100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42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pacing w:val="0"/>
                <w:sz w:val="20"/>
                <w:szCs w:val="20"/>
                <w:highlight w:val="white"/>
                <w:lang w:eastAsia="ru-RU"/>
              </w:rPr>
              <w:t xml:space="preserve">Спикерфон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Товарный знак (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марка, 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модель): </w:t>
            </w:r>
            <w:r>
              <w:rPr>
                <w:rFonts w:eastAsia="Times New Roman"/>
                <w:sz w:val="20"/>
                <w:szCs w:val="20"/>
              </w:rPr>
              <w:t xml:space="preserve">Yealink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trike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Страна происхождения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 товара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: </w:t>
            </w:r>
            <w:r>
              <w:rPr>
                <w:rFonts w:eastAsia="Times New Roman"/>
                <w:sz w:val="20"/>
                <w:szCs w:val="20"/>
              </w:rPr>
              <w:t xml:space="preserve">Китай</w:t>
            </w:r>
            <w:r>
              <w:rPr>
                <w:strike/>
                <w:sz w:val="20"/>
                <w:szCs w:val="20"/>
                <w:highlight w:val="white"/>
              </w:rPr>
            </w:r>
            <w:r>
              <w:rPr>
                <w:strike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left"/>
              <w:spacing w:line="240" w:lineRule="auto"/>
              <w:rPr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pacing w:val="0"/>
                <w:sz w:val="20"/>
                <w:szCs w:val="20"/>
                <w:highlight w:val="white"/>
              </w:rPr>
              <w:t xml:space="preserve">ОКПД2: 26.40.42.110</w:t>
            </w:r>
            <w:r>
              <w:rPr>
                <w:spacing w:val="0"/>
                <w:sz w:val="20"/>
                <w:szCs w:val="20"/>
                <w:highlight w:val="white"/>
              </w:rPr>
            </w:r>
            <w:r>
              <w:rPr>
                <w:spacing w:val="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Вес, Грамм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400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Интерфейсы подключения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USB С и Bluetooth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Количество клавиш, Штука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7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Тип клавиш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сенсорные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Версия Bluetooth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5,3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Дальность беспроводного подключения, Метр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30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Тип батареи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литий-ионная, полимерная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Емкость, мАч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6000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Широкополосное аудио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Полнодуплексная связь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Наличие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Шумоподавление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Наличие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z w:val="20"/>
                <w:szCs w:val="20"/>
                <w:highlight w:val="gree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Микрофон</w: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Всенаправленный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  <w:highlight w:val="green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Радиус захвата, Метр</w:t>
            </w:r>
            <w:r>
              <w:rPr>
                <w:spacing w:val="0"/>
                <w:sz w:val="20"/>
                <w:szCs w:val="20"/>
                <w:highlight w:val="green"/>
              </w:rPr>
            </w:r>
            <w:r>
              <w:rPr>
                <w:spacing w:val="0"/>
                <w:sz w:val="20"/>
                <w:szCs w:val="20"/>
                <w:highlight w:val="green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от 4 до 6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  <w:highlight w:val="green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Соотношение сигнал/шум, 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Децибел</w:t>
            </w:r>
            <w:r>
              <w:rPr>
                <w:spacing w:val="0"/>
                <w:sz w:val="20"/>
                <w:szCs w:val="20"/>
                <w:highlight w:val="green"/>
              </w:rPr>
            </w:r>
            <w:r>
              <w:rPr>
                <w:spacing w:val="0"/>
                <w:sz w:val="20"/>
                <w:szCs w:val="20"/>
                <w:highlight w:val="green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+63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Частотный диапазон в режиме конференции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 от 100 Гц - 10 кГц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Среднеквадратичная мощность (RMS), Ватт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5</w:t>
            </w:r>
            <w:r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Чувствительность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84 дБ SPL @ 1 м, 1 Вт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Длина кабеля, Метр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1.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5</w:t>
            </w:r>
            <w:r>
              <w:rPr>
                <w:rFonts w:eastAsia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2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118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Максимальная мощность</w:t>
            </w:r>
            <w:r>
              <w:rPr>
                <w:rFonts w:eastAsia="Times New Roman"/>
                <w:spacing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pacing w:val="0"/>
                <w:sz w:val="20"/>
                <w:szCs w:val="20"/>
              </w:rPr>
              <w:t xml:space="preserve">динамика, Ватт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ind w:left="18" w:firstLine="0"/>
              <w:jc w:val="left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  <w:t xml:space="preserve">7</w:t>
            </w:r>
            <w:r>
              <w:rPr>
                <w:spacing w:val="0"/>
                <w:sz w:val="20"/>
                <w:szCs w:val="20"/>
              </w:rPr>
            </w:r>
            <w:r>
              <w:rPr>
                <w:spacing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</w:pPr>
      <w:r>
        <w:t xml:space="preserve">* эквивалент не допускается в связи с необходимостью частичной замены неисправных светильников в центре обработки данных с сохранением единого стиля.</w:t>
      </w:r>
      <w:r/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15" w:hanging="504"/>
      </w:pPr>
      <w:rPr>
        <w:rFonts w:hint="default" w:ascii="Times New Roman" w:hAnsi="Times New Roman" w:cs="Times New Roman"/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8" w:hanging="1440"/>
      </w:pPr>
      <w:rPr>
        <w:vertAlign w:val="baseline"/>
      </w:rPr>
    </w:lvl>
  </w:abstractNum>
  <w:abstractNum w:abstractNumId="1">
    <w:multiLevelType w:val="hybridMultilevel"/>
    <w:lvl w:ilvl="0">
      <w:start w:val="1"/>
      <w:numFmt w:val="russianLower"/>
      <w:pStyle w:val="858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778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"/>
      <w:lvlJc w:val="left"/>
      <w:pPr>
        <w:ind w:left="2487" w:hanging="360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350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2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4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6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8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04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15" w:hanging="504"/>
      </w:pPr>
      <w:rPr>
        <w:rFonts w:hint="default" w:ascii="Times New Roman" w:hAnsi="Times New Roman" w:cs="Times New Roman"/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8" w:hanging="144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687"/>
    <w:link w:val="678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687"/>
    <w:link w:val="679"/>
    <w:uiPriority w:val="9"/>
    <w:rPr>
      <w:rFonts w:ascii="Arial" w:hAnsi="Arial" w:eastAsia="Arial" w:cs="Arial"/>
      <w:sz w:val="34"/>
    </w:rPr>
  </w:style>
  <w:style w:type="character" w:styleId="662">
    <w:name w:val="Heading 3 Char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66">
    <w:name w:val="Heading 7 Char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8 Char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68">
    <w:name w:val="Heading 9 Char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69">
    <w:name w:val="Title Char"/>
    <w:basedOn w:val="687"/>
    <w:link w:val="700"/>
    <w:uiPriority w:val="10"/>
    <w:rPr>
      <w:sz w:val="48"/>
      <w:szCs w:val="48"/>
    </w:rPr>
  </w:style>
  <w:style w:type="character" w:styleId="670">
    <w:name w:val="Subtitle Char"/>
    <w:basedOn w:val="687"/>
    <w:link w:val="702"/>
    <w:uiPriority w:val="11"/>
    <w:rPr>
      <w:sz w:val="24"/>
      <w:szCs w:val="24"/>
    </w:rPr>
  </w:style>
  <w:style w:type="character" w:styleId="671">
    <w:name w:val="Quote Char"/>
    <w:link w:val="704"/>
    <w:uiPriority w:val="29"/>
    <w:rPr>
      <w:i/>
    </w:rPr>
  </w:style>
  <w:style w:type="character" w:styleId="672">
    <w:name w:val="Intense Quote Char"/>
    <w:link w:val="706"/>
    <w:uiPriority w:val="30"/>
    <w:rPr>
      <w:i/>
    </w:rPr>
  </w:style>
  <w:style w:type="character" w:styleId="673">
    <w:name w:val="Header Char"/>
    <w:basedOn w:val="687"/>
    <w:link w:val="708"/>
    <w:uiPriority w:val="99"/>
  </w:style>
  <w:style w:type="character" w:styleId="674">
    <w:name w:val="Caption Char"/>
    <w:basedOn w:val="687"/>
    <w:link w:val="712"/>
    <w:uiPriority w:val="35"/>
    <w:rPr>
      <w:b/>
      <w:bCs/>
      <w:color w:val="4f81bd" w:themeColor="accent1"/>
      <w:sz w:val="18"/>
      <w:szCs w:val="18"/>
    </w:rPr>
  </w:style>
  <w:style w:type="character" w:styleId="675">
    <w:name w:val="Footnote Text Char"/>
    <w:link w:val="841"/>
    <w:uiPriority w:val="99"/>
    <w:rPr>
      <w:sz w:val="18"/>
    </w:rPr>
  </w:style>
  <w:style w:type="character" w:styleId="676">
    <w:name w:val="Endnote Text Char"/>
    <w:link w:val="844"/>
    <w:uiPriority w:val="99"/>
    <w:rPr>
      <w:sz w:val="20"/>
    </w:rPr>
  </w:style>
  <w:style w:type="paragraph" w:styleId="677" w:default="1">
    <w:name w:val="Normal"/>
    <w:qFormat/>
    <w:pPr>
      <w:contextualSpacing/>
      <w:ind w:firstLine="709"/>
      <w:jc w:val="both"/>
      <w:spacing w:after="0" w:line="360" w:lineRule="exact"/>
    </w:pPr>
    <w:rPr>
      <w:rFonts w:ascii="Times New Roman" w:hAnsi="Times New Roman" w:eastAsia="Calibri" w:cs="Times New Roman"/>
      <w:spacing w:val="2"/>
      <w:sz w:val="24"/>
    </w:rPr>
  </w:style>
  <w:style w:type="paragraph" w:styleId="678">
    <w:name w:val="Heading 1"/>
    <w:basedOn w:val="677"/>
    <w:next w:val="677"/>
    <w:link w:val="69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9">
    <w:name w:val="Heading 2"/>
    <w:basedOn w:val="677"/>
    <w:next w:val="677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0">
    <w:name w:val="Heading 3"/>
    <w:basedOn w:val="677"/>
    <w:next w:val="677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next w:val="677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next w:val="677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683">
    <w:name w:val="Heading 6"/>
    <w:basedOn w:val="677"/>
    <w:next w:val="677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684">
    <w:name w:val="Heading 7"/>
    <w:basedOn w:val="677"/>
    <w:next w:val="677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85">
    <w:name w:val="Heading 8"/>
    <w:basedOn w:val="677"/>
    <w:next w:val="677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686">
    <w:name w:val="Heading 9"/>
    <w:basedOn w:val="677"/>
    <w:next w:val="677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Заголовок 1 Знак"/>
    <w:basedOn w:val="687"/>
    <w:link w:val="678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Заголовок 2 Знак"/>
    <w:basedOn w:val="687"/>
    <w:link w:val="679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700">
    <w:name w:val="Title"/>
    <w:basedOn w:val="677"/>
    <w:next w:val="677"/>
    <w:link w:val="701"/>
    <w:uiPriority w:val="10"/>
    <w:qFormat/>
    <w:pPr>
      <w:spacing w:before="300" w:after="200"/>
    </w:pPr>
    <w:rPr>
      <w:sz w:val="48"/>
      <w:szCs w:val="48"/>
    </w:rPr>
  </w:style>
  <w:style w:type="character" w:styleId="701" w:customStyle="1">
    <w:name w:val="Заголовок Знак"/>
    <w:basedOn w:val="687"/>
    <w:link w:val="700"/>
    <w:uiPriority w:val="10"/>
    <w:rPr>
      <w:sz w:val="48"/>
      <w:szCs w:val="48"/>
    </w:rPr>
  </w:style>
  <w:style w:type="paragraph" w:styleId="702">
    <w:name w:val="Subtitle"/>
    <w:basedOn w:val="677"/>
    <w:next w:val="677"/>
    <w:link w:val="703"/>
    <w:uiPriority w:val="11"/>
    <w:qFormat/>
    <w:pPr>
      <w:spacing w:before="200" w:after="200"/>
    </w:pPr>
    <w:rPr>
      <w:szCs w:val="24"/>
    </w:rPr>
  </w:style>
  <w:style w:type="character" w:styleId="703" w:customStyle="1">
    <w:name w:val="Подзаголовок Знак"/>
    <w:basedOn w:val="687"/>
    <w:link w:val="702"/>
    <w:uiPriority w:val="11"/>
    <w:rPr>
      <w:sz w:val="24"/>
      <w:szCs w:val="24"/>
    </w:rPr>
  </w:style>
  <w:style w:type="paragraph" w:styleId="704">
    <w:name w:val="Quote"/>
    <w:basedOn w:val="677"/>
    <w:next w:val="677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77"/>
    <w:next w:val="677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77"/>
    <w:link w:val="709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09" w:customStyle="1">
    <w:name w:val="Верхний колонтитул Знак"/>
    <w:basedOn w:val="687"/>
    <w:link w:val="708"/>
    <w:uiPriority w:val="99"/>
  </w:style>
  <w:style w:type="paragraph" w:styleId="710">
    <w:name w:val="Footer"/>
    <w:basedOn w:val="677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11" w:customStyle="1">
    <w:name w:val="Footer Char"/>
    <w:basedOn w:val="687"/>
    <w:uiPriority w:val="99"/>
  </w:style>
  <w:style w:type="paragraph" w:styleId="712">
    <w:name w:val="Caption"/>
    <w:basedOn w:val="677"/>
    <w:next w:val="677"/>
    <w:link w:val="71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3" w:customStyle="1">
    <w:name w:val="Название объекта Знак"/>
    <w:link w:val="712"/>
    <w:uiPriority w:val="99"/>
  </w:style>
  <w:style w:type="table" w:styleId="714">
    <w:name w:val="Table Grid"/>
    <w:basedOn w:val="68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5" w:customStyle="1">
    <w:name w:val="Table Grid Light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6">
    <w:name w:val="Plain Table 1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8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ned - Accent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563c1" w:themeColor="hyperlink"/>
      <w:u w:val="single"/>
    </w:rPr>
  </w:style>
  <w:style w:type="paragraph" w:styleId="841">
    <w:name w:val="footnote text"/>
    <w:basedOn w:val="677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 w:customStyle="1">
    <w:name w:val="Текст сноски Знак"/>
    <w:link w:val="841"/>
    <w:uiPriority w:val="99"/>
    <w:rPr>
      <w:sz w:val="18"/>
    </w:rPr>
  </w:style>
  <w:style w:type="character" w:styleId="843">
    <w:name w:val="footnote reference"/>
    <w:basedOn w:val="687"/>
    <w:uiPriority w:val="99"/>
    <w:unhideWhenUsed/>
    <w:rPr>
      <w:vertAlign w:val="superscript"/>
    </w:rPr>
  </w:style>
  <w:style w:type="paragraph" w:styleId="844">
    <w:name w:val="endnote text"/>
    <w:basedOn w:val="677"/>
    <w:link w:val="845"/>
    <w:uiPriority w:val="99"/>
    <w:semiHidden/>
    <w:unhideWhenUsed/>
    <w:pPr>
      <w:spacing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87"/>
    <w:uiPriority w:val="99"/>
    <w:semiHidden/>
    <w:unhideWhenUsed/>
    <w:rPr>
      <w:vertAlign w:val="superscript"/>
    </w:rPr>
  </w:style>
  <w:style w:type="paragraph" w:styleId="847">
    <w:name w:val="toc 1"/>
    <w:basedOn w:val="677"/>
    <w:next w:val="677"/>
    <w:uiPriority w:val="39"/>
    <w:unhideWhenUsed/>
    <w:pPr>
      <w:ind w:firstLine="0"/>
      <w:spacing w:after="57"/>
    </w:pPr>
  </w:style>
  <w:style w:type="paragraph" w:styleId="848">
    <w:name w:val="toc 2"/>
    <w:basedOn w:val="677"/>
    <w:next w:val="677"/>
    <w:uiPriority w:val="39"/>
    <w:unhideWhenUsed/>
    <w:pPr>
      <w:ind w:left="283" w:firstLine="0"/>
      <w:spacing w:after="57"/>
    </w:pPr>
  </w:style>
  <w:style w:type="paragraph" w:styleId="849">
    <w:name w:val="toc 3"/>
    <w:basedOn w:val="677"/>
    <w:next w:val="677"/>
    <w:uiPriority w:val="39"/>
    <w:unhideWhenUsed/>
    <w:pPr>
      <w:ind w:left="567" w:firstLine="0"/>
      <w:spacing w:after="57"/>
    </w:pPr>
  </w:style>
  <w:style w:type="paragraph" w:styleId="850">
    <w:name w:val="toc 4"/>
    <w:basedOn w:val="677"/>
    <w:next w:val="677"/>
    <w:uiPriority w:val="39"/>
    <w:unhideWhenUsed/>
    <w:pPr>
      <w:ind w:left="850" w:firstLine="0"/>
      <w:spacing w:after="57"/>
    </w:pPr>
  </w:style>
  <w:style w:type="paragraph" w:styleId="851">
    <w:name w:val="toc 5"/>
    <w:basedOn w:val="677"/>
    <w:next w:val="677"/>
    <w:uiPriority w:val="39"/>
    <w:unhideWhenUsed/>
    <w:pPr>
      <w:ind w:left="1134" w:firstLine="0"/>
      <w:spacing w:after="57"/>
    </w:pPr>
  </w:style>
  <w:style w:type="paragraph" w:styleId="852">
    <w:name w:val="toc 6"/>
    <w:basedOn w:val="677"/>
    <w:next w:val="677"/>
    <w:uiPriority w:val="39"/>
    <w:unhideWhenUsed/>
    <w:pPr>
      <w:ind w:left="1417" w:firstLine="0"/>
      <w:spacing w:after="57"/>
    </w:pPr>
  </w:style>
  <w:style w:type="paragraph" w:styleId="853">
    <w:name w:val="toc 7"/>
    <w:basedOn w:val="677"/>
    <w:next w:val="677"/>
    <w:uiPriority w:val="39"/>
    <w:unhideWhenUsed/>
    <w:pPr>
      <w:ind w:left="1701" w:firstLine="0"/>
      <w:spacing w:after="57"/>
    </w:pPr>
  </w:style>
  <w:style w:type="paragraph" w:styleId="854">
    <w:name w:val="toc 8"/>
    <w:basedOn w:val="677"/>
    <w:next w:val="677"/>
    <w:uiPriority w:val="39"/>
    <w:unhideWhenUsed/>
    <w:pPr>
      <w:ind w:left="1984" w:firstLine="0"/>
      <w:spacing w:after="57"/>
    </w:pPr>
  </w:style>
  <w:style w:type="paragraph" w:styleId="855">
    <w:name w:val="toc 9"/>
    <w:basedOn w:val="677"/>
    <w:next w:val="677"/>
    <w:uiPriority w:val="39"/>
    <w:unhideWhenUsed/>
    <w:pPr>
      <w:ind w:left="2268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77"/>
    <w:next w:val="677"/>
    <w:uiPriority w:val="99"/>
    <w:unhideWhenUsed/>
  </w:style>
  <w:style w:type="paragraph" w:styleId="858">
    <w:name w:val="List Paragraph"/>
    <w:basedOn w:val="677"/>
    <w:link w:val="859"/>
    <w:uiPriority w:val="34"/>
    <w:qFormat/>
    <w:pPr>
      <w:numPr>
        <w:ilvl w:val="0"/>
        <w:numId w:val="1"/>
      </w:numPr>
    </w:pPr>
  </w:style>
  <w:style w:type="character" w:styleId="859" w:customStyle="1">
    <w:name w:val="Абзац списка Знак"/>
    <w:link w:val="858"/>
    <w:uiPriority w:val="34"/>
    <w:qFormat/>
    <w:rPr>
      <w:rFonts w:ascii="Times New Roman" w:hAnsi="Times New Roman" w:eastAsia="Calibri" w:cs="Times New Roman"/>
      <w:spacing w:val="2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komus.ru/katalog/tekhnika/kompyutery-i-periferiya/nositeli-informatsii/kompakt-diski/kompakt-diski-dvd/c/16409/f/1598=dvd-r/3312=50/?from=kth-2" TargetMode="External"/><Relationship Id="rId10" Type="http://schemas.openxmlformats.org/officeDocument/2006/relationships/hyperlink" Target="https://www.komus.ru/katalog/tekhnika/kompyutery-i-periferiya/nositeli-informatsii/kompakt-diski/kompakt-diski-dvd/c/16409/f/9420=4-7-gb/?from=kth-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4</cp:revision>
  <dcterms:created xsi:type="dcterms:W3CDTF">2026-07-23T16:31:00Z</dcterms:created>
  <dcterms:modified xsi:type="dcterms:W3CDTF">2026-07-24T09:15:32Z</dcterms:modified>
</cp:coreProperties>
</file>