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</w:pPr>
      <w:r/>
      <w:r/>
    </w:p>
    <w:tbl>
      <w:tblPr>
        <w:tblW w:w="10269" w:type="dxa"/>
        <w:tblInd w:w="-52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2430"/>
        <w:gridCol w:w="2880"/>
        <w:gridCol w:w="1679"/>
        <w:gridCol w:w="393"/>
        <w:gridCol w:w="574"/>
        <w:gridCol w:w="2313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№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_____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26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1 5503085391 550301001 0007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000 0000 000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Исилькуль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__________________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врио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действующего на основании приказа от 23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233-к, с одной стороны, </w:t>
              <w:br/>
              <w:t xml:space="preserve">и _________________________________________________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  <w:br/>
              <w:t xml:space="preserve">в лице главного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врача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 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ействующего на основании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  <w:br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от 05.04.2013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06.20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адресу: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Исилькульский район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Исилькуль, ул. Тельмана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д. 167.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667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09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41-01165-55/00572955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выданной Министерством здравоохранения Омской области, расположенного по адресу: 644043, Омская область, г. Омск, ул. Красный Путь, д. 6, телефон: 8 (3812) 23-35-25, факс: 8 (3812) 25-82-17.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Услуг, в соответствии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ст. 7 Федерального закона 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1 960,00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руб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Одна тысяча девятьсот шестьдесят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рублей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  <w:br/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00 копеек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1 750,00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рублей (Одна тысяча семьсот пятьдесят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</w:t>
              <w:br/>
              <w:t xml:space="preserve">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210,00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рублей (Двести десять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до 10 (Десятого) числа месяца, следующего за отчетным, Исполнитель выставляет и направляет Заказчику Акт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оказан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– Акт) в 2 (Двух) экземплярах для подписания с приложением счета-фактуры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(счета)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реестра предрейсовых медицинских осмотров водителей за истекший месяц.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слуг осуществляется в безналичной форме 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Десяти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 рабочих дней </w:t>
              <w:br/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Исполнителем счета-фактуры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(счета)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Акта с приложением реестра осмотра водителей, заверенного печатью и подписью главного врача (главного бухгалтера или Исполнителя),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Заказчика.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уменьшает сумму, подлежащую уплате Исполнителю, на размер налогов, сборов </w:t>
              <w:br w:type="textWrapping" w:clear="all"/>
              <w:t xml:space="preserve">и иных обязательных платежей в бюджеты бюджетной системы 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1008"/>
              <w:numPr>
                <w:ilvl w:val="0"/>
                <w:numId w:val="0"/>
              </w:numPr>
              <w:ind w:left="36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1008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08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его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num" w:pos="720" w:leader="none"/>
              </w:tabs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почтой по юридическому адресу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6440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07, Омская область, г.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Омск, ул. Орджоникидзе, 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и посредств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 электронного документооборота (СБИС, ООО «Компания «Тензор»).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709"/>
              <w:jc w:val="both"/>
              <w:tabs>
                <w:tab w:val="num" w:pos="720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1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16"/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31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.12.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 в части финансовых обязательств – до полного их исполнения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06.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03211643000000015108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ОКЦ № 1 СибГУ Банка России//УФК </w:t>
              <w:br w:type="textWrapping" w:clear="all"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БИК 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ефон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лавн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ый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tabs>
          <w:tab w:val="left" w:pos="5445" w:leader="none"/>
          <w:tab w:val="left" w:pos="6480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  <w:lang w:val="en-US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</w:p>
    <w:p>
      <w:pPr>
        <w:jc w:val="right"/>
        <w:tabs>
          <w:tab w:val="left" w:pos="5445" w:leader="none"/>
          <w:tab w:val="left" w:pos="6480" w:leader="none"/>
        </w:tabs>
        <w:rPr>
          <w:rFonts w:ascii="Tinos" w:hAnsi="Tinos" w:eastAsia="Tinos" w:cs="Tinos"/>
          <w:sz w:val="22"/>
          <w:szCs w:val="22"/>
          <w:highlight w:val="none"/>
          <w:lang w:val="en-US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lang w:val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</w:p>
    <w:p>
      <w:pPr>
        <w:pStyle w:val="916"/>
        <w:jc w:val="righ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________________</w:t>
      </w:r>
      <w:r>
        <w:rPr>
          <w:rFonts w:ascii="Tinos" w:hAnsi="Tinos" w:eastAsia="Tinos" w:cs="Tinos"/>
          <w:sz w:val="22"/>
          <w:szCs w:val="22"/>
        </w:rPr>
        <w:t xml:space="preserve"> 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16"/>
          <w:szCs w:val="16"/>
        </w:rPr>
      </w:pP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16"/>
          <w:szCs w:val="16"/>
        </w:rPr>
      </w:pP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16"/>
          <w:szCs w:val="16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b/>
          <w:bCs/>
          <w:sz w:val="16"/>
          <w:szCs w:val="16"/>
          <w:highlight w:val="non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</w:t>
      </w:r>
      <w:r>
        <w:rPr>
          <w:rFonts w:ascii="Tinos" w:hAnsi="Tinos" w:eastAsia="Tinos" w:cs="Tinos"/>
          <w:bCs/>
          <w:sz w:val="22"/>
          <w:szCs w:val="22"/>
        </w:rPr>
        <w:t xml:space="preserve">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информации о величине </w:t>
      </w:r>
      <w:r>
        <w:rPr>
          <w:rFonts w:ascii="Tinos" w:hAnsi="Tinos" w:eastAsia="Tinos" w:cs="Tinos"/>
          <w:bCs/>
          <w:sz w:val="22"/>
          <w:szCs w:val="22"/>
        </w:rPr>
        <w:t xml:space="preserve">платы </w:t>
      </w:r>
      <w:r>
        <w:rPr>
          <w:rFonts w:ascii="Tinos" w:hAnsi="Tinos" w:eastAsia="Tinos" w:cs="Tinos"/>
          <w:bCs/>
          <w:sz w:val="22"/>
          <w:szCs w:val="22"/>
        </w:rPr>
        <w:br w:type="textWrapping" w:clear="all"/>
      </w:r>
      <w:r>
        <w:rPr>
          <w:rFonts w:ascii="Tinos" w:hAnsi="Tinos" w:eastAsia="Tinos" w:cs="Tinos"/>
          <w:bCs/>
          <w:sz w:val="22"/>
          <w:szCs w:val="22"/>
        </w:rPr>
        <w:t xml:space="preserve">за оказание услуг (работ),</w:t>
      </w:r>
      <w:r>
        <w:rPr>
          <w:rFonts w:ascii="Tinos" w:hAnsi="Tinos" w:eastAsia="Tinos" w:cs="Tinos"/>
          <w:bCs/>
          <w:sz w:val="22"/>
          <w:szCs w:val="22"/>
        </w:rPr>
        <w:t xml:space="preserve"> БУЗОО «Исилькульская</w:t>
      </w:r>
      <w:r>
        <w:rPr>
          <w:rFonts w:ascii="Tinos" w:hAnsi="Tinos" w:eastAsia="Tinos" w:cs="Tinos"/>
          <w:sz w:val="22"/>
          <w:szCs w:val="22"/>
        </w:rPr>
        <w:t xml:space="preserve"> ЦРБ</w:t>
      </w:r>
      <w:r>
        <w:rPr>
          <w:rFonts w:ascii="Tinos" w:hAnsi="Tinos" w:eastAsia="Tinos" w:cs="Tinos"/>
          <w:bCs/>
          <w:sz w:val="22"/>
          <w:szCs w:val="22"/>
        </w:rPr>
        <w:t xml:space="preserve">» по проведению предрейсовых</w:t>
      </w:r>
      <w:r>
        <w:rPr>
          <w:rFonts w:ascii="Tinos" w:hAnsi="Tinos" w:eastAsia="Tinos" w:cs="Tinos"/>
          <w:bCs/>
          <w:sz w:val="22"/>
          <w:szCs w:val="22"/>
        </w:rPr>
        <w:t xml:space="preserve"> </w:t>
        <w:br w:type="textWrapping" w:clear="all"/>
        <w:t xml:space="preserve">(</w:t>
      </w:r>
      <w:r>
        <w:rPr>
          <w:rFonts w:ascii="Tinos" w:hAnsi="Tinos" w:eastAsia="Tinos" w:cs="Tinos"/>
          <w:bCs/>
          <w:sz w:val="22"/>
          <w:szCs w:val="22"/>
        </w:rPr>
        <w:t xml:space="preserve">послерейсовых</w:t>
      </w:r>
      <w:r>
        <w:rPr>
          <w:rFonts w:ascii="Tinos" w:hAnsi="Tinos" w:eastAsia="Tinos" w:cs="Tinos"/>
          <w:bCs/>
          <w:sz w:val="22"/>
          <w:szCs w:val="22"/>
        </w:rPr>
        <w:t xml:space="preserve">)</w:t>
      </w:r>
      <w:r>
        <w:rPr>
          <w:rFonts w:ascii="Tinos" w:hAnsi="Tinos" w:eastAsia="Tinos" w:cs="Tinos"/>
          <w:bCs/>
          <w:sz w:val="22"/>
          <w:szCs w:val="22"/>
        </w:rPr>
        <w:t xml:space="preserve"> осмотров водителей</w:t>
      </w:r>
      <w:r>
        <w:rPr>
          <w:rFonts w:ascii="Tinos" w:hAnsi="Tinos" w:eastAsia="Tinos" w:cs="Tinos"/>
          <w:bCs/>
          <w:sz w:val="22"/>
          <w:szCs w:val="22"/>
        </w:rPr>
        <w:t xml:space="preserve"> на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2025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, 202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6.</w:t>
      </w:r>
      <w:r>
        <w:rPr>
          <w:rFonts w:ascii="Tinos" w:hAnsi="Tinos" w:eastAsia="Tinos" w:cs="Tinos"/>
          <w:color w:val="ff0000"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16"/>
          <w:szCs w:val="16"/>
          <w:highlight w:val="non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eastAsia="Tinos" w:cs="Tinos"/>
          <w:color w:val="ff0000"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16"/>
          <w:szCs w:val="16"/>
          <w:highlight w:val="none"/>
        </w:rPr>
      </w:r>
      <w:r>
        <w:rPr>
          <w:rFonts w:ascii="Tinos" w:hAnsi="Tinos" w:cs="Tinos"/>
          <w:b/>
          <w:bCs/>
          <w:sz w:val="16"/>
          <w:szCs w:val="16"/>
          <w:highlight w:val="none"/>
        </w:rPr>
      </w:r>
      <w:r>
        <w:rPr>
          <w:rFonts w:ascii="Tinos" w:hAnsi="Tinos" w:eastAsia="Tinos" w:cs="Tinos"/>
          <w:color w:val="ff0000"/>
          <w:sz w:val="22"/>
          <w:szCs w:val="22"/>
          <w:highlight w:val="none"/>
        </w:rPr>
      </w:r>
    </w:p>
    <w:tbl>
      <w:tblPr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980"/>
        <w:gridCol w:w="2340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280,00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35000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"/>
        </w:trPr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350,00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350,00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210,00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210,00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70,00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210,00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28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ff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0000"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color w:val="ff0000"/>
                <w:sz w:val="22"/>
                <w:szCs w:val="22"/>
              </w:rPr>
            </w:r>
            <w:r>
              <w:rPr>
                <w:rFonts w:ascii="Tinos" w:hAnsi="Tinos" w:cs="Tinos"/>
                <w:color w:val="ff0000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highlight w:val="none"/>
              </w:rPr>
              <w:t xml:space="preserve">1 960,00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  <w:highlight w:val="white"/>
              </w:rPr>
            </w:r>
          </w:p>
        </w:tc>
      </w:tr>
    </w:tbl>
    <w:p>
      <w:pPr>
        <w:ind w:firstLine="708"/>
        <w:jc w:val="center"/>
        <w:rPr>
          <w:rFonts w:ascii="Tinos" w:hAnsi="Tinos" w:cs="Tinos"/>
          <w:sz w:val="16"/>
          <w:szCs w:val="16"/>
        </w:rPr>
      </w:pPr>
      <w:r>
        <w:rPr>
          <w:rFonts w:ascii="Tinos" w:hAnsi="Tinos" w:cs="Tinos"/>
          <w:bCs/>
          <w:sz w:val="16"/>
          <w:szCs w:val="16"/>
        </w:rPr>
      </w:r>
      <w:r>
        <w:rPr>
          <w:rFonts w:ascii="Tinos" w:hAnsi="Tinos" w:cs="Tinos"/>
          <w:bCs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ind w:firstLine="708"/>
        <w:jc w:val="center"/>
        <w:rPr>
          <w:rFonts w:ascii="Tinos" w:hAnsi="Tinos" w:cs="Tinos"/>
          <w:sz w:val="16"/>
          <w:szCs w:val="16"/>
        </w:rPr>
      </w:pP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pStyle w:val="916"/>
        <w:ind w:firstLine="708"/>
        <w:jc w:val="center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Cs/>
          <w:sz w:val="16"/>
          <w:szCs w:val="16"/>
        </w:rPr>
      </w:r>
      <w:r>
        <w:rPr>
          <w:rFonts w:ascii="Tinos" w:hAnsi="Tinos" w:cs="Tinos"/>
          <w:bCs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pStyle w:val="916"/>
        <w:ind w:firstLine="708"/>
        <w:jc w:val="center"/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r>
    </w:p>
    <w:p>
      <w:pPr>
        <w:ind w:firstLine="708"/>
        <w:jc w:val="center"/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:lang w:val="en-US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</w:t>
      </w:r>
      <w:r>
        <w:rPr>
          <w:rFonts w:ascii="Tinos" w:hAnsi="Tinos" w:eastAsia="Tinos" w:cs="Tinos"/>
          <w:sz w:val="22"/>
          <w:szCs w:val="22"/>
        </w:rPr>
        <w:t xml:space="preserve">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pStyle w:val="932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6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539" w:right="851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6"/>
        <w:ind w:firstLine="540"/>
        <w:jc w:val="both"/>
      </w:pPr>
      <w:r>
        <w:rPr>
          <w:rStyle w:val="951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0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18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0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1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2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3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4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5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999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09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08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1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2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35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,H1,.,Название спецификации,h:1,h:1app,TF-Overskrift 1,H11,R1,Titre 0"/>
    <w:basedOn w:val="916"/>
    <w:next w:val="916"/>
    <w:link w:val="957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18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16"/>
    <w:next w:val="916"/>
    <w:link w:val="916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19">
    <w:name w:val="Заголовок 3"/>
    <w:basedOn w:val="916"/>
    <w:next w:val="916"/>
    <w:link w:val="916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0">
    <w:name w:val="Заголовок 4,Заголовок 4 (Приложение),H4"/>
    <w:basedOn w:val="916"/>
    <w:next w:val="916"/>
    <w:link w:val="916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1">
    <w:name w:val="Заголовок 5,H5"/>
    <w:basedOn w:val="916"/>
    <w:next w:val="916"/>
    <w:link w:val="916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2">
    <w:name w:val="Заголовок 6"/>
    <w:basedOn w:val="916"/>
    <w:next w:val="916"/>
    <w:link w:val="916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3">
    <w:name w:val="Заголовок 7"/>
    <w:basedOn w:val="916"/>
    <w:next w:val="916"/>
    <w:link w:val="916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4">
    <w:name w:val="Заголовок 8"/>
    <w:basedOn w:val="916"/>
    <w:next w:val="916"/>
    <w:link w:val="916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5">
    <w:name w:val="Заголовок 9"/>
    <w:basedOn w:val="916"/>
    <w:next w:val="916"/>
    <w:link w:val="916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26">
    <w:name w:val="Основной шрифт абзаца, Знак Знак7 Знак Знак Знак Знак"/>
    <w:next w:val="926"/>
    <w:link w:val="916"/>
    <w:semiHidden/>
  </w:style>
  <w:style w:type="table" w:styleId="927">
    <w:name w:val="Обычная таблица"/>
    <w:next w:val="927"/>
    <w:link w:val="916"/>
    <w:semiHidden/>
    <w:tblPr/>
  </w:style>
  <w:style w:type="numbering" w:styleId="928">
    <w:name w:val="Нет списка"/>
    <w:next w:val="928"/>
    <w:link w:val="916"/>
    <w:semiHidden/>
  </w:style>
  <w:style w:type="paragraph" w:styleId="929">
    <w:name w:val=" Знак Знак7 Знак Знак"/>
    <w:basedOn w:val="916"/>
    <w:next w:val="929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0">
    <w:name w:val="Верхний колонтитул"/>
    <w:basedOn w:val="916"/>
    <w:next w:val="930"/>
    <w:link w:val="931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1">
    <w:name w:val="Верхний колонтитул Знак"/>
    <w:next w:val="931"/>
    <w:link w:val="930"/>
    <w:rPr>
      <w:sz w:val="24"/>
      <w:lang w:val="ru-RU" w:eastAsia="ru-RU" w:bidi="ar-SA"/>
    </w:rPr>
  </w:style>
  <w:style w:type="paragraph" w:styleId="932">
    <w:name w:val="Основной текст,Çàã1,BO,ID,body indent,andrad,EHPT,Body Text2"/>
    <w:basedOn w:val="916"/>
    <w:next w:val="932"/>
    <w:link w:val="933"/>
    <w:pPr>
      <w:spacing w:after="120"/>
    </w:pPr>
  </w:style>
  <w:style w:type="character" w:styleId="933">
    <w:name w:val="Основной текст Знак,Çàã1 Знак,BO Знак,ID Знак,body indent Знак,andrad Знак,EHPT Знак,Body Text2 Знак"/>
    <w:next w:val="933"/>
    <w:link w:val="932"/>
    <w:rPr>
      <w:sz w:val="24"/>
      <w:szCs w:val="24"/>
      <w:lang w:val="ru-RU" w:eastAsia="ru-RU" w:bidi="ar-SA"/>
    </w:rPr>
  </w:style>
  <w:style w:type="paragraph" w:styleId="934">
    <w:name w:val="Обычный (веб),Обычный (веб)1,Обычный (веб)11,Обычный (Web)"/>
    <w:basedOn w:val="916"/>
    <w:next w:val="934"/>
    <w:link w:val="935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5">
    <w:name w:val="Обычный (веб) Знак,Обычный (веб)1 Знак,Обычный (веб)11 Знак,Обычный (Web) Знак"/>
    <w:next w:val="935"/>
    <w:link w:val="934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36">
    <w:name w:val="Нижний колонтитул"/>
    <w:basedOn w:val="916"/>
    <w:next w:val="936"/>
    <w:link w:val="937"/>
    <w:pPr>
      <w:tabs>
        <w:tab w:val="center" w:pos="4677" w:leader="none"/>
        <w:tab w:val="right" w:pos="9355" w:leader="none"/>
      </w:tabs>
    </w:pPr>
  </w:style>
  <w:style w:type="character" w:styleId="937">
    <w:name w:val="Нижний колонтитул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Стиль3"/>
    <w:basedOn w:val="939"/>
    <w:next w:val="938"/>
    <w:link w:val="940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39">
    <w:name w:val="Основной текст с отступом 2"/>
    <w:basedOn w:val="916"/>
    <w:next w:val="939"/>
    <w:link w:val="916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0">
    <w:name w:val="Стиль3 Знак"/>
    <w:next w:val="940"/>
    <w:link w:val="938"/>
    <w:rPr>
      <w:sz w:val="24"/>
      <w:szCs w:val="24"/>
      <w:lang w:val="ru-RU" w:eastAsia="ru-RU" w:bidi="ar-SA"/>
    </w:rPr>
  </w:style>
  <w:style w:type="paragraph" w:styleId="941">
    <w:name w:val="Текст ТД"/>
    <w:basedOn w:val="916"/>
    <w:next w:val="941"/>
    <w:link w:val="942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2">
    <w:name w:val="Текст ТД Знак"/>
    <w:next w:val="942"/>
    <w:link w:val="941"/>
    <w:rPr>
      <w:rFonts w:eastAsia="Calibri"/>
      <w:sz w:val="24"/>
      <w:szCs w:val="24"/>
      <w:lang w:val="ru-RU" w:eastAsia="en-US" w:bidi="ar-SA"/>
    </w:rPr>
  </w:style>
  <w:style w:type="paragraph" w:styleId="943">
    <w:name w:val="Основной текст с отступом"/>
    <w:basedOn w:val="916"/>
    <w:next w:val="943"/>
    <w:link w:val="916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4">
    <w:name w:val="Знак1"/>
    <w:basedOn w:val="916"/>
    <w:next w:val="944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5">
    <w:name w:val="Основной текст 3"/>
    <w:basedOn w:val="916"/>
    <w:next w:val="945"/>
    <w:link w:val="916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46">
    <w:name w:val="Текст выноски"/>
    <w:basedOn w:val="916"/>
    <w:next w:val="946"/>
    <w:link w:val="978"/>
    <w:semiHidden/>
    <w:rPr>
      <w:rFonts w:ascii="Tahoma" w:hAnsi="Tahoma" w:cs="Tahoma"/>
      <w:sz w:val="16"/>
      <w:szCs w:val="16"/>
    </w:rPr>
  </w:style>
  <w:style w:type="paragraph" w:styleId="947">
    <w:name w:val="Обычный1"/>
    <w:next w:val="947"/>
    <w:link w:val="916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48">
    <w:name w:val="Обычный таблица"/>
    <w:basedOn w:val="916"/>
    <w:next w:val="948"/>
    <w:link w:val="949"/>
    <w:rPr>
      <w:rFonts w:eastAsia="Calibri"/>
      <w:sz w:val="18"/>
      <w:szCs w:val="18"/>
    </w:rPr>
  </w:style>
  <w:style w:type="character" w:styleId="949">
    <w:name w:val="Обычный таблица Знак"/>
    <w:next w:val="949"/>
    <w:link w:val="948"/>
    <w:rPr>
      <w:rFonts w:eastAsia="Calibri"/>
      <w:sz w:val="18"/>
      <w:szCs w:val="18"/>
      <w:lang w:val="ru-RU" w:eastAsia="ru-RU" w:bidi="ar-SA"/>
    </w:rPr>
  </w:style>
  <w:style w:type="paragraph" w:styleId="950">
    <w:name w:val="Текст сноски"/>
    <w:basedOn w:val="916"/>
    <w:next w:val="950"/>
    <w:link w:val="952"/>
    <w:semiHidden/>
    <w:rPr>
      <w:sz w:val="20"/>
      <w:szCs w:val="20"/>
    </w:rPr>
  </w:style>
  <w:style w:type="character" w:styleId="951">
    <w:name w:val="Знак сноски"/>
    <w:next w:val="951"/>
    <w:link w:val="916"/>
    <w:semiHidden/>
    <w:rPr>
      <w:rFonts w:cs="Times New Roman"/>
      <w:vertAlign w:val="superscript"/>
    </w:rPr>
  </w:style>
  <w:style w:type="character" w:styleId="952">
    <w:name w:val="Текст сноски Знак"/>
    <w:next w:val="952"/>
    <w:link w:val="950"/>
    <w:rPr>
      <w:lang w:val="ru-RU" w:eastAsia="ru-RU" w:bidi="ar-SA"/>
    </w:rPr>
  </w:style>
  <w:style w:type="paragraph" w:styleId="953">
    <w:name w:val="ConsPlusNormal"/>
    <w:next w:val="953"/>
    <w:link w:val="973"/>
    <w:rPr>
      <w:rFonts w:ascii="Arial" w:hAnsi="Arial" w:cs="Arial"/>
      <w:lang w:val="ru-RU" w:eastAsia="ru-RU" w:bidi="ar-SA"/>
    </w:rPr>
  </w:style>
  <w:style w:type="paragraph" w:styleId="954">
    <w:name w:val=" Char"/>
    <w:basedOn w:val="916"/>
    <w:next w:val="954"/>
    <w:link w:val="916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5">
    <w:name w:val=" Знак Знак5"/>
    <w:basedOn w:val="916"/>
    <w:next w:val="955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6">
    <w:name w:val="Char"/>
    <w:basedOn w:val="916"/>
    <w:next w:val="956"/>
    <w:link w:val="916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57">
    <w:name w:val="Заголовок 1 Знак,H1 Знак,. Знак,Название спецификации Знак,h:1 Знак,h:1app Знак,TF-Overskrift 1 Знак,H11 Знак,R1 Знак,Titre 0 Знак"/>
    <w:next w:val="957"/>
    <w:link w:val="917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58">
    <w:name w:val="FR2"/>
    <w:next w:val="958"/>
    <w:link w:val="916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59">
    <w:name w:val="FR1"/>
    <w:next w:val="959"/>
    <w:link w:val="916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0">
    <w:name w:val="Гиперссылка"/>
    <w:next w:val="960"/>
    <w:link w:val="916"/>
    <w:rPr>
      <w:color w:val="0000ff"/>
      <w:u w:val="single"/>
    </w:rPr>
  </w:style>
  <w:style w:type="character" w:styleId="961">
    <w:name w:val=" Знак Знак4"/>
    <w:next w:val="961"/>
    <w:link w:val="916"/>
    <w:semiHidden/>
    <w:rPr>
      <w:sz w:val="24"/>
      <w:szCs w:val="24"/>
      <w:lang w:val="ru-RU" w:eastAsia="ru-RU" w:bidi="ar-SA"/>
    </w:rPr>
  </w:style>
  <w:style w:type="character" w:styleId="962">
    <w:name w:val=" Знак Знак3"/>
    <w:next w:val="962"/>
    <w:link w:val="916"/>
    <w:rPr>
      <w:sz w:val="28"/>
      <w:lang w:val="ru-RU" w:eastAsia="ru-RU" w:bidi="ar-SA"/>
    </w:rPr>
  </w:style>
  <w:style w:type="table" w:styleId="963">
    <w:name w:val="Сетка таблицы"/>
    <w:basedOn w:val="927"/>
    <w:next w:val="963"/>
    <w:link w:val="916"/>
    <w:rPr>
      <w:rFonts w:eastAsia="Calibri"/>
      <w:lang w:val="ru-RU" w:eastAsia="ru-RU" w:bidi="ar-SA"/>
    </w:rPr>
    <w:tblPr/>
  </w:style>
  <w:style w:type="paragraph" w:styleId="964">
    <w:name w:val="ConsNormal"/>
    <w:next w:val="964"/>
    <w:link w:val="965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5">
    <w:name w:val="ConsNormal Знак"/>
    <w:next w:val="965"/>
    <w:link w:val="964"/>
    <w:rPr>
      <w:rFonts w:ascii="Arial" w:hAnsi="Arial"/>
      <w:lang w:val="ru-RU" w:eastAsia="ru-RU" w:bidi="ar-SA"/>
    </w:rPr>
  </w:style>
  <w:style w:type="paragraph" w:styleId="966">
    <w:name w:val="Основной текст 2"/>
    <w:basedOn w:val="916"/>
    <w:next w:val="966"/>
    <w:link w:val="916"/>
    <w:pPr>
      <w:spacing w:after="120" w:line="480" w:lineRule="auto"/>
    </w:pPr>
    <w:rPr>
      <w:sz w:val="20"/>
      <w:szCs w:val="20"/>
    </w:rPr>
  </w:style>
  <w:style w:type="paragraph" w:styleId="967">
    <w:name w:val="Подраздел"/>
    <w:next w:val="967"/>
    <w:link w:val="916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68">
    <w:name w:val="Номер страницы"/>
    <w:basedOn w:val="926"/>
    <w:next w:val="968"/>
    <w:link w:val="916"/>
  </w:style>
  <w:style w:type="paragraph" w:styleId="969">
    <w:name w:val="Normal1"/>
    <w:next w:val="969"/>
    <w:link w:val="916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0">
    <w:name w:val="Îáû÷íûé"/>
    <w:next w:val="970"/>
    <w:link w:val="916"/>
    <w:rPr>
      <w:lang w:val="ru-RU" w:eastAsia="ru-RU" w:bidi="ar-SA"/>
    </w:rPr>
  </w:style>
  <w:style w:type="paragraph" w:styleId="971">
    <w:name w:val="FR3"/>
    <w:next w:val="971"/>
    <w:link w:val="916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2">
    <w:name w:val="1 Знак Char Знак Char Знак"/>
    <w:basedOn w:val="916"/>
    <w:next w:val="972"/>
    <w:link w:val="916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3">
    <w:name w:val="ConsPlusNormal Знак"/>
    <w:next w:val="973"/>
    <w:link w:val="953"/>
    <w:rPr>
      <w:rFonts w:ascii="Arial" w:hAnsi="Arial" w:cs="Arial"/>
      <w:lang w:val="ru-RU" w:eastAsia="ru-RU" w:bidi="ar-SA"/>
    </w:rPr>
  </w:style>
  <w:style w:type="paragraph" w:styleId="974">
    <w:name w:val="Название,Заголовок"/>
    <w:basedOn w:val="916"/>
    <w:next w:val="974"/>
    <w:link w:val="975"/>
    <w:qFormat/>
    <w:pPr>
      <w:jc w:val="center"/>
      <w:widowControl w:val="off"/>
    </w:pPr>
    <w:rPr>
      <w:sz w:val="28"/>
      <w:szCs w:val="20"/>
    </w:rPr>
  </w:style>
  <w:style w:type="character" w:styleId="975">
    <w:name w:val="Название Знак,Заголовок Знак"/>
    <w:next w:val="975"/>
    <w:link w:val="974"/>
    <w:rPr>
      <w:sz w:val="28"/>
      <w:lang w:val="ru-RU" w:eastAsia="ru-RU" w:bidi="ar-SA"/>
    </w:rPr>
  </w:style>
  <w:style w:type="paragraph" w:styleId="976">
    <w:name w:val="текст сноски"/>
    <w:basedOn w:val="916"/>
    <w:next w:val="976"/>
    <w:link w:val="916"/>
    <w:pPr>
      <w:widowControl w:val="off"/>
    </w:pPr>
    <w:rPr>
      <w:rFonts w:ascii="Gelvetsky 12pt" w:hAnsi="Gelvetsky 12pt"/>
      <w:szCs w:val="20"/>
      <w:lang w:val="en-US"/>
    </w:rPr>
  </w:style>
  <w:style w:type="paragraph" w:styleId="977">
    <w:name w:val="Указатель 1"/>
    <w:basedOn w:val="916"/>
    <w:next w:val="916"/>
    <w:link w:val="916"/>
    <w:semiHidden/>
    <w:pPr>
      <w:ind w:left="240" w:hanging="240"/>
    </w:pPr>
  </w:style>
  <w:style w:type="character" w:styleId="978">
    <w:name w:val="Текст выноски Знак"/>
    <w:next w:val="978"/>
    <w:link w:val="946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79">
    <w:name w:val="Строгий"/>
    <w:next w:val="979"/>
    <w:link w:val="916"/>
    <w:rPr>
      <w:b/>
      <w:bCs/>
    </w:rPr>
  </w:style>
  <w:style w:type="paragraph" w:styleId="980">
    <w:name w:val="Оглавление 3"/>
    <w:basedOn w:val="916"/>
    <w:next w:val="916"/>
    <w:link w:val="916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1">
    <w:name w:val="Содержимое таблицы"/>
    <w:basedOn w:val="916"/>
    <w:next w:val="981"/>
    <w:link w:val="916"/>
    <w:pPr>
      <w:suppressLineNumbers/>
    </w:pPr>
    <w:rPr>
      <w:sz w:val="20"/>
      <w:szCs w:val="20"/>
      <w:lang w:val="en-US" w:eastAsia="en-US"/>
    </w:rPr>
  </w:style>
  <w:style w:type="paragraph" w:styleId="982">
    <w:name w:val="ConsNonformat"/>
    <w:next w:val="982"/>
    <w:link w:val="916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3">
    <w:name w:val="Основной текст 31"/>
    <w:basedOn w:val="916"/>
    <w:next w:val="983"/>
    <w:link w:val="916"/>
    <w:pPr>
      <w:spacing w:after="120"/>
    </w:pPr>
    <w:rPr>
      <w:sz w:val="16"/>
      <w:szCs w:val="16"/>
      <w:lang w:eastAsia="ar-SA"/>
    </w:rPr>
  </w:style>
  <w:style w:type="paragraph" w:styleId="984">
    <w:name w:val="ConsPlusNonformat"/>
    <w:next w:val="984"/>
    <w:link w:val="9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5">
    <w:name w:val="Стандартный HTML"/>
    <w:basedOn w:val="916"/>
    <w:next w:val="985"/>
    <w:link w:val="91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86">
    <w:name w:val="iceouttxt53"/>
    <w:next w:val="986"/>
    <w:link w:val="916"/>
    <w:rPr>
      <w:rFonts w:ascii="Arial" w:hAnsi="Arial" w:cs="Arial"/>
      <w:color w:val="666666"/>
      <w:sz w:val="17"/>
      <w:szCs w:val="17"/>
    </w:rPr>
  </w:style>
  <w:style w:type="paragraph" w:styleId="987">
    <w:name w:val="Знак"/>
    <w:basedOn w:val="916"/>
    <w:next w:val="987"/>
    <w:link w:val="916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88">
    <w:name w:val="Iacaaiea"/>
    <w:basedOn w:val="916"/>
    <w:next w:val="988"/>
    <w:link w:val="916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89">
    <w:name w:val="iceouttxt1"/>
    <w:next w:val="989"/>
    <w:link w:val="916"/>
    <w:rPr>
      <w:rFonts w:ascii="Arial" w:hAnsi="Arial" w:cs="Arial"/>
      <w:color w:val="666666"/>
      <w:sz w:val="17"/>
      <w:szCs w:val="17"/>
    </w:rPr>
  </w:style>
  <w:style w:type="character" w:styleId="990">
    <w:name w:val="rs_err_mark1"/>
    <w:next w:val="990"/>
    <w:link w:val="916"/>
    <w:rPr>
      <w:color w:val="ff0000"/>
    </w:rPr>
  </w:style>
  <w:style w:type="paragraph" w:styleId="991">
    <w:name w:val="Абзац списка"/>
    <w:basedOn w:val="916"/>
    <w:next w:val="991"/>
    <w:link w:val="91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2">
    <w:name w:val="Основной текст с отступом 3"/>
    <w:basedOn w:val="916"/>
    <w:next w:val="992"/>
    <w:link w:val="916"/>
    <w:pPr>
      <w:ind w:left="283"/>
      <w:spacing w:after="120"/>
    </w:pPr>
    <w:rPr>
      <w:sz w:val="16"/>
      <w:szCs w:val="16"/>
    </w:rPr>
  </w:style>
  <w:style w:type="paragraph" w:styleId="993">
    <w:name w:val="Без интервала"/>
    <w:next w:val="993"/>
    <w:link w:val="916"/>
    <w:qFormat/>
    <w:rPr>
      <w:sz w:val="24"/>
      <w:szCs w:val="24"/>
      <w:lang w:val="ru-RU" w:eastAsia="ru-RU" w:bidi="ar-SA"/>
    </w:rPr>
  </w:style>
  <w:style w:type="paragraph" w:styleId="994">
    <w:name w:val="Схема документа"/>
    <w:basedOn w:val="916"/>
    <w:next w:val="994"/>
    <w:link w:val="916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5">
    <w:name w:val="1 Знак Знак Знак Знак"/>
    <w:basedOn w:val="916"/>
    <w:next w:val="916"/>
    <w:link w:val="916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96">
    <w:name w:val="Основной шрифт абзаца1"/>
    <w:next w:val="996"/>
    <w:link w:val="916"/>
  </w:style>
  <w:style w:type="paragraph" w:styleId="997">
    <w:name w:val="Указатель1"/>
    <w:basedOn w:val="916"/>
    <w:next w:val="997"/>
    <w:link w:val="916"/>
    <w:pPr>
      <w:suppressLineNumbers/>
    </w:pPr>
    <w:rPr>
      <w:rFonts w:ascii="Arial" w:hAnsi="Arial" w:eastAsia="Batang" w:cs="Tahoma"/>
      <w:lang w:eastAsia="ar-SA"/>
    </w:rPr>
  </w:style>
  <w:style w:type="paragraph" w:styleId="998">
    <w:name w:val="çàãîëîâîê 2"/>
    <w:basedOn w:val="916"/>
    <w:next w:val="916"/>
    <w:link w:val="916"/>
    <w:pPr>
      <w:jc w:val="both"/>
      <w:keepNext/>
    </w:pPr>
    <w:rPr>
      <w:szCs w:val="20"/>
    </w:rPr>
  </w:style>
  <w:style w:type="paragraph" w:styleId="999">
    <w:name w:val="Стиль1"/>
    <w:basedOn w:val="916"/>
    <w:next w:val="999"/>
    <w:link w:val="916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0">
    <w:name w:val="Стиль2"/>
    <w:basedOn w:val="1001"/>
    <w:next w:val="1000"/>
    <w:link w:val="916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1">
    <w:name w:val="Нумерованный список 2"/>
    <w:basedOn w:val="916"/>
    <w:next w:val="1001"/>
    <w:link w:val="916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2">
    <w:name w:val="3"/>
    <w:basedOn w:val="916"/>
    <w:next w:val="1002"/>
    <w:link w:val="916"/>
    <w:pPr>
      <w:numPr>
        <w:ilvl w:val="1"/>
        <w:numId w:val="3"/>
      </w:numPr>
      <w:ind w:left="0" w:firstLine="0"/>
      <w:jc w:val="both"/>
    </w:pPr>
  </w:style>
  <w:style w:type="paragraph" w:styleId="1003">
    <w:name w:val="western"/>
    <w:basedOn w:val="916"/>
    <w:next w:val="1003"/>
    <w:link w:val="916"/>
    <w:pPr>
      <w:spacing w:before="100" w:beforeAutospacing="1" w:after="100" w:afterAutospacing="1"/>
    </w:pPr>
  </w:style>
  <w:style w:type="character" w:styleId="1004">
    <w:name w:val="highlight highlight_active"/>
    <w:basedOn w:val="926"/>
    <w:next w:val="1004"/>
    <w:link w:val="916"/>
  </w:style>
  <w:style w:type="character" w:styleId="1005">
    <w:name w:val="Просмотренная гиперссылка"/>
    <w:next w:val="1005"/>
    <w:link w:val="916"/>
    <w:rPr>
      <w:color w:val="800080"/>
      <w:u w:val="single"/>
    </w:rPr>
  </w:style>
  <w:style w:type="paragraph" w:styleId="1006">
    <w:name w:val="Подподпункт"/>
    <w:basedOn w:val="916"/>
    <w:next w:val="1006"/>
    <w:link w:val="916"/>
    <w:uiPriority w:val="99"/>
    <w:pPr>
      <w:jc w:val="both"/>
      <w:spacing w:line="360" w:lineRule="auto"/>
    </w:pPr>
    <w:rPr>
      <w:sz w:val="28"/>
      <w:szCs w:val="28"/>
    </w:rPr>
  </w:style>
  <w:style w:type="paragraph" w:styleId="1007">
    <w:name w:val=" Знак Знак5 Знак Знак Знак Знак"/>
    <w:basedOn w:val="916"/>
    <w:next w:val="1007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8">
    <w:name w:val="Пункт Договора"/>
    <w:basedOn w:val="916"/>
    <w:next w:val="1008"/>
    <w:link w:val="916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09">
    <w:name w:val="Часть Договора"/>
    <w:basedOn w:val="916"/>
    <w:next w:val="1009"/>
    <w:link w:val="916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0">
    <w:name w:val="normal__char1"/>
    <w:next w:val="1010"/>
    <w:link w:val="916"/>
    <w:rPr>
      <w:rFonts w:ascii="Courier New" w:hAnsi="Courier New" w:cs="Courier New"/>
      <w:sz w:val="20"/>
      <w:szCs w:val="20"/>
    </w:r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359</cp:revision>
  <dcterms:created xsi:type="dcterms:W3CDTF">2014-03-03T09:32:00Z</dcterms:created>
  <dcterms:modified xsi:type="dcterms:W3CDTF">2026-08-05T04:04:40Z</dcterms:modified>
  <cp:version>983040</cp:version>
</cp:coreProperties>
</file>