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Начальная (максимальная) цена государственного контракта,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48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обоснование начальной максимальной цены государственного контракта</w:t>
      </w:r>
      <w:r>
        <w:rPr>
          <w:b/>
          <w:szCs w:val="24"/>
        </w:rPr>
      </w:r>
      <w:r>
        <w:rPr>
          <w:b/>
          <w:szCs w:val="24"/>
        </w:rPr>
      </w:r>
    </w:p>
    <w:p>
      <w:pPr>
        <w:pStyle w:val="848"/>
        <w:ind w:firstLine="709"/>
        <w:jc w:val="center"/>
        <w:rPr>
          <w:b/>
          <w:sz w:val="10"/>
          <w:szCs w:val="10"/>
        </w:rPr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>
        <w:rPr>
          <w:b/>
          <w:sz w:val="10"/>
          <w:szCs w:val="10"/>
        </w:rPr>
      </w:r>
    </w:p>
    <w:tbl>
      <w:tblPr>
        <w:tblW w:w="5203" w:type="pct"/>
        <w:tblInd w:w="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2880"/>
        <w:gridCol w:w="12959"/>
      </w:tblGrid>
      <w:tr>
        <w:trPr>
          <w:trHeight w:val="44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4"/>
              <w:ind w:left="57" w:right="57" w:hanging="5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</w:t>
            </w:r>
            <w:r>
              <w:rPr>
                <w:b/>
                <w:bCs/>
                <w:sz w:val="22"/>
                <w:szCs w:val="22"/>
              </w:rPr>
              <w:t xml:space="preserve"> объекта закупки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0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4"/>
              <w:ind w:left="57" w:firstLine="11"/>
              <w:rPr>
                <w:highlight w:val="none"/>
              </w:rPr>
            </w:pPr>
            <w:r>
              <w:rPr>
                <w:bCs/>
              </w:rPr>
              <w:t xml:space="preserve">Оказание услуг по техническому освидетельствованию подъемной платформы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ind w:left="57" w:firstLine="11"/>
            </w:pPr>
            <w:r>
              <w:rPr>
                <w:bCs/>
                <w:highlight w:val="none"/>
              </w:rPr>
            </w:r>
            <w:r>
              <w:rPr>
                <w:bCs/>
                <w:highlight w:val="none"/>
              </w:rPr>
            </w:r>
          </w:p>
        </w:tc>
      </w:tr>
      <w:tr>
        <w:trPr>
          <w:trHeight w:val="70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4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Используемый метод определения НМЦК с обоснованием: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0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4"/>
              <w:ind w:left="57" w:firstLine="11"/>
            </w:pPr>
            <w:r>
              <w:t xml:space="preserve">Метод сопоставимых рыночных цен (анализ рынка) на основании информации, содержащейся в коммерческих предложениях</w:t>
            </w:r>
          </w:p>
        </w:tc>
      </w:tr>
      <w:tr>
        <w:trPr>
          <w:trHeight w:val="270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4"/>
              <w:ind w:left="57" w:right="57" w:hanging="5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Расчет НМЦК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0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4"/>
              <w:ind w:right="230" w:firstLine="312"/>
              <w:jc w:val="both"/>
            </w:pPr>
            <w:r>
              <w:t xml:space="preserve">Для определения НМЦК Заказчиком использован метод сопоставимых рыночных цен (</w:t>
            </w:r>
            <w:r>
              <w:t xml:space="preserve">ст</w:t>
            </w:r>
            <w:r>
              <w:t xml:space="preserve">. 22 Федерального закона от 05.</w:t>
            </w:r>
            <w:r>
              <w:t xml:space="preserve">04.2013 № 44-ФЗ «О контрактной системе в сфере закупок товаров, работ, услуг для обеспечения государственных и муниципальных нужд»). Расчёт НМЦК произведён с учётом методических рекомендаций, утверждённых Приказом Министерства экономического развития РФ от</w:t>
            </w:r>
            <w:r>
              <w:t xml:space="preserve">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(далее – Методические рекомендации).</w:t>
            </w:r>
          </w:p>
          <w:p>
            <w:pPr>
              <w:pStyle w:val="844"/>
              <w:ind w:right="151" w:firstLine="312"/>
              <w:jc w:val="both"/>
              <w:rPr>
                <w:b/>
                <w:bCs/>
                <w:sz w:val="22"/>
                <w:szCs w:val="22"/>
              </w:rPr>
            </w:pPr>
            <w:r>
              <w:t xml:space="preserve">НМЦК на предоставление услуг, полученная расчётным путём как среднеарифметическое на основании имеющихся коммерческих предложений, </w:t>
            </w:r>
            <w:r>
              <w:t xml:space="preserve">составляет </w:t>
            </w:r>
            <w:r>
              <w:rPr>
                <w:b/>
                <w:bCs/>
              </w:rPr>
              <w:t xml:space="preserve">5 433,33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руб. 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844"/>
              <w:ind w:right="151" w:firstLine="312"/>
              <w:jc w:val="both"/>
            </w:pPr>
            <w:r>
              <w:t xml:space="preserve">Информация о валюте, используемой для формирования цены контракта и расчётов с поставщиком (подрядчиком, исполнителем): рубль российский</w:t>
            </w:r>
          </w:p>
          <w:p>
            <w:pPr>
              <w:pStyle w:val="844"/>
              <w:ind w:right="151"/>
              <w:jc w:val="both"/>
            </w:pPr>
            <w:r>
              <w:t xml:space="preserve">     Расчёт приведён ниже.</w:t>
            </w:r>
          </w:p>
          <w:p>
            <w:pPr>
              <w:pStyle w:val="844"/>
              <w:ind w:right="151" w:firstLine="312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</w:tr>
      <w:tr>
        <w:trPr>
          <w:trHeight w:val="32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4"/>
              <w:ind w:left="57" w:right="-28" w:firstLine="1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Дата подготовки обоснования: </w:t>
            </w:r>
            <w:r>
              <w:rPr>
                <w:b/>
                <w:sz w:val="22"/>
                <w:szCs w:val="22"/>
              </w:rPr>
              <w:t xml:space="preserve">28.08</w:t>
            </w:r>
            <w:r>
              <w:rPr>
                <w:b/>
                <w:sz w:val="22"/>
                <w:szCs w:val="22"/>
              </w:rPr>
              <w:t xml:space="preserve">.202</w:t>
            </w:r>
            <w:r>
              <w:rPr>
                <w:b/>
                <w:sz w:val="22"/>
                <w:szCs w:val="22"/>
              </w:rPr>
              <w:t xml:space="preserve">6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844"/>
        <w:tabs>
          <w:tab w:val="left" w:pos="13438" w:leader="none"/>
        </w:tabs>
        <w:ind w:right="825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  <w:r>
        <w:rPr>
          <w:b/>
          <w:bCs/>
          <w:sz w:val="16"/>
          <w:szCs w:val="16"/>
        </w:rPr>
      </w:r>
    </w:p>
    <w:p>
      <w:pPr>
        <w:pStyle w:val="844"/>
        <w:tabs>
          <w:tab w:val="left" w:pos="13438" w:leader="none"/>
        </w:tabs>
        <w:ind w:right="8250"/>
        <w:rPr>
          <w:b/>
          <w:bCs/>
          <w:sz w:val="10"/>
          <w:szCs w:val="10"/>
        </w:rPr>
      </w:pPr>
      <w:r>
        <w:rPr>
          <w:b/>
          <w:bCs/>
          <w:sz w:val="10"/>
          <w:szCs w:val="10"/>
        </w:rPr>
      </w:r>
      <w:r>
        <w:rPr>
          <w:b/>
          <w:bCs/>
          <w:sz w:val="10"/>
          <w:szCs w:val="10"/>
        </w:rPr>
      </w:r>
      <w:r>
        <w:rPr>
          <w:b/>
          <w:bCs/>
          <w:sz w:val="10"/>
          <w:szCs w:val="10"/>
        </w:rPr>
      </w:r>
    </w:p>
    <w:tbl>
      <w:tblPr>
        <w:tblpPr w:horzAnchor="margin" w:tblpXSpec="left" w:vertAnchor="text" w:tblpY="76" w:leftFromText="180" w:topFromText="0" w:rightFromText="180" w:bottomFromText="0"/>
        <w:tblW w:w="515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6"/>
        <w:gridCol w:w="1015"/>
        <w:gridCol w:w="3208"/>
        <w:gridCol w:w="709"/>
        <w:gridCol w:w="1843"/>
        <w:gridCol w:w="1843"/>
        <w:gridCol w:w="1701"/>
        <w:gridCol w:w="1559"/>
        <w:gridCol w:w="1134"/>
        <w:gridCol w:w="1134"/>
        <w:gridCol w:w="1417"/>
      </w:tblGrid>
      <w:tr>
        <w:trPr>
          <w:trHeight w:val="41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06" w:type="dxa"/>
            <w:vMerge w:val="restart"/>
            <w:noWrap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№ п/п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15" w:type="dxa"/>
            <w:vMerge w:val="restart"/>
            <w:noWrap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44"/>
              <w:framePr w:hSpace="180" w:wrap="around" w:vAnchor="text" w:hAnchor="margin" w:y="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услуги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208" w:type="dxa"/>
            <w:vMerge w:val="restart"/>
            <w:noWrap w:val="false"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Основные характеристики услуги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ind w:right="-1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Кол-во/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44"/>
              <w:framePr w:hSpace="180" w:wrap="around" w:vAnchor="text" w:hAnchor="margin" w:y="76"/>
              <w:ind w:right="-12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шт.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5386" w:type="dxa"/>
            <w:gridSpan w:val="3"/>
            <w:noWrap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ind w:right="-12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источника информации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center"/>
          </w:tcPr>
          <w:p>
            <w:pPr>
              <w:pStyle w:val="8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Средняя цена, руб.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center"/>
          </w:tcPr>
          <w:p>
            <w:pPr>
              <w:pStyle w:val="8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Среднее квадратич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ное отклоне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Коэффи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циент вариации</w:t>
            </w:r>
            <w:r>
              <w:rPr>
                <w:rFonts w:ascii="Times New Roman" w:hAnsi="Times New Roman" w:eastAsia="Times New Roman" w:cs="Times New Roman"/>
              </w:rPr>
              <w:t xml:space="preserve">, %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vMerge w:val="restart"/>
            <w:noWrap w:val="false"/>
            <w:textDirection w:val="lrTb"/>
            <w:vAlign w:val="top"/>
          </w:tcPr>
          <w:p>
            <w:pPr>
              <w:pStyle w:val="844"/>
              <w:framePr w:hSpace="180" w:wrap="around" w:vAnchor="text" w:hAnchor="margin" w:y="76"/>
              <w:ind w:right="-12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  <w:p>
            <w:pPr>
              <w:pStyle w:val="844"/>
              <w:framePr w:hSpace="180" w:wrap="around" w:vAnchor="text" w:hAnchor="margin" w:y="76"/>
              <w:ind w:right="-128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Начальная (максимальная) цена (руб)</w:t>
            </w:r>
            <w:r>
              <w:rPr>
                <w:b/>
                <w:color w:val="000000"/>
                <w:sz w:val="18"/>
                <w:szCs w:val="18"/>
              </w:rPr>
            </w:r>
            <w:r>
              <w:rPr>
                <w:b/>
                <w:color w:val="000000"/>
                <w:sz w:val="18"/>
                <w:szCs w:val="18"/>
              </w:rPr>
            </w:r>
          </w:p>
        </w:tc>
      </w:tr>
      <w:tr>
        <w:trPr>
          <w:trHeight w:val="85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06" w:type="dxa"/>
            <w:vMerge w:val="continue"/>
            <w:tcBorders>
              <w:bottom w:val="single" w:color="000000" w:sz="4" w:space="0"/>
            </w:tcBorders>
            <w:noWrap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015" w:type="dxa"/>
            <w:vMerge w:val="continue"/>
            <w:tcBorders>
              <w:bottom w:val="single" w:color="000000" w:sz="4" w:space="0"/>
            </w:tcBorders>
            <w:noWrap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3208" w:type="dxa"/>
            <w:vMerge w:val="continue"/>
            <w:tcBorders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709" w:type="dxa"/>
            <w:vMerge w:val="continue"/>
            <w:tcBorders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843" w:type="dxa"/>
            <w:tcBorders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ind w:right="-12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Коммерческое предложение № 1, руб.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843" w:type="dxa"/>
            <w:tcBorders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ind w:right="-12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Коммерческое предложение № </w:t>
            </w: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  <w:t xml:space="preserve">, руб.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01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4"/>
              <w:framePr w:hSpace="180" w:wrap="around" w:vAnchor="text" w:hAnchor="margin" w:y="76"/>
              <w:ind w:right="-128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</w:r>
            <w:r>
              <w:rPr>
                <w:color w:val="000000"/>
                <w:sz w:val="10"/>
                <w:szCs w:val="10"/>
              </w:rPr>
            </w:r>
            <w:r>
              <w:rPr>
                <w:color w:val="000000"/>
                <w:sz w:val="10"/>
                <w:szCs w:val="10"/>
              </w:rPr>
            </w:r>
          </w:p>
          <w:p>
            <w:pPr>
              <w:framePr w:hSpace="180" w:wrap="around" w:vAnchor="text" w:hAnchor="margin" w:y="76"/>
              <w:ind w:right="-12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none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  <w:p>
            <w:pPr>
              <w:pStyle w:val="844"/>
              <w:framePr w:hSpace="180" w:wrap="around" w:vAnchor="text" w:hAnchor="margin" w:y="76"/>
              <w:ind w:right="-128"/>
              <w:jc w:val="center"/>
              <w:rPr>
                <w:color w:val="000000"/>
                <w:sz w:val="18"/>
                <w:szCs w:val="18"/>
                <w:highlight w:val="none"/>
              </w:rPr>
            </w:pPr>
            <w:r>
              <w:rPr>
                <w:color w:val="000000"/>
                <w:sz w:val="18"/>
                <w:szCs w:val="18"/>
              </w:rPr>
              <w:t xml:space="preserve">Коммерческое предложение № 3</w:t>
            </w:r>
            <w:r>
              <w:rPr>
                <w:color w:val="000000"/>
                <w:sz w:val="18"/>
                <w:szCs w:val="18"/>
              </w:rPr>
              <w:t xml:space="preserve">, руб.</w:t>
            </w:r>
            <w:r>
              <w:rPr>
                <w:color w:val="000000"/>
                <w:sz w:val="18"/>
                <w:szCs w:val="18"/>
                <w:highlight w:val="none"/>
              </w:rPr>
            </w:r>
            <w:r>
              <w:rPr>
                <w:color w:val="000000"/>
                <w:sz w:val="18"/>
                <w:szCs w:val="18"/>
                <w:highlight w:val="none"/>
              </w:rPr>
            </w:r>
          </w:p>
        </w:tc>
        <w:tc>
          <w:tcPr>
            <w:tcW w:w="1559" w:type="dxa"/>
            <w:vMerge w:val="continue"/>
            <w:tcBorders>
              <w:bottom w:val="single" w:color="000000" w:sz="4" w:space="0"/>
            </w:tcBorders>
            <w:noWrap w:val="false"/>
            <w:textDirection w:val="lrTb"/>
            <w:vAlign w:val="center"/>
          </w:tcPr>
          <w:p/>
        </w:tc>
        <w:tc>
          <w:tcPr>
            <w:tcW w:w="1134" w:type="dxa"/>
            <w:vMerge w:val="continue"/>
            <w:tcBorders>
              <w:bottom w:val="single" w:color="000000" w:sz="4" w:space="0"/>
            </w:tcBorders>
            <w:noWrap w:val="false"/>
            <w:textDirection w:val="lrTb"/>
            <w:vAlign w:val="center"/>
          </w:tcPr>
          <w:p/>
        </w:tc>
        <w:tc>
          <w:tcPr>
            <w:tcW w:w="1134" w:type="dxa"/>
            <w:vMerge w:val="continue"/>
            <w:tcBorders>
              <w:bottom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ind w:right="-12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417" w:type="dxa"/>
            <w:vMerge w:val="continue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44"/>
              <w:framePr w:hSpace="180" w:wrap="around" w:vAnchor="text" w:hAnchor="margin" w:y="76"/>
              <w:ind w:right="-12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</w:tr>
      <w:tr>
        <w:trPr>
          <w:trHeight w:val="1146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306" w:type="dxa"/>
            <w:noWrap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</w:pPr>
            <w:r>
              <w:t xml:space="preserve">1</w:t>
            </w:r>
          </w:p>
        </w:tc>
        <w:tc>
          <w:tcPr>
            <w:tcW w:w="1015" w:type="dxa"/>
            <w:noWrap w:val="false"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ind w:left="57" w:firstLine="11"/>
              <w:rPr>
                <w:bCs/>
              </w:rPr>
            </w:pPr>
            <w:r>
              <w:rPr>
                <w:bCs/>
              </w:rPr>
              <w:t xml:space="preserve">Оказание услуг по техническому освидетельствованию подъемной платформы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3208" w:type="dxa"/>
            <w:noWrap w:val="false"/>
            <w:textDirection w:val="lrTb"/>
            <w:vAlign w:val="top"/>
          </w:tcPr>
          <w:p>
            <w:pPr>
              <w:pStyle w:val="844"/>
              <w:framePr w:hSpace="180" w:wrap="around" w:vAnchor="text" w:hAnchor="margin" w:y="76"/>
              <w:ind w:firstLine="321"/>
              <w:jc w:val="both"/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Периодическое техническое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освидетельствование платформ подъемных для инвалидов проводится в соответствии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0"/>
                <w:szCs w:val="20"/>
              </w:rPr>
              <w:t xml:space="preserve"> с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0"/>
                <w:szCs w:val="20"/>
              </w:rPr>
              <w:t xml:space="preserve">Приказом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0"/>
                <w:szCs w:val="20"/>
              </w:rPr>
              <w:t xml:space="preserve">Ростехнадзора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0"/>
                <w:szCs w:val="20"/>
              </w:rPr>
              <w:t xml:space="preserve"> от 13.04.2018 №170 «Об утверждении Порядка технического освидетельствования и обследования подъемных платформ для инвалидов, пассажирс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ких конвейеров (движущихся пешеходных дорожек) и эскалаторов, а также формы акта технического освидетельствования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подъемной платформы для инвалидов, пассажирского конвейера (движущейся пешеходной дорожки) и эскалатора и формы заключения по результатам обследования подъемной платформы для инвалидов, пассажирского конвейера (движущейся пешеходной дорожки) и эскалатора»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</w:p>
          <w:p>
            <w:pPr>
              <w:tabs>
                <w:tab w:val="left" w:pos="992" w:leader="none"/>
              </w:tabs>
              <w:spacing w:after="0" w:afterAutospacing="0" w:line="240" w:lineRule="auto"/>
              <w:ind w:left="0" w:right="0" w:firstLine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    При периодическом техническом освидетельствовании платформ подъемных для инвалидов проводится: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numPr>
                <w:numId w:val="5"/>
                <w:ilvl w:val="0"/>
              </w:numPr>
              <w:tabs>
                <w:tab w:val="left" w:pos="992" w:leader="none"/>
              </w:tabs>
              <w:spacing w:after="0" w:afterAutospacing="0" w:line="240" w:lineRule="auto"/>
              <w:ind w:left="0" w:right="0" w:firstLine="709"/>
              <w:contextualSpacing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проверка организации использования и содержания подъемных платформ;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numPr>
                <w:numId w:val="5"/>
                <w:ilvl w:val="0"/>
              </w:numPr>
              <w:tabs>
                <w:tab w:val="left" w:pos="992" w:leader="none"/>
              </w:tabs>
              <w:spacing w:after="0" w:afterAutospacing="0" w:line="240" w:lineRule="auto"/>
              <w:ind w:left="0" w:right="0" w:firstLine="709"/>
              <w:contextualSpacing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визуальный и измерительный контроль установки оборудования   подъемной платформы, за исключением размеров, не измеряемых в процессе эксплуатации; 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numPr>
                <w:numId w:val="5"/>
                <w:ilvl w:val="0"/>
              </w:numPr>
              <w:tabs>
                <w:tab w:val="left" w:pos="992" w:leader="none"/>
              </w:tabs>
              <w:spacing w:after="0" w:afterAutospacing="0" w:line="240" w:lineRule="auto"/>
              <w:ind w:left="0" w:right="0" w:firstLine="709"/>
              <w:contextualSpacing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проверка функционирования подъемной платформы и устройств безопасности;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numPr>
                <w:numId w:val="5"/>
                <w:ilvl w:val="0"/>
              </w:numPr>
              <w:tabs>
                <w:tab w:val="left" w:pos="992" w:leader="none"/>
              </w:tabs>
              <w:spacing w:after="0" w:afterAutospacing="0" w:line="240" w:lineRule="auto"/>
              <w:ind w:left="0" w:right="0" w:firstLine="709"/>
              <w:contextualSpacing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проверка исправности запирающих устройств дверей, барьеров;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numPr>
                <w:numId w:val="5"/>
                <w:ilvl w:val="0"/>
              </w:numPr>
              <w:tabs>
                <w:tab w:val="left" w:pos="992" w:leader="none"/>
              </w:tabs>
              <w:spacing w:after="0" w:afterAutospacing="0" w:line="240" w:lineRule="auto"/>
              <w:ind w:left="0" w:right="0" w:firstLine="709"/>
              <w:contextualSpacing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испытания изоляции электрических сетей и электрооборудования, визуальный и измерительный контроль заземления (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зануления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) оборудования   подъемной платформы;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numPr>
                <w:numId w:val="5"/>
                <w:ilvl w:val="0"/>
              </w:numPr>
              <w:tabs>
                <w:tab w:val="left" w:pos="992" w:leader="none"/>
              </w:tabs>
              <w:spacing w:after="0" w:afterAutospacing="0" w:line="240" w:lineRule="auto"/>
              <w:ind w:left="0" w:right="0" w:firstLine="709"/>
              <w:contextualSpacing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проверка состояния привода платформы и действия тормоза;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numPr>
                <w:numId w:val="5"/>
                <w:ilvl w:val="0"/>
              </w:numPr>
              <w:tabs>
                <w:tab w:val="left" w:pos="992" w:leader="none"/>
              </w:tabs>
              <w:spacing w:after="0" w:afterAutospacing="0" w:line="240" w:lineRule="auto"/>
              <w:ind w:left="0" w:right="0" w:firstLine="709"/>
              <w:contextualSpacing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проверка состояния башмаков грузонесущего устройства и направляющих (при наличии)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shd w:val="clear" w:color="auto" w:fill="ffffff"/>
              </w:rPr>
              <w:t xml:space="preserve">;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numPr>
                <w:numId w:val="5"/>
                <w:ilvl w:val="0"/>
              </w:numPr>
              <w:tabs>
                <w:tab w:val="left" w:pos="992" w:leader="none"/>
              </w:tabs>
              <w:spacing w:after="0" w:afterAutospacing="0" w:line="240" w:lineRule="auto"/>
              <w:ind w:left="0" w:right="0" w:firstLine="709"/>
              <w:contextualSpacing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shd w:val="clear" w:color="auto" w:fill="ffffff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оформление результатов проверок, испытаний и измерений по форме приложения № 2 к Приказу №170 «Акт технического освидетельствования подъемной </w: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платформы для инвалидов, пассажирского конвейера (движущейся пешеходной дорожки) и эскалатора».  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Срок оказания услуг</w:t>
            </w:r>
            <w:r>
              <w:rPr>
                <w:sz w:val="20"/>
                <w:szCs w:val="20"/>
                <w:lang w:eastAsia="ru-RU"/>
              </w:rPr>
              <w:t xml:space="preserve">: </w:t>
            </w:r>
            <w:r>
              <w:rPr>
                <w:sz w:val="20"/>
                <w:szCs w:val="20"/>
                <w:lang w:eastAsia="ru-RU"/>
              </w:rPr>
              <w:t xml:space="preserve">февраль</w:t>
            </w:r>
            <w:r>
              <w:rPr>
                <w:sz w:val="20"/>
                <w:szCs w:val="20"/>
                <w:lang w:eastAsia="ru-RU"/>
              </w:rPr>
              <w:t xml:space="preserve"> 2027</w:t>
            </w:r>
            <w:r>
              <w:rPr>
                <w:sz w:val="20"/>
                <w:szCs w:val="20"/>
                <w:lang w:eastAsia="ru-RU"/>
              </w:rPr>
              <w:t xml:space="preserve"> г</w:t>
            </w:r>
            <w:r>
              <w:rPr>
                <w:sz w:val="20"/>
                <w:szCs w:val="20"/>
                <w:lang w:eastAsia="ru-RU"/>
              </w:rPr>
              <w:t xml:space="preserve">ода</w:t>
            </w:r>
            <w:r>
              <w:rPr>
                <w:sz w:val="20"/>
                <w:szCs w:val="20"/>
                <w:lang w:eastAsia="ru-RU"/>
              </w:rPr>
            </w:r>
            <w:r>
              <w:rPr>
                <w:sz w:val="20"/>
                <w:szCs w:val="20"/>
                <w:lang w:eastAsia="ru-RU"/>
              </w:rPr>
            </w:r>
          </w:p>
          <w:p>
            <w:pPr>
              <w:tabs>
                <w:tab w:val="left" w:pos="992" w:leader="none"/>
              </w:tabs>
              <w:spacing w:after="0" w:afterAutospacing="0" w:line="240" w:lineRule="auto"/>
              <w:ind w:left="0" w:right="0" w:firstLine="0"/>
              <w:contextualSpacing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  <w:r>
              <w:rPr>
                <w:rFonts w:ascii="PT Astra Serif" w:hAnsi="PT Astra Serif" w:eastAsia="PT Astra Serif" w:cs="PT Astra Serif"/>
                <w:sz w:val="20"/>
                <w:szCs w:val="20"/>
                <w:highlight w:val="none"/>
              </w:rPr>
            </w:r>
          </w:p>
        </w:tc>
        <w:tc>
          <w:tcPr>
            <w:tcW w:w="709" w:type="dxa"/>
            <w:noWrap w:val="false"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1843" w:type="dxa"/>
            <w:noWrap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5 500,00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1843" w:type="dxa"/>
            <w:noWrap/>
            <w:textDirection w:val="lrTb"/>
            <w:vAlign w:val="center"/>
          </w:tcPr>
          <w:p>
            <w:pPr>
              <w:pStyle w:val="844"/>
              <w:framePr w:hSpace="180" w:wrap="around" w:vAnchor="text" w:hAnchor="margin" w:y="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5 800,00</w:t>
            </w:r>
            <w:r>
              <w:rPr>
                <w:color w:val="000000"/>
                <w:sz w:val="18"/>
                <w:szCs w:val="18"/>
              </w:rPr>
            </w: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1701" w:type="dxa"/>
            <w:noWrap w:val="false"/>
            <w:textDirection w:val="lrTb"/>
            <w:vAlign w:val="top"/>
          </w:tcPr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  <w:r>
              <w:rPr>
                <w:bCs/>
                <w:sz w:val="10"/>
                <w:szCs w:val="10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5 000,00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tcW w:w="1559" w:type="dxa"/>
            <w:noWrap w:val="false"/>
            <w:textDirection w:val="lrTb"/>
            <w:vAlign w:val="center"/>
          </w:tcPr>
          <w:p>
            <w:pPr>
              <w:jc w:val="center"/>
            </w:pPr>
            <w:r>
              <w:t xml:space="preserve">5 433,33</w:t>
            </w:r>
          </w:p>
        </w:tc>
        <w:tc>
          <w:tcPr>
            <w:tcW w:w="1134" w:type="dxa"/>
            <w:noWrap w:val="false"/>
            <w:textDirection w:val="lrTb"/>
            <w:vAlign w:val="center"/>
          </w:tcPr>
          <w:p>
            <w:pPr>
              <w:jc w:val="center"/>
            </w:pPr>
            <w:r>
              <w:t xml:space="preserve">404,15</w:t>
            </w:r>
          </w:p>
        </w:tc>
        <w:tc>
          <w:tcPr>
            <w:tcW w:w="1134" w:type="dxa"/>
            <w:noWrap w:val="false"/>
            <w:textDirection w:val="lrTb"/>
            <w:vAlign w:val="center"/>
          </w:tcPr>
          <w:p>
            <w:pPr>
              <w:jc w:val="center"/>
            </w:pPr>
            <w:r>
              <w:t xml:space="preserve">7,44</w:t>
            </w:r>
          </w:p>
        </w:tc>
        <w:tc>
          <w:tcPr>
            <w:tcW w:w="1417" w:type="dxa"/>
            <w:noWrap w:val="false"/>
            <w:textDirection w:val="lrTb"/>
            <w:vAlign w:val="top"/>
          </w:tcPr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  <w:r>
              <w:rPr>
                <w:b/>
                <w:bCs/>
                <w:sz w:val="10"/>
                <w:szCs w:val="10"/>
              </w:rPr>
            </w:r>
          </w:p>
          <w:p>
            <w:pPr>
              <w:framePr w:hSpace="180" w:wrap="around" w:vAnchor="text" w:hAnchor="margin" w:y="76"/>
              <w:ind w:right="-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  <w:p>
            <w:pPr>
              <w:pStyle w:val="844"/>
              <w:framePr w:hSpace="180" w:wrap="around" w:vAnchor="text" w:hAnchor="margin" w:y="76"/>
              <w:ind w:right="-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5 433,33</w: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</w:r>
          </w:p>
        </w:tc>
      </w:tr>
    </w:tbl>
    <w:p>
      <w:pPr>
        <w:pStyle w:val="844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0" w:type="auto"/>
        <w:tblInd w:w="694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4649"/>
      </w:tblGrid>
      <w:tr>
        <w:trPr/>
        <w:tblPrEx/>
        <w:tc>
          <w:tcPr>
            <w:tcW w:w="464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bottom"/>
          </w:tcPr>
          <w:p>
            <w:pPr>
              <w:pStyle w:val="844"/>
              <w:spacing w:after="120"/>
              <w:ind w:hanging="28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Работник контрактной службы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844"/>
              <w:jc w:val="center"/>
              <w:rPr>
                <w:sz w:val="24"/>
                <w:szCs w:val="24"/>
              </w:rPr>
            </w:pPr>
            <w:r>
              <w:t xml:space="preserve">Зам. начальника</w:t>
            </w:r>
            <w:r>
              <w:t xml:space="preserve"> ФЭО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464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(должность)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844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Ind w:w="634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70"/>
        <w:gridCol w:w="397"/>
        <w:gridCol w:w="255"/>
        <w:gridCol w:w="198"/>
        <w:gridCol w:w="170"/>
        <w:gridCol w:w="1617"/>
        <w:gridCol w:w="397"/>
        <w:gridCol w:w="369"/>
        <w:gridCol w:w="225"/>
        <w:gridCol w:w="172"/>
        <w:gridCol w:w="681"/>
      </w:tblGrid>
      <w:tr>
        <w:trPr>
          <w:gridAfter w:val="1"/>
        </w:trPr>
        <w:tblPrEx/>
        <w:tc>
          <w:tcPr>
            <w:tcW w:w="1020" w:type="dxa"/>
            <w:gridSpan w:val="4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bottom"/>
          </w:tcPr>
          <w:p>
            <w:pPr>
              <w:pStyle w:val="8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0" w:type="dxa"/>
            <w:noWrap w:val="false"/>
            <w:textDirection w:val="lrTb"/>
            <w:vAlign w:val="bottom"/>
          </w:tcPr>
          <w:p>
            <w:pPr>
              <w:pStyle w:val="844"/>
              <w:jc w:val="right"/>
              <w:rPr>
                <w:sz w:val="24"/>
                <w:szCs w:val="24"/>
              </w:rPr>
            </w:pPr>
            <w:r>
              <w:t xml:space="preserve">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608" w:type="dxa"/>
            <w:gridSpan w:val="4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bottom"/>
          </w:tcPr>
          <w:p>
            <w:pPr>
              <w:pStyle w:val="844"/>
              <w:jc w:val="center"/>
              <w:rPr>
                <w:sz w:val="24"/>
                <w:szCs w:val="24"/>
              </w:rPr>
            </w:pPr>
            <w:r>
              <w:t xml:space="preserve">Н.А.Максимова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72" w:type="dxa"/>
            <w:noWrap w:val="false"/>
            <w:textDirection w:val="lrTb"/>
            <w:vAlign w:val="bottom"/>
          </w:tcPr>
          <w:p>
            <w:pPr>
              <w:pStyle w:val="844"/>
              <w:rPr>
                <w:sz w:val="24"/>
                <w:szCs w:val="24"/>
              </w:rPr>
            </w:pPr>
            <w:r>
              <w:t xml:space="preserve">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blPrEx/>
        <w:tc>
          <w:tcPr>
            <w:tcW w:w="4651" w:type="dxa"/>
            <w:gridSpan w:val="11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noWrap w:val="false"/>
            <w:textDirection w:val="lrTb"/>
            <w:vAlign w:val="top"/>
          </w:tcPr>
          <w:p>
            <w:pPr>
              <w:pStyle w:val="84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(подпись/расшифровка подписи)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gridAfter w:val="1"/>
        </w:trPr>
        <w:tblPrEx/>
        <w:tc>
          <w:tcPr>
            <w:tcW w:w="170" w:type="dxa"/>
            <w:noWrap w:val="false"/>
            <w:textDirection w:val="lrTb"/>
            <w:vAlign w:val="bottom"/>
          </w:tcPr>
          <w:p>
            <w:pPr>
              <w:pStyle w:val="8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bottom"/>
          </w:tcPr>
          <w:p>
            <w:pPr>
              <w:pStyle w:val="8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55" w:type="dxa"/>
            <w:noWrap w:val="false"/>
            <w:textDirection w:val="lrTb"/>
            <w:vAlign w:val="bottom"/>
          </w:tcPr>
          <w:p>
            <w:pPr>
              <w:pStyle w:val="8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5" w:type="dxa"/>
            <w:gridSpan w:val="3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bottom"/>
          </w:tcPr>
          <w:p>
            <w:pPr>
              <w:pStyle w:val="844"/>
              <w:jc w:val="center"/>
              <w:rPr>
                <w:sz w:val="24"/>
                <w:szCs w:val="24"/>
              </w:rPr>
            </w:pPr>
            <w:r>
              <w:t xml:space="preserve">943-</w:t>
            </w:r>
            <w:r>
              <w:t xml:space="preserve">0</w:t>
            </w:r>
            <w:r>
              <w:t xml:space="preserve">61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noWrap w:val="false"/>
            <w:textDirection w:val="lrTb"/>
            <w:vAlign w:val="bottom"/>
          </w:tcPr>
          <w:p>
            <w:pPr>
              <w:pStyle w:val="84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69" w:type="dxa"/>
            <w:tcBorders>
              <w:top w:val="none" w:color="FFFFFF" w:sz="255" w:space="0"/>
              <w:left w:val="none" w:color="FFFFFF" w:sz="255" w:space="0"/>
              <w:bottom w:val="single" w:color="000000" w:sz="4" w:space="0"/>
              <w:right w:val="none" w:color="FFFFFF" w:sz="255" w:space="0"/>
            </w:tcBorders>
            <w:noWrap w:val="false"/>
            <w:textDirection w:val="lrTb"/>
            <w:vAlign w:val="bottom"/>
          </w:tcPr>
          <w:p>
            <w:pPr>
              <w:pStyle w:val="8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397" w:type="dxa"/>
            <w:gridSpan w:val="2"/>
            <w:noWrap w:val="false"/>
            <w:textDirection w:val="lrTb"/>
            <w:vAlign w:val="bottom"/>
          </w:tcPr>
          <w:p>
            <w:pPr>
              <w:pStyle w:val="844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sectPr>
      <w:footnotePr/>
      <w:endnotePr/>
      <w:type w:val="nextPage"/>
      <w:pgSz w:w="16838" w:h="11906" w:orient="landscape"/>
      <w:pgMar w:top="1078" w:right="1134" w:bottom="1258" w:left="53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Verdana">
    <w:panose1 w:val="020B060403050404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6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2009"/>
      <w:numFmt w:val="decimal"/>
      <w:isLgl w:val="false"/>
      <w:suff w:val="tab"/>
      <w:lvlText w:val="%1"/>
      <w:lvlJc w:val="left"/>
      <w:pPr>
        <w:ind w:left="840" w:hanging="480"/>
      </w:pPr>
    </w:lvl>
    <w:lvl w:ilvl="1">
      <w:start w:val="4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6">
    <w:name w:val="Heading 1"/>
    <w:basedOn w:val="844"/>
    <w:next w:val="844"/>
    <w:link w:val="667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7">
    <w:name w:val="Heading 1 Char"/>
    <w:link w:val="666"/>
    <w:uiPriority w:val="9"/>
    <w:rPr>
      <w:rFonts w:ascii="Arial" w:hAnsi="Arial" w:eastAsia="Arial" w:cs="Arial"/>
      <w:sz w:val="40"/>
      <w:szCs w:val="40"/>
    </w:rPr>
  </w:style>
  <w:style w:type="paragraph" w:styleId="668">
    <w:name w:val="Heading 2"/>
    <w:basedOn w:val="844"/>
    <w:next w:val="844"/>
    <w:link w:val="669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9">
    <w:name w:val="Heading 2 Char"/>
    <w:link w:val="668"/>
    <w:uiPriority w:val="9"/>
    <w:rPr>
      <w:rFonts w:ascii="Arial" w:hAnsi="Arial" w:eastAsia="Arial" w:cs="Arial"/>
      <w:sz w:val="34"/>
    </w:rPr>
  </w:style>
  <w:style w:type="paragraph" w:styleId="670">
    <w:name w:val="Heading 3"/>
    <w:basedOn w:val="844"/>
    <w:next w:val="844"/>
    <w:link w:val="671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1">
    <w:name w:val="Heading 3 Char"/>
    <w:link w:val="670"/>
    <w:uiPriority w:val="9"/>
    <w:rPr>
      <w:rFonts w:ascii="Arial" w:hAnsi="Arial" w:eastAsia="Arial" w:cs="Arial"/>
      <w:sz w:val="30"/>
      <w:szCs w:val="30"/>
    </w:rPr>
  </w:style>
  <w:style w:type="paragraph" w:styleId="672">
    <w:name w:val="Heading 4"/>
    <w:basedOn w:val="844"/>
    <w:next w:val="844"/>
    <w:link w:val="673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3">
    <w:name w:val="Heading 4 Char"/>
    <w:link w:val="672"/>
    <w:uiPriority w:val="9"/>
    <w:rPr>
      <w:rFonts w:ascii="Arial" w:hAnsi="Arial" w:eastAsia="Arial" w:cs="Arial"/>
      <w:b/>
      <w:bCs/>
      <w:sz w:val="26"/>
      <w:szCs w:val="26"/>
    </w:rPr>
  </w:style>
  <w:style w:type="paragraph" w:styleId="674">
    <w:name w:val="Heading 5"/>
    <w:basedOn w:val="844"/>
    <w:next w:val="844"/>
    <w:link w:val="675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5">
    <w:name w:val="Heading 5 Char"/>
    <w:link w:val="674"/>
    <w:uiPriority w:val="9"/>
    <w:rPr>
      <w:rFonts w:ascii="Arial" w:hAnsi="Arial" w:eastAsia="Arial" w:cs="Arial"/>
      <w:b/>
      <w:bCs/>
      <w:sz w:val="24"/>
      <w:szCs w:val="24"/>
    </w:rPr>
  </w:style>
  <w:style w:type="paragraph" w:styleId="676">
    <w:name w:val="Heading 6"/>
    <w:basedOn w:val="844"/>
    <w:next w:val="844"/>
    <w:link w:val="677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7">
    <w:name w:val="Heading 6 Char"/>
    <w:link w:val="676"/>
    <w:uiPriority w:val="9"/>
    <w:rPr>
      <w:rFonts w:ascii="Arial" w:hAnsi="Arial" w:eastAsia="Arial" w:cs="Arial"/>
      <w:b/>
      <w:bCs/>
      <w:sz w:val="22"/>
      <w:szCs w:val="22"/>
    </w:rPr>
  </w:style>
  <w:style w:type="paragraph" w:styleId="678">
    <w:name w:val="Heading 7"/>
    <w:basedOn w:val="844"/>
    <w:next w:val="844"/>
    <w:link w:val="679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9">
    <w:name w:val="Heading 7 Char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0">
    <w:name w:val="Heading 8"/>
    <w:basedOn w:val="844"/>
    <w:next w:val="844"/>
    <w:link w:val="681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1">
    <w:name w:val="Heading 8 Char"/>
    <w:link w:val="680"/>
    <w:uiPriority w:val="9"/>
    <w:rPr>
      <w:rFonts w:ascii="Arial" w:hAnsi="Arial" w:eastAsia="Arial" w:cs="Arial"/>
      <w:i/>
      <w:iCs/>
      <w:sz w:val="22"/>
      <w:szCs w:val="22"/>
    </w:rPr>
  </w:style>
  <w:style w:type="paragraph" w:styleId="682">
    <w:name w:val="Heading 9"/>
    <w:basedOn w:val="844"/>
    <w:next w:val="844"/>
    <w:link w:val="683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3">
    <w:name w:val="Heading 9 Char"/>
    <w:link w:val="682"/>
    <w:uiPriority w:val="9"/>
    <w:rPr>
      <w:rFonts w:ascii="Arial" w:hAnsi="Arial" w:eastAsia="Arial" w:cs="Arial"/>
      <w:i/>
      <w:iCs/>
      <w:sz w:val="21"/>
      <w:szCs w:val="21"/>
    </w:rPr>
  </w:style>
  <w:style w:type="paragraph" w:styleId="684">
    <w:name w:val="List Paragraph"/>
    <w:basedOn w:val="844"/>
    <w:uiPriority w:val="34"/>
    <w:qFormat/>
    <w:pPr>
      <w:ind w:left="720"/>
      <w:contextualSpacing/>
    </w:pPr>
  </w:style>
  <w:style w:type="paragraph" w:styleId="685">
    <w:name w:val="No Spacing"/>
    <w:uiPriority w:val="1"/>
    <w:qFormat/>
    <w:pPr>
      <w:spacing w:before="0" w:after="0" w:line="240" w:lineRule="auto"/>
    </w:pPr>
  </w:style>
  <w:style w:type="paragraph" w:styleId="686">
    <w:name w:val="Title"/>
    <w:basedOn w:val="844"/>
    <w:next w:val="844"/>
    <w:link w:val="687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87">
    <w:name w:val="Title Char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uiPriority w:val="11"/>
    <w:qFormat/>
    <w:pPr>
      <w:spacing w:before="200" w:after="200"/>
    </w:pPr>
    <w:rPr>
      <w:sz w:val="24"/>
      <w:szCs w:val="24"/>
    </w:rPr>
  </w:style>
  <w:style w:type="character" w:styleId="689">
    <w:name w:val="Subtitle Char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uiPriority w:val="29"/>
    <w:qFormat/>
    <w:pPr>
      <w:ind w:left="720" w:right="720"/>
    </w:pPr>
    <w:rPr>
      <w:i/>
    </w:r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95">
    <w:name w:val="Header Char"/>
    <w:link w:val="694"/>
    <w:uiPriority w:val="99"/>
  </w:style>
  <w:style w:type="paragraph" w:styleId="696">
    <w:name w:val="Footer"/>
    <w:basedOn w:val="844"/>
    <w:link w:val="69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97">
    <w:name w:val="Footer Char"/>
    <w:link w:val="696"/>
    <w:uiPriority w:val="99"/>
  </w:style>
  <w:style w:type="paragraph" w:styleId="698">
    <w:name w:val="Caption"/>
    <w:basedOn w:val="844"/>
    <w:next w:val="844"/>
    <w:link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9">
    <w:name w:val="Caption Char"/>
    <w:link w:val="698"/>
    <w:uiPriority w:val="35"/>
    <w:rPr>
      <w:b/>
      <w:bCs/>
      <w:color w:val="4f81bd" w:themeColor="accent1"/>
      <w:sz w:val="18"/>
      <w:szCs w:val="18"/>
    </w:rPr>
  </w:style>
  <w:style w:type="table" w:styleId="70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3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3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3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3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4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4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4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pPr>
      <w:spacing w:after="40" w:line="240" w:lineRule="auto"/>
    </w:pPr>
    <w:rPr>
      <w:sz w:val="18"/>
    </w:r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pPr>
      <w:spacing w:after="0" w:line="240" w:lineRule="auto"/>
    </w:pPr>
    <w:rPr>
      <w:sz w:val="20"/>
    </w:r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spacing w:after="57"/>
      <w:ind w:left="0" w:right="0" w:firstLine="0"/>
    </w:pPr>
  </w:style>
  <w:style w:type="paragraph" w:styleId="834">
    <w:name w:val="toc 2"/>
    <w:basedOn w:val="844"/>
    <w:next w:val="844"/>
    <w:uiPriority w:val="39"/>
    <w:unhideWhenUsed/>
    <w:pPr>
      <w:spacing w:after="57"/>
      <w:ind w:left="283" w:right="0" w:firstLine="0"/>
    </w:pPr>
  </w:style>
  <w:style w:type="paragraph" w:styleId="835">
    <w:name w:val="toc 3"/>
    <w:basedOn w:val="844"/>
    <w:next w:val="844"/>
    <w:uiPriority w:val="39"/>
    <w:unhideWhenUsed/>
    <w:pPr>
      <w:spacing w:after="57"/>
      <w:ind w:left="567" w:right="0" w:firstLine="0"/>
    </w:pPr>
  </w:style>
  <w:style w:type="paragraph" w:styleId="836">
    <w:name w:val="toc 4"/>
    <w:basedOn w:val="844"/>
    <w:next w:val="844"/>
    <w:uiPriority w:val="39"/>
    <w:unhideWhenUsed/>
    <w:pPr>
      <w:spacing w:after="57"/>
      <w:ind w:left="850" w:right="0" w:firstLine="0"/>
    </w:pPr>
  </w:style>
  <w:style w:type="paragraph" w:styleId="837">
    <w:name w:val="toc 5"/>
    <w:basedOn w:val="844"/>
    <w:next w:val="844"/>
    <w:uiPriority w:val="39"/>
    <w:unhideWhenUsed/>
    <w:pPr>
      <w:spacing w:after="57"/>
      <w:ind w:left="1134" w:right="0" w:firstLine="0"/>
    </w:pPr>
  </w:style>
  <w:style w:type="paragraph" w:styleId="838">
    <w:name w:val="toc 6"/>
    <w:basedOn w:val="844"/>
    <w:next w:val="844"/>
    <w:uiPriority w:val="39"/>
    <w:unhideWhenUsed/>
    <w:pPr>
      <w:spacing w:after="57"/>
      <w:ind w:left="1417" w:right="0" w:firstLine="0"/>
    </w:pPr>
  </w:style>
  <w:style w:type="paragraph" w:styleId="839">
    <w:name w:val="toc 7"/>
    <w:basedOn w:val="844"/>
    <w:next w:val="844"/>
    <w:uiPriority w:val="39"/>
    <w:unhideWhenUsed/>
    <w:pPr>
      <w:spacing w:after="57"/>
      <w:ind w:left="1701" w:right="0" w:firstLine="0"/>
    </w:pPr>
  </w:style>
  <w:style w:type="paragraph" w:styleId="840">
    <w:name w:val="toc 8"/>
    <w:basedOn w:val="844"/>
    <w:next w:val="844"/>
    <w:uiPriority w:val="39"/>
    <w:unhideWhenUsed/>
    <w:pPr>
      <w:spacing w:after="57"/>
      <w:ind w:left="1984" w:right="0" w:firstLine="0"/>
    </w:pPr>
  </w:style>
  <w:style w:type="paragraph" w:styleId="841">
    <w:name w:val="toc 9"/>
    <w:basedOn w:val="844"/>
    <w:next w:val="844"/>
    <w:uiPriority w:val="39"/>
    <w:unhideWhenUsed/>
    <w:pPr>
      <w:spacing w:after="57"/>
      <w:ind w:left="2268" w:right="0" w:firstLine="0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next w:val="844"/>
    <w:link w:val="844"/>
    <w:qFormat/>
    <w:rPr>
      <w:lang w:val="ru-RU" w:eastAsia="ar-SA" w:bidi="ar-SA"/>
    </w:rPr>
  </w:style>
  <w:style w:type="character" w:styleId="845">
    <w:name w:val="Основной шрифт абзаца"/>
    <w:next w:val="845"/>
    <w:link w:val="844"/>
    <w:semiHidden/>
  </w:style>
  <w:style w:type="table" w:styleId="846">
    <w:name w:val="Обычная таблица"/>
    <w:next w:val="846"/>
    <w:link w:val="844"/>
    <w:semiHidden/>
    <w:tblPr/>
  </w:style>
  <w:style w:type="numbering" w:styleId="847">
    <w:name w:val="Нет списка"/>
    <w:next w:val="847"/>
    <w:link w:val="844"/>
    <w:semiHidden/>
  </w:style>
  <w:style w:type="paragraph" w:styleId="848">
    <w:name w:val="Normal1"/>
    <w:next w:val="848"/>
    <w:link w:val="844"/>
    <w:rPr>
      <w:sz w:val="24"/>
      <w:lang w:val="ru-RU" w:eastAsia="ar-SA" w:bidi="ar-SA"/>
    </w:rPr>
  </w:style>
  <w:style w:type="paragraph" w:styleId="849">
    <w:name w:val="Текст выноски"/>
    <w:basedOn w:val="844"/>
    <w:next w:val="849"/>
    <w:link w:val="844"/>
    <w:semiHidden/>
    <w:rPr>
      <w:rFonts w:ascii="Tahoma" w:hAnsi="Tahoma" w:cs="Tahoma"/>
      <w:sz w:val="16"/>
      <w:szCs w:val="16"/>
    </w:rPr>
  </w:style>
  <w:style w:type="paragraph" w:styleId="850">
    <w:name w:val=" Знак Знак Знак Знак"/>
    <w:basedOn w:val="844"/>
    <w:next w:val="850"/>
    <w:link w:val="844"/>
    <w:rPr>
      <w:rFonts w:ascii="Verdana" w:hAnsi="Verdana" w:cs="Verdana"/>
      <w:lang w:val="en-US" w:eastAsia="en-US"/>
    </w:rPr>
  </w:style>
  <w:style w:type="paragraph" w:styleId="851">
    <w:name w:val="Содержимое таблицы"/>
    <w:basedOn w:val="844"/>
    <w:next w:val="851"/>
    <w:link w:val="844"/>
    <w:pPr>
      <w:suppressLineNumbers/>
    </w:pPr>
  </w:style>
  <w:style w:type="paragraph" w:styleId="852">
    <w:name w:val="Абзац списка"/>
    <w:basedOn w:val="844"/>
    <w:next w:val="852"/>
    <w:link w:val="844"/>
    <w:qFormat/>
    <w:pPr>
      <w:widowControl w:val="off"/>
      <w:ind w:left="720"/>
      <w:contextualSpacing/>
    </w:pPr>
    <w:rPr>
      <w:sz w:val="24"/>
      <w:szCs w:val="24"/>
    </w:rPr>
  </w:style>
  <w:style w:type="paragraph" w:styleId="853">
    <w:name w:val="Текст"/>
    <w:basedOn w:val="844"/>
    <w:next w:val="853"/>
    <w:link w:val="854"/>
    <w:rPr>
      <w:rFonts w:ascii="Courier New" w:hAnsi="Courier New"/>
      <w:lang w:eastAsia="ru-RU"/>
    </w:rPr>
  </w:style>
  <w:style w:type="character" w:styleId="854">
    <w:name w:val="Текст Знак"/>
    <w:next w:val="854"/>
    <w:link w:val="853"/>
    <w:rPr>
      <w:rFonts w:ascii="Courier New" w:hAnsi="Courier New"/>
      <w:lang w:val="ru-RU" w:eastAsia="ru-RU" w:bidi="ar-SA"/>
    </w:rPr>
  </w:style>
  <w:style w:type="character" w:styleId="855" w:default="1">
    <w:name w:val="Default Paragraph Font"/>
    <w:uiPriority w:val="1"/>
    <w:semiHidden/>
    <w:unhideWhenUsed/>
  </w:style>
  <w:style w:type="numbering" w:styleId="856" w:default="1">
    <w:name w:val="No List"/>
    <w:uiPriority w:val="99"/>
    <w:semiHidden/>
    <w:unhideWhenUsed/>
  </w:style>
  <w:style w:type="table" w:styleId="85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MoBIL GROUP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Начальная (максимальная) цена государственного контракта,</dc:title>
  <dc:creator>NickOn</dc:creator>
  <cp:revision>12</cp:revision>
  <dcterms:created xsi:type="dcterms:W3CDTF">2021-10-14T07:32:00Z</dcterms:created>
  <dcterms:modified xsi:type="dcterms:W3CDTF">2026-08-31T06:33:17Z</dcterms:modified>
  <cp:version>983040</cp:version>
</cp:coreProperties>
</file>