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Проект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Контракт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 №</w:t>
      </w:r>
      <w:r>
        <w:rPr>
          <w:rFonts w:ascii="Tinos" w:hAnsi="Tinos" w:cs="Tinos"/>
          <w:sz w:val="24"/>
          <w:szCs w:val="24"/>
          <w:highlight w:val="none"/>
        </w:rPr>
        <w:t xml:space="preserve"> 51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tbl>
      <w:tblPr>
        <w:tblStyle w:val="93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9"/>
        <w:gridCol w:w="8636"/>
      </w:tblGrid>
      <w:tr>
        <w:tblPrEx/>
        <w:trPr>
          <w:trHeight w:val="298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ИКЗ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КБК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32104125440190020244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г.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Великий Новгород               </w:t>
      </w:r>
      <w:bookmarkStart w:id="0" w:name="_GoBack"/>
      <w:r>
        <w:rPr>
          <w:rFonts w:ascii="Tinos" w:hAnsi="Tinos" w:eastAsia="Tinos" w:cs="Tinos"/>
          <w:sz w:val="24"/>
          <w:szCs w:val="24"/>
          <w:highlight w:val="none"/>
        </w:rPr>
      </w:r>
      <w:bookmarkEnd w:id="0"/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___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» _________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2026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(далее - Управление), именуемое в дальнейшем «Заказчик», в лице заместителя руководителя Управления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Смирновой Ольги Олеговны,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действующей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016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-Д от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17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.0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.202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4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____________, в лице ________________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действующей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на основании 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 имен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уемое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дальнейшем «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», с другой стороны (далее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4 ч.1 ст.93 Федерального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rPr>
          <w:rFonts w:ascii="Tinos" w:hAnsi="Tinos" w:eastAsia="Tinos" w:cs="Tinos"/>
          <w:bCs/>
          <w:sz w:val="24"/>
          <w:szCs w:val="24"/>
          <w:lang w:val="en-US" w:eastAsia="ru-RU"/>
        </w:rPr>
        <w:t xml:space="preserve">c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учетом итогов закупочной сессии №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____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состоялась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/не состоялась),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В соответствии с настоящим контрактом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обязуется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оказать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 услуги по техническому освидетельствованию подъемной платформы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приложением № 1 к контрак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ту (далее –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услуга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), а Заказчик принять и оплатить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оказанную услугу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в соответствии с настоящим контрактом.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1.2. Сроки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оказания услуг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февраль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2027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ода</w:t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Сумма контракта и порядок расчетов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 Сумма настоящего контракта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составляет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рублей,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том числе НДС/НДС не облагается.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юридическому лицу или ф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изическому лицу, в том числе зарегистрированному в качестве индивидуального предпринимателя уменьшается, на размер налогов, сборов и иных обязательных платежей в бюджет, связанных с оплатой контракта, если такие платежи подлежат уплате в бюджет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2.2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Оплата производится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 счет средств федерального бюджета, безналичным путем, путем перечисления денежных средств на расчетный счет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в течение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семи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рабочих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дней после пред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ставления платёжных документов и подписания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лучаях, предусмотренных п.6 ст.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161 Бюджетного кодекса Российской Федерации, оплата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осуществляется Заказчиком в порядке, установленном пунктом 2.2 контракта, после доведения до него согласованных лимито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бюджетных ассигнований на 2027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год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Доставка платёжных документов (счет,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счёт-фактура,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осуществляется в электрон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ном виде, все представленные документы должны быть подписаны ЭЦП. В случае обмена электронными платёжными документами, такие документы признаются официальными, имеющими юридическую силу и без последующего представления бумажных оригиналов этих документов.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отсутствии технической возможности платежные документы доставляются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своими силами за свой счёт по юридическому адресу Заказчика. 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представленные по факсу, копии (сканы) платёжных документов, платёжные документы, представленные в электронном виде без ЭЦП, к оплате не принимаются и считаются непредставленными.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оформленные не в соответствии с действующим законодательством и(или) заключенным между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и Заказчиком контрактом, считаются непредставленными.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2.3. В стоимость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по настоящему контракту входят расходы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в полном объеме и надлежащего качества, все подлежащие к уплате налоги, сборы и другие обязательные платежи и иные расходы, связанные с оказанием услуг.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В случае неисполнения или ненадлежащего исполнения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обязательства, предусмотренного контрактом, Заказчик вправе осуществить взыскание неустойки (штрафа, пени) в бесспорном порядке без согласия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путем удержания суммы неустойки (штрафа, пени), начисленной в соответствии с разделом 5 настоящего Контракта, при окончательном расчете с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 При этом оплата осу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ществляется на основании счета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счёт-фактуры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подписанного сторонами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(Приложение №2),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2.6. Обязательства Заказчика по оплате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2.7. Банковское сопровождение контракта, предусмотренное ст.35 Закона №44-ФЗ, к настоящему контракту не применяется.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3.1. Исполнитель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Оказать услуги своевременно и с надлежащим качеством.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3.1.2. Оказать услуги в соответствии с требованиями, установленными Приложением № 1 к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3.1.3. Устранить   недостатки, возникшие вследствие   отступления   от контракта,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3.1.4.  Предупредить Заказчика при обнаружении возможных неблагоприятных последствий, которые могут возникнуть в результате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3.1.5. 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3.2. Заказчик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ar-SA"/>
        </w:rPr>
        <w:t xml:space="preserve">3.2.1.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ринять и оплатить оказанные услуги в соответствии с условиями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3.3. Заказчик вправе: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3.3.1. Запрашивать у Исполнителя информацию о ходе исполнения настоящего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3.3.2. В любое 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зумное время проверить качество оказываемых услуг и в случае обнаружения существенных отступлений, предъявить Исполнителю письменную претензию. В случае ее признания Исполнитель обязан в сроки, согласованные с Заказчиком, за свой счет устранить недостатки.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4. Порядок сдачи-приемки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4.1. По завершении оказания услуг Исполнитель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 в течение 2 (двух) рабочих дней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представляет Заказчику подписанный со своей стороны акт оказанных услуг в 2-х экземплярах. Заказчик в течение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пяти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) рабочих дней после передачи ему акта оказанных услуг подписывает его со своей стороны и передает Исполнителю или заявляет в письменном виде мотивированный отказ от приемки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4.2. В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случае несоответствия оказываемых услуг условиям контракта составляется акт устранения недостатков, при этом, Исполнитель обязан устранить   недостатки, возникшие вследствие   отступления   от контракта за свой счет в течение 5 (пяти) рабочих дней с момен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та поступления требования от Заказчика либо составления акта. Некачественно оказанные услуги считаются не выполненными. Срок устранения недостатков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1"/>
          <w:numId w:val="2"/>
        </w:numPr>
        <w:contextualSpacing/>
        <w:ind w:firstLine="720"/>
        <w:jc w:val="both"/>
        <w:spacing w:before="0" w:beforeAutospacing="0" w:after="0" w:afterAutospacing="0" w:line="240" w:lineRule="auto"/>
        <w:tabs>
          <w:tab w:val="num" w:pos="7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4.3. Датой приемки результатов оказания услуг считается дата подписания с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торонами (или их представителями) акта оказанных услуг. При этом, если услуги приняты Заказчиком без замечаний, то срок с даты оказания услуг Исполнителем до даты подписания Заказчиком акта приемки оказанных услуг не входит в срок просрочки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4.4. Для проверки предоставленных Исполнителем результатов, предусмотрен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4.5. Выбор эксперта (экспертной организации) осуществляется Заказчиком без согласования с Исполнителем.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4.6.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4.7. Исполнитель имеет право присутствовать при проводимых в ходе экспертизы осмотрах результатов оказания услуг или иных аналогичных исследованиях.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4.8. Исполнитель, если возникнет так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ая необходимость, обязан в кратчайшие сроки предоставлять эксперту (экспертной организации), с которой Заказчиком заключен договор на проведение экспертизы, 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4.9. После завершения экспертизы Заказчик направляет Исполнителю копию экспертного заключения.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4.10. При получении копии экспертного заключения Исполнитель принимает решение, описанное в пункте 4.2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4.11. В случае выявления экспертом недостатков, несоответствия оказанных услуг требованиям технического задания Исполнитель возмещает Заказчику стоимость произведенной экспертизы и устраняет недостатки и своими силами и за свой счёт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pacing w:val="-8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5. Ответственность сторон</w:t>
      </w:r>
      <w:r>
        <w:rPr>
          <w:rFonts w:ascii="Tinos" w:hAnsi="Tinos" w:cs="Tinos"/>
          <w:spacing w:val="-8"/>
          <w:sz w:val="24"/>
          <w:szCs w:val="24"/>
        </w:rPr>
      </w:r>
      <w:r>
        <w:rPr>
          <w:rFonts w:ascii="Tinos" w:hAnsi="Tinos" w:cs="Tinos"/>
          <w:spacing w:val="-8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.6.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к направляет Поставщику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Поставщиком.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Поставщику в срок не позднее 20 (Двадцати) календарных дней после получения требования Поставщика об уплате штрафа, пеней.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.15. Поставщик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6.1. Ни   одна  из  сторон   не   несет  ответственность   перед  другой   стороной   за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действием обстоятельств непреодолимой силы, т.е. чрезвычайных и непредотвратимых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силы.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контракту.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6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7. Порядок разрешения споров</w:t>
      </w:r>
      <w:r>
        <w:rPr>
          <w:rFonts w:ascii="Tinos" w:hAnsi="Tinos" w:cs="Tinos"/>
          <w:spacing w:val="6"/>
          <w:sz w:val="24"/>
          <w:szCs w:val="24"/>
        </w:rPr>
      </w:r>
      <w:r>
        <w:rPr>
          <w:rFonts w:ascii="Tinos" w:hAnsi="Tinos" w:cs="Tinos"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ними.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В   случае  невозможности  разрешения  разногласий   путем   переговоров  они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обеими сторонами.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Федеральным законом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Федерального закона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9. Прочие условия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7"/>
          <w:sz w:val="24"/>
          <w:szCs w:val="24"/>
          <w:lang w:eastAsia="ru-RU"/>
        </w:rPr>
        <w:t xml:space="preserve">9.1.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9.2.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9.3. Следующие    приложения    являются    неотъемлемой    частью    настоящего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контракта: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1 -спецификация;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2 - форма акта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8"/>
          <w:sz w:val="24"/>
          <w:szCs w:val="24"/>
          <w:lang w:eastAsia="ru-RU"/>
        </w:rPr>
        <w:t xml:space="preserve">9.4.</w:t>
      </w:r>
      <w:r>
        <w:rPr>
          <w:rFonts w:ascii="Tinos" w:hAnsi="Tinos" w:eastAsia="Tinos" w:cs="Tinos"/>
          <w:sz w:val="24"/>
          <w:szCs w:val="24"/>
          <w:lang w:eastAsia="ru-RU"/>
        </w:rPr>
        <w:tab/>
        <w:t xml:space="preserve">Вопросы, не   урегулированные   настоящим     контрактом,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tbl>
      <w:tblPr>
        <w:tblW w:w="95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870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870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>
          <w:trHeight w:val="875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76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contextualSpacing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</w:tbl>
    <w:p>
      <w:pPr>
        <w:contextualSpacing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                                      </w:t>
      </w: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bCs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риложение №1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от «</w:t>
      </w:r>
      <w:r>
        <w:rPr>
          <w:rFonts w:ascii="Tinos" w:hAnsi="Tinos" w:eastAsia="Tinos" w:cs="Tinos"/>
          <w:sz w:val="24"/>
          <w:szCs w:val="24"/>
        </w:rPr>
        <w:t xml:space="preserve">___» </w:t>
      </w:r>
      <w:r>
        <w:rPr>
          <w:rFonts w:ascii="Tinos" w:hAnsi="Tinos" w:eastAsia="Tinos" w:cs="Tinos"/>
          <w:sz w:val="24"/>
          <w:szCs w:val="24"/>
        </w:rPr>
        <w:t xml:space="preserve">________ </w:t>
      </w:r>
      <w:r>
        <w:rPr>
          <w:rFonts w:ascii="Tinos" w:hAnsi="Tinos" w:eastAsia="Tinos" w:cs="Tinos"/>
          <w:sz w:val="24"/>
          <w:szCs w:val="24"/>
        </w:rPr>
        <w:t xml:space="preserve">2026</w:t>
      </w:r>
      <w:r>
        <w:rPr>
          <w:rFonts w:ascii="Tinos" w:hAnsi="Tinos" w:eastAsia="Tinos" w:cs="Tinos"/>
          <w:sz w:val="24"/>
          <w:szCs w:val="24"/>
        </w:rPr>
        <w:t xml:space="preserve"> г. №</w:t>
      </w:r>
      <w:r>
        <w:rPr>
          <w:rFonts w:ascii="Tinos" w:hAnsi="Tinos" w:cs="Tinos"/>
          <w:sz w:val="24"/>
          <w:szCs w:val="24"/>
          <w:highlight w:val="none"/>
        </w:rPr>
        <w:t xml:space="preserve">51</w:t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1.Расчет стоимости</w:t>
      </w:r>
      <w:r>
        <w:rPr>
          <w:rFonts w:ascii="Tinos" w:hAnsi="Tinos" w:eastAsia="Tinos" w:cs="Tinos"/>
          <w:b/>
          <w:sz w:val="22"/>
          <w:szCs w:val="22"/>
        </w:rPr>
        <w:t xml:space="preserve"> услуг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before="0" w:line="240" w:lineRule="auto"/>
        <w:widowControl/>
        <w:rPr>
          <w:rFonts w:ascii="Tinos" w:hAnsi="Tinos" w:cs="Tinos"/>
          <w:b/>
          <w:sz w:val="22"/>
          <w:szCs w:val="22"/>
          <w:highlight w:val="yellow"/>
        </w:rPr>
      </w:pPr>
      <w:r>
        <w:rPr>
          <w:rFonts w:ascii="Tinos" w:hAnsi="Tinos" w:eastAsia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</w:p>
    <w:tbl>
      <w:tblPr>
        <w:tblpPr w:horzAnchor="margin" w:tblpXSpec="left" w:vertAnchor="text" w:tblpY="-11" w:leftFromText="180" w:topFromText="0" w:rightFromText="180" w:bottomFromText="0"/>
        <w:tblW w:w="9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1"/>
        <w:gridCol w:w="707"/>
        <w:gridCol w:w="1417"/>
        <w:gridCol w:w="778"/>
        <w:gridCol w:w="1209"/>
        <w:gridCol w:w="1276"/>
      </w:tblGrid>
      <w:tr>
        <w:tblPrEx/>
        <w:trPr>
          <w:trHeight w:val="1500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/п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Наименование единицы услуги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Кол-во,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усл.ед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778" w:type="dxa"/>
            <w:textDirection w:val="lrTb"/>
            <w:noWrap w:val="false"/>
          </w:tcPr>
          <w:p>
            <w:pPr>
              <w:ind w:left="-182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Размер НДС, %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09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 с НДС, руб.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Стоимость, руб. (кол-во*цену с НДС)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r/>
            <w:r/>
          </w:p>
        </w:tc>
      </w:tr>
      <w:tr>
        <w:tblPrEx/>
        <w:trPr>
          <w:trHeight w:val="506"/>
        </w:trPr>
        <w:tc>
          <w:tcPr>
            <w:shd w:val="clear" w:color="ffffff" w:fill="ffffff"/>
            <w:tcW w:w="567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6"/>
            <w:shd w:val="clear" w:color="ffffff" w:fill="ffffff"/>
            <w:tcW w:w="8081" w:type="dxa"/>
            <w:vAlign w:val="center"/>
            <w:textDirection w:val="lrTb"/>
            <w:noWrap w:val="false"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left"/>
        <w:spacing w:after="20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                                          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.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ind w:firstLine="708"/>
        <w:jc w:val="left"/>
        <w:spacing w:after="20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hd w:val="clear" w:color="auto" w:fill="ffffff"/>
        <w:tabs>
          <w:tab w:val="left" w:pos="4781" w:leader="none"/>
        </w:tabs>
        <w:rPr>
          <w:rFonts w:ascii="Tinos" w:hAnsi="Tinos" w:cs="Tinos"/>
          <w:b/>
          <w:color w:val="000000"/>
          <w:sz w:val="24"/>
          <w:szCs w:val="24"/>
        </w:rPr>
      </w:pP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на оказание услуг по техническому освидетельствованию подъемной платформы</w:t>
      </w:r>
      <w:r>
        <w:rPr>
          <w:rFonts w:ascii="Tinos" w:hAnsi="Tinos" w:eastAsia="Tinos" w:cs="Tinos"/>
          <w:b/>
          <w:color w:val="000000"/>
          <w:sz w:val="24"/>
          <w:szCs w:val="24"/>
        </w:rPr>
      </w:r>
      <w:r>
        <w:rPr>
          <w:rFonts w:ascii="Tinos" w:hAnsi="Tinos" w:eastAsia="Tinos" w:cs="Tinos"/>
          <w:b/>
          <w:color w:val="000000"/>
          <w:sz w:val="24"/>
          <w:szCs w:val="24"/>
        </w:rPr>
      </w:r>
    </w:p>
    <w:p>
      <w:pPr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Объект закупки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eastAsia="Tinos" w:cs="Tinos"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освидетельствование подъемной платформы (определение соответствия общим требованиям безопасности)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</w:p>
    <w:p>
      <w:pPr>
        <w:contextualSpacing/>
        <w:jc w:val="both"/>
        <w:tabs>
          <w:tab w:val="num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КТРУ – отсутствует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ОКПД 2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- </w:t>
      </w:r>
      <w:r>
        <w:rPr>
          <w:rFonts w:ascii="Tinos" w:hAnsi="Tinos" w:eastAsia="Tinos" w:cs="Tinos"/>
          <w:sz w:val="24"/>
          <w:szCs w:val="24"/>
        </w:rPr>
        <w:t xml:space="preserve">71.20.19.190 «Услуги по техническим </w:t>
      </w:r>
      <w:r>
        <w:rPr>
          <w:rFonts w:ascii="Tinos" w:hAnsi="Tinos" w:eastAsia="Tinos" w:cs="Tinos"/>
          <w:sz w:val="24"/>
          <w:szCs w:val="24"/>
        </w:rPr>
        <w:t xml:space="preserve">испытаниям и анализу прочие, не </w:t>
      </w:r>
      <w:r>
        <w:rPr>
          <w:rFonts w:ascii="Tinos" w:hAnsi="Tinos" w:eastAsia="Tinos" w:cs="Tinos"/>
          <w:sz w:val="24"/>
          <w:szCs w:val="24"/>
        </w:rPr>
        <w:t xml:space="preserve">включенные в другие группировки»;</w:t>
      </w:r>
      <w:r>
        <w:rPr>
          <w:rFonts w:ascii="Tinos" w:hAnsi="Tinos" w:eastAsia="Tinos" w:cs="Tinos" w:eastAsiaTheme="minorHAnsi"/>
          <w:sz w:val="24"/>
          <w:szCs w:val="24"/>
          <w:lang w:eastAsia="en-US"/>
        </w:rPr>
      </w:r>
      <w:r>
        <w:rPr>
          <w:rFonts w:ascii="Tinos" w:hAnsi="Tinos" w:eastAsia="Tinos" w:cs="Tinos" w:eastAsiaTheme="minorHAnsi"/>
          <w:sz w:val="24"/>
          <w:szCs w:val="24"/>
          <w:lang w:eastAsia="en-US"/>
        </w:rPr>
      </w:r>
    </w:p>
    <w:p>
      <w:pPr>
        <w:pStyle w:val="936"/>
        <w:numPr>
          <w:ilvl w:val="0"/>
          <w:numId w:val="30"/>
        </w:numPr>
        <w:jc w:val="both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Общие сведения об объекте, подлежащего техническому освидетельствованию 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contextualSpacing/>
        <w:jc w:val="right"/>
        <w:shd w:val="clear" w:color="auto" w:fill="ffffff"/>
        <w:tabs>
          <w:tab w:val="left" w:pos="14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Таблица № 1. 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71"/>
        <w:gridCol w:w="3404"/>
        <w:gridCol w:w="5162"/>
      </w:tblGrid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Адрес установки подъемной платформы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г.  Вели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кий Новгород, ул. Октябрьская, д.17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9" w:leader="none"/>
              </w:tabs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Характеристика подъемной платформы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Категория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 наклонным перемещением для инвалидов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Грузоподъемность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190 кг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Вместимость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пользователь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Обслуживаемый контингент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лица с ограниченными двигательными возможностями и инвалиды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Скорость номинальная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0,10 м/с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Высота подъема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1,74 м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Число остановок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Заводской номер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7804 / 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LC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605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contextualSpacing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Год изготовления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numPr>
                <w:ilvl w:val="0"/>
                <w:numId w:val="27"/>
              </w:numPr>
              <w:contextualSpacing/>
              <w:jc w:val="right"/>
              <w:tabs>
                <w:tab w:val="left" w:pos="389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</w:tbl>
    <w:p>
      <w:pPr>
        <w:ind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eastAsia="Tinos" w:cs="Tinos"/>
          <w:b/>
          <w:sz w:val="24"/>
          <w:szCs w:val="24"/>
          <w:lang w:eastAsia="ru-RU"/>
        </w:rPr>
      </w:r>
    </w:p>
    <w:p>
      <w:pPr>
        <w:pStyle w:val="936"/>
        <w:numPr>
          <w:ilvl w:val="0"/>
          <w:numId w:val="30"/>
        </w:numPr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Срок оказания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: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февраль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2027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ода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pStyle w:val="936"/>
        <w:ind w:left="106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pStyle w:val="936"/>
        <w:numPr>
          <w:ilvl w:val="0"/>
          <w:numId w:val="30"/>
        </w:numPr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Требование к оказанию услуг: </w:t>
      </w:r>
      <w:r>
        <w:rPr>
          <w:rFonts w:ascii="Tinos" w:hAnsi="Tinos" w:eastAsia="Tinos" w:cs="Tinos"/>
          <w:sz w:val="24"/>
          <w:szCs w:val="24"/>
        </w:rPr>
        <w:t xml:space="preserve">периодическое техническое </w:t>
      </w:r>
      <w:r>
        <w:rPr>
          <w:rFonts w:ascii="Tinos" w:hAnsi="Tinos" w:eastAsia="Tinos" w:cs="Tinos"/>
          <w:sz w:val="24"/>
          <w:szCs w:val="24"/>
        </w:rPr>
        <w:t xml:space="preserve">освидетельствование платформ подъемных для инвалидов проводится в соответствии</w:t>
      </w:r>
      <w:r>
        <w:rPr>
          <w:rFonts w:ascii="Tinos" w:hAnsi="Tinos" w:eastAsia="Tinos" w:cs="Tinos"/>
          <w:b/>
          <w:sz w:val="24"/>
          <w:szCs w:val="24"/>
        </w:rPr>
        <w:t xml:space="preserve"> с </w:t>
      </w:r>
      <w:r>
        <w:rPr>
          <w:rFonts w:ascii="Tinos" w:hAnsi="Tinos" w:eastAsia="Tinos" w:cs="Tinos"/>
          <w:sz w:val="24"/>
          <w:szCs w:val="24"/>
        </w:rPr>
        <w:t xml:space="preserve">Приказом </w:t>
      </w:r>
      <w:r>
        <w:rPr>
          <w:rFonts w:ascii="Tinos" w:hAnsi="Tinos" w:eastAsia="Tinos" w:cs="Tinos"/>
          <w:sz w:val="24"/>
          <w:szCs w:val="24"/>
        </w:rPr>
        <w:t xml:space="preserve">Ростехнадзора</w:t>
      </w:r>
      <w:r>
        <w:rPr>
          <w:rFonts w:ascii="Tinos" w:hAnsi="Tinos" w:eastAsia="Tinos" w:cs="Tinos"/>
          <w:sz w:val="24"/>
          <w:szCs w:val="24"/>
        </w:rPr>
        <w:t xml:space="preserve"> от 13.04.2018 №170 «Об утверждении Порядка технического освидетельствования и обследования подъемных платформ для инвалидов, пассажирских конвейеров (движущихся пешеходных дорожек) и эскалаторов, а также формы акта технического освидетельствования </w:t>
      </w:r>
      <w:r>
        <w:rPr>
          <w:rFonts w:ascii="Tinos" w:hAnsi="Tinos" w:eastAsia="Tinos" w:cs="Tinos"/>
          <w:sz w:val="24"/>
          <w:szCs w:val="24"/>
        </w:rPr>
        <w:t xml:space="preserve">подъемной платформы для инвалидов, пассажирского конвейера (движущейся пешеходной дорожки) и эскалатора и формы заключения по результатам обследования подъемной платформы для инвалидов, пассажирского конвейера (движущейся пешеходной дорожки) и эскалатора» </w:t>
      </w:r>
      <w:r>
        <w:rPr>
          <w:rFonts w:ascii="Tinos" w:hAnsi="Tinos" w:eastAsia="Tinos" w:cs="Tinos"/>
          <w:sz w:val="24"/>
          <w:szCs w:val="24"/>
        </w:rPr>
        <w:t xml:space="preserve">(далее – Приказ № 170).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pStyle w:val="936"/>
        <w:numPr>
          <w:ilvl w:val="0"/>
          <w:numId w:val="30"/>
        </w:numPr>
        <w:jc w:val="both"/>
        <w:tabs>
          <w:tab w:val="num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 периодическом техническом освидетельствовании платформ подъемных для инвалидов проводится: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проверка организации использования и содержания подъемных платформ; 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визуальный и измерительный контроль установки оборудования   подъемной платформы, за исключением размеров, не измеряемых в процессе эксплуатации; 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проверка функционирования подъемной платформы и устройств безопасности;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проверка исправности запирающих устройств дверей, барьеров;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испытания изоляции электрических сетей и электрооборудования, визуальный и измерительный контроль заземления (</w:t>
      </w:r>
      <w:r>
        <w:rPr>
          <w:rFonts w:ascii="Tinos" w:hAnsi="Tinos" w:eastAsia="Tinos" w:cs="Tinos"/>
          <w:sz w:val="24"/>
          <w:szCs w:val="24"/>
        </w:rPr>
        <w:t xml:space="preserve">зануления</w:t>
      </w:r>
      <w:r>
        <w:rPr>
          <w:rFonts w:ascii="Tinos" w:hAnsi="Tinos" w:eastAsia="Tinos" w:cs="Tinos"/>
          <w:sz w:val="24"/>
          <w:szCs w:val="24"/>
        </w:rPr>
        <w:t xml:space="preserve">) оборудования   подъемной платформы;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проверка состояния привода платформы и действия тормоза;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  <w:shd w:val="clear" w:color="auto" w:fill="ffffff"/>
        </w:rPr>
      </w:pPr>
      <w:r>
        <w:rPr>
          <w:rFonts w:ascii="Tinos" w:hAnsi="Tinos" w:eastAsia="Tinos" w:cs="Tinos"/>
          <w:sz w:val="24"/>
          <w:szCs w:val="24"/>
        </w:rPr>
        <w:t xml:space="preserve">проверка состояния башмаков грузонесущего устройства и направляющих (при наличии)</w:t>
      </w:r>
      <w:r>
        <w:rPr>
          <w:rFonts w:ascii="Tinos" w:hAnsi="Tinos" w:eastAsia="Tinos" w:cs="Tinos"/>
          <w:sz w:val="24"/>
          <w:szCs w:val="24"/>
          <w:shd w:val="clear" w:color="auto" w:fill="ffffff"/>
        </w:rPr>
        <w:t xml:space="preserve">;</w:t>
      </w:r>
      <w:r>
        <w:rPr>
          <w:rFonts w:ascii="Tinos" w:hAnsi="Tinos" w:eastAsia="Tinos" w:cs="Tinos"/>
          <w:sz w:val="24"/>
          <w:szCs w:val="24"/>
          <w:shd w:val="clear" w:color="auto" w:fill="ffffff"/>
        </w:rPr>
      </w:r>
      <w:r>
        <w:rPr>
          <w:rFonts w:ascii="Tinos" w:hAnsi="Tinos" w:eastAsia="Tinos" w:cs="Tinos"/>
          <w:sz w:val="24"/>
          <w:szCs w:val="24"/>
          <w:shd w:val="clear" w:color="auto" w:fill="ffffff"/>
        </w:rPr>
      </w:r>
    </w:p>
    <w:p>
      <w:pPr>
        <w:numPr>
          <w:ilvl w:val="0"/>
          <w:numId w:val="28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оформление результатов проверок, испытаний и измерений по форме приложения № 2 к Приказу №170 «Акт технического освидетельствования подъемной </w:t>
      </w:r>
      <w:r>
        <w:rPr>
          <w:rFonts w:ascii="Tinos" w:hAnsi="Tinos" w:eastAsia="Tinos" w:cs="Tinos"/>
          <w:sz w:val="24"/>
          <w:szCs w:val="24"/>
        </w:rPr>
        <w:t xml:space="preserve">платформы для инвалидов, пассажирского конвейера (движущейся пешеходной дорожки) и эскалатора».  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pStyle w:val="936"/>
        <w:numPr>
          <w:ilvl w:val="0"/>
          <w:numId w:val="30"/>
        </w:numPr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Порядок оформления результатов оказанных услуг: 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contextualSpacing/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Завершением оказания услуг по периодическому техническому освидетельствованию является передача Заказчику: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9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акт технического освидетельствования подъемной платформы для инвалидов, пассажирского конвейера (движущейся пешеходной дорожки) и эскалатора» по форме № 2 Приказа № 170;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numPr>
          <w:ilvl w:val="0"/>
          <w:numId w:val="29"/>
        </w:numPr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запись в паспорте подъемной платформы о результатах технического освидетельствования подъемной платформы для инвалидов с наклонным перемещением.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contextualSpacing/>
        <w:jc w:val="both"/>
        <w:spacing w:after="120"/>
        <w:shd w:val="clear" w:color="auto" w:fill="ffffff"/>
        <w:tabs>
          <w:tab w:val="left" w:pos="993" w:leader="none"/>
        </w:tabs>
        <w:rPr>
          <w:rFonts w:eastAsia="Lucida Sans Unicode"/>
          <w:sz w:val="24"/>
          <w:szCs w:val="24"/>
          <w:lang w:eastAsia="en-US" w:bidi="en-US"/>
        </w:rPr>
      </w:pP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</w:p>
    <w:p>
      <w:pPr>
        <w:contextualSpacing/>
        <w:jc w:val="left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Style w:val="93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Приложение № 2 к контракту 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                                                                    от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___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 _________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202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№51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ОБРАЗЕЦ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Акт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№____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  г.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контракту №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right="-1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Заказчик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Управлением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Росреестра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 Новгородской области</w:t>
      </w:r>
      <w:r>
        <w:rPr>
          <w:rFonts w:ascii="Tinos" w:hAnsi="Tinos" w:cs="Tinos"/>
          <w:strike/>
          <w:sz w:val="24"/>
          <w:szCs w:val="24"/>
        </w:rPr>
      </w:r>
      <w:r>
        <w:rPr>
          <w:rFonts w:ascii="Tinos" w:hAnsi="Tinos" w:cs="Tinos"/>
          <w:strike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Заказчика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г. Великий Новгород, ул. Октябрьская, д. 17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lang w:eastAsia="ar-SA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Исполнитель: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Исполнителя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tabs>
          <w:tab w:val="left" w:pos="590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Исполнителем 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соответствии с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контракт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ом №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б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ыли оказаны следующие услуги: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jc w:val="center"/>
        <w:tblInd w:w="-3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331"/>
        <w:gridCol w:w="1559"/>
        <w:gridCol w:w="1967"/>
        <w:gridCol w:w="999"/>
      </w:tblGrid>
      <w:tr>
        <w:tblPrEx/>
        <w:trPr>
          <w:jc w:val="center"/>
          <w:trHeight w:val="268"/>
        </w:trPr>
        <w:tc>
          <w:tcPr>
            <w:tcW w:w="4331" w:type="dxa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Наименование услуг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Кол-во,усл.ед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Цена,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Сумма,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</w:tr>
    </w:tbl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Вышеперечисленные услуги оказаны полностью и в срок. Заказчик претензий по объему, качеству и срокам оказания услуг не имеет.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        </w:t>
      </w:r>
      <w:r>
        <w:rPr>
          <w:rFonts w:ascii="Tinos" w:hAnsi="Tinos" w:eastAsia="Tinos" w:cs="Tinos"/>
          <w:sz w:val="20"/>
          <w:szCs w:val="20"/>
          <w:lang w:eastAsia="ar-SA"/>
        </w:rPr>
        <w:t xml:space="preserve"> (*) Сумма, подлежащая оплате в соответствии с условиями контракта (итого общая стоимость оказанных услуг)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Размер неустойки, подлежащий взысканию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Основания применения и порядок расчета неустойки (штрафов)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Итоговая сумма, подлежащая оплате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  <w:lang w:eastAsia="ar-SA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ar-SA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(*) Данные разде</w:t>
      </w: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лы акта заполняются Заказчиком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jc w:val="center"/>
    </w:pPr>
    <w:fldSimple w:instr="PAGE \* MERGEFORMAT">
      <w:r>
        <w:t xml:space="preserve">1</w:t>
      </w:r>
    </w:fldSimple>
    <w:r/>
    <w:r/>
  </w:p>
  <w:p>
    <w:pPr>
      <w:pStyle w:val="7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3" w:hanging="360"/>
        <w:tabs>
          <w:tab w:val="num" w:pos="102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4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86" w:hanging="360"/>
      </w:pPr>
      <w:rPr>
        <w:rFonts w:hint="default"/>
        <w:b w:val="0"/>
        <w:lang w:val="ru-RU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0">
    <w:multiLevelType w:val="hybridMultilevel"/>
    <w:lvl w:ilvl="0">
      <w:start w:val="2009"/>
      <w:numFmt w:val="decimal"/>
      <w:isLgl w:val="false"/>
      <w:suff w:val="tab"/>
      <w:lvlText w:val="%1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 w:val="false"/>
      <w:suff w:val="tab"/>
      <w:lvlText w:val="%2."/>
      <w:lvlJc w:val="left"/>
      <w:pPr>
        <w:ind w:left="1211" w:hanging="360"/>
        <w:tabs>
          <w:tab w:val="num" w:pos="1211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5">
    <w:multiLevelType w:val="hybridMultilevel"/>
    <w:lvl w:ilvl="0">
      <w:start w:val="2009"/>
      <w:numFmt w:val="decimal"/>
      <w:isLgl w:val="false"/>
      <w:suff w:val="tab"/>
      <w:lvlText w:val="%1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 w:val="false"/>
      <w:suff w:val="tab"/>
      <w:lvlText w:val="%2."/>
      <w:lvlJc w:val="left"/>
      <w:pPr>
        <w:ind w:left="1211" w:hanging="360"/>
        <w:tabs>
          <w:tab w:val="num" w:pos="1211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200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  <w:lvlOverride w:ilvl="0">
      <w:startOverride w:val="200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1">
    <w:name w:val="Heading 1"/>
    <w:basedOn w:val="926"/>
    <w:next w:val="926"/>
    <w:link w:val="75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2">
    <w:name w:val="Heading 1 Char"/>
    <w:basedOn w:val="927"/>
    <w:link w:val="751"/>
    <w:uiPriority w:val="9"/>
    <w:rPr>
      <w:rFonts w:ascii="Arial" w:hAnsi="Arial" w:eastAsia="Arial" w:cs="Arial"/>
      <w:sz w:val="40"/>
      <w:szCs w:val="40"/>
    </w:rPr>
  </w:style>
  <w:style w:type="paragraph" w:styleId="753">
    <w:name w:val="Heading 2"/>
    <w:basedOn w:val="926"/>
    <w:next w:val="926"/>
    <w:link w:val="7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4">
    <w:name w:val="Heading 2 Char"/>
    <w:basedOn w:val="927"/>
    <w:link w:val="753"/>
    <w:uiPriority w:val="9"/>
    <w:rPr>
      <w:rFonts w:ascii="Arial" w:hAnsi="Arial" w:eastAsia="Arial" w:cs="Arial"/>
      <w:sz w:val="34"/>
    </w:rPr>
  </w:style>
  <w:style w:type="paragraph" w:styleId="755">
    <w:name w:val="Heading 3"/>
    <w:basedOn w:val="926"/>
    <w:next w:val="926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6">
    <w:name w:val="Heading 3 Char"/>
    <w:basedOn w:val="927"/>
    <w:link w:val="755"/>
    <w:uiPriority w:val="9"/>
    <w:rPr>
      <w:rFonts w:ascii="Arial" w:hAnsi="Arial" w:eastAsia="Arial" w:cs="Arial"/>
      <w:sz w:val="30"/>
      <w:szCs w:val="30"/>
    </w:rPr>
  </w:style>
  <w:style w:type="paragraph" w:styleId="757">
    <w:name w:val="Heading 4"/>
    <w:basedOn w:val="926"/>
    <w:next w:val="926"/>
    <w:link w:val="7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8">
    <w:name w:val="Heading 4 Char"/>
    <w:basedOn w:val="927"/>
    <w:link w:val="757"/>
    <w:uiPriority w:val="9"/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926"/>
    <w:next w:val="926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0">
    <w:name w:val="Heading 5 Char"/>
    <w:basedOn w:val="927"/>
    <w:link w:val="759"/>
    <w:uiPriority w:val="9"/>
    <w:rPr>
      <w:rFonts w:ascii="Arial" w:hAnsi="Arial" w:eastAsia="Arial" w:cs="Arial"/>
      <w:b/>
      <w:bCs/>
      <w:sz w:val="24"/>
      <w:szCs w:val="24"/>
    </w:rPr>
  </w:style>
  <w:style w:type="paragraph" w:styleId="761">
    <w:name w:val="Heading 6"/>
    <w:basedOn w:val="926"/>
    <w:next w:val="926"/>
    <w:link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2">
    <w:name w:val="Heading 6 Char"/>
    <w:basedOn w:val="927"/>
    <w:link w:val="761"/>
    <w:uiPriority w:val="9"/>
    <w:rPr>
      <w:rFonts w:ascii="Arial" w:hAnsi="Arial" w:eastAsia="Arial" w:cs="Arial"/>
      <w:b/>
      <w:bCs/>
      <w:sz w:val="22"/>
      <w:szCs w:val="22"/>
    </w:rPr>
  </w:style>
  <w:style w:type="paragraph" w:styleId="763">
    <w:name w:val="Heading 7"/>
    <w:basedOn w:val="926"/>
    <w:next w:val="926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7 Char"/>
    <w:basedOn w:val="927"/>
    <w:link w:val="7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926"/>
    <w:next w:val="926"/>
    <w:link w:val="7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6">
    <w:name w:val="Heading 8 Char"/>
    <w:basedOn w:val="92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paragraph" w:styleId="767">
    <w:name w:val="Heading 9"/>
    <w:basedOn w:val="926"/>
    <w:next w:val="926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>
    <w:name w:val="Heading 9 Char"/>
    <w:basedOn w:val="927"/>
    <w:link w:val="767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No Spacing"/>
    <w:uiPriority w:val="1"/>
    <w:qFormat/>
    <w:pPr>
      <w:spacing w:before="0" w:after="0" w:line="240" w:lineRule="auto"/>
    </w:pPr>
  </w:style>
  <w:style w:type="paragraph" w:styleId="770">
    <w:name w:val="Title"/>
    <w:basedOn w:val="926"/>
    <w:next w:val="926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>
    <w:name w:val="Title Char"/>
    <w:basedOn w:val="927"/>
    <w:link w:val="770"/>
    <w:uiPriority w:val="10"/>
    <w:rPr>
      <w:sz w:val="48"/>
      <w:szCs w:val="48"/>
    </w:rPr>
  </w:style>
  <w:style w:type="paragraph" w:styleId="772">
    <w:name w:val="Subtitle"/>
    <w:basedOn w:val="926"/>
    <w:next w:val="926"/>
    <w:link w:val="773"/>
    <w:uiPriority w:val="11"/>
    <w:qFormat/>
    <w:pPr>
      <w:spacing w:before="200" w:after="200"/>
    </w:pPr>
    <w:rPr>
      <w:sz w:val="24"/>
      <w:szCs w:val="24"/>
    </w:rPr>
  </w:style>
  <w:style w:type="character" w:styleId="773">
    <w:name w:val="Subtitle Char"/>
    <w:basedOn w:val="927"/>
    <w:link w:val="772"/>
    <w:uiPriority w:val="11"/>
    <w:rPr>
      <w:sz w:val="24"/>
      <w:szCs w:val="24"/>
    </w:rPr>
  </w:style>
  <w:style w:type="paragraph" w:styleId="774">
    <w:name w:val="Quote"/>
    <w:basedOn w:val="926"/>
    <w:next w:val="926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6"/>
    <w:next w:val="926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paragraph" w:styleId="778">
    <w:name w:val="Header"/>
    <w:basedOn w:val="926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>
    <w:name w:val="Header Char"/>
    <w:basedOn w:val="927"/>
    <w:link w:val="778"/>
    <w:uiPriority w:val="99"/>
  </w:style>
  <w:style w:type="paragraph" w:styleId="780">
    <w:name w:val="Footer"/>
    <w:basedOn w:val="926"/>
    <w:link w:val="7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>
    <w:name w:val="Footer Char"/>
    <w:basedOn w:val="927"/>
    <w:link w:val="780"/>
    <w:uiPriority w:val="99"/>
  </w:style>
  <w:style w:type="paragraph" w:styleId="782">
    <w:name w:val="Caption"/>
    <w:basedOn w:val="926"/>
    <w:next w:val="9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3">
    <w:name w:val="Caption Char"/>
    <w:basedOn w:val="782"/>
    <w:link w:val="780"/>
    <w:uiPriority w:val="99"/>
  </w:style>
  <w:style w:type="table" w:styleId="784">
    <w:name w:val="Table Grid Light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Plain Table 1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2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8">
    <w:name w:val="Plain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Plain Table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0">
    <w:name w:val="Grid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2">
    <w:name w:val="Grid Table 4 - Accent 1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3">
    <w:name w:val="Grid Table 4 - Accent 2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Grid Table 4 - Accent 3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5">
    <w:name w:val="Grid Table 4 - Accent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Grid Table 4 - Accent 5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7">
    <w:name w:val="Grid Table 4 - Accent 6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8">
    <w:name w:val="Grid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5">
    <w:name w:val="Grid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6">
    <w:name w:val="Grid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7">
    <w:name w:val="Grid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8">
    <w:name w:val="Grid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9">
    <w:name w:val="Grid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0">
    <w:name w:val="Grid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2">
    <w:name w:val="Grid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7">
    <w:name w:val="List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8">
    <w:name w:val="List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9">
    <w:name w:val="List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0">
    <w:name w:val="List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1">
    <w:name w:val="List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2">
    <w:name w:val="List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3">
    <w:name w:val="List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5">
    <w:name w:val="List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6">
    <w:name w:val="List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7">
    <w:name w:val="List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8">
    <w:name w:val="List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9">
    <w:name w:val="List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0">
    <w:name w:val="List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1">
    <w:name w:val="List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2">
    <w:name w:val="List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3">
    <w:name w:val="List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4">
    <w:name w:val="List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5">
    <w:name w:val="List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6">
    <w:name w:val="List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7">
    <w:name w:val="List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8">
    <w:name w:val="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0">
    <w:name w:val="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1">
    <w:name w:val="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2">
    <w:name w:val="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3">
    <w:name w:val="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4">
    <w:name w:val="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5">
    <w:name w:val="Bordered &amp; 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6">
    <w:name w:val="Bordered &amp; 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7">
    <w:name w:val="Bordered &amp; 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8">
    <w:name w:val="Bordered &amp; 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9">
    <w:name w:val="Bordered &amp; 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0">
    <w:name w:val="Bordered &amp; 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1">
    <w:name w:val="Bordered &amp; 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2">
    <w:name w:val="Bordered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3">
    <w:name w:val="Bordered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4">
    <w:name w:val="Bordered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5">
    <w:name w:val="Bordered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6">
    <w:name w:val="Bordered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7">
    <w:name w:val="Bordered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8">
    <w:name w:val="Bordered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9">
    <w:name w:val="footnote text"/>
    <w:basedOn w:val="926"/>
    <w:link w:val="910"/>
    <w:uiPriority w:val="99"/>
    <w:semiHidden/>
    <w:unhideWhenUsed/>
    <w:pPr>
      <w:spacing w:after="40" w:line="240" w:lineRule="auto"/>
    </w:pPr>
    <w:rPr>
      <w:sz w:val="18"/>
    </w:rPr>
  </w:style>
  <w:style w:type="character" w:styleId="910">
    <w:name w:val="Footnote Text Char"/>
    <w:link w:val="909"/>
    <w:uiPriority w:val="99"/>
    <w:rPr>
      <w:sz w:val="18"/>
    </w:rPr>
  </w:style>
  <w:style w:type="character" w:styleId="911">
    <w:name w:val="footnote reference"/>
    <w:basedOn w:val="927"/>
    <w:uiPriority w:val="99"/>
    <w:unhideWhenUsed/>
    <w:rPr>
      <w:vertAlign w:val="superscript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basedOn w:val="927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qFormat/>
  </w:style>
  <w:style w:type="character" w:styleId="927" w:default="1">
    <w:name w:val="Default Paragraph Font"/>
    <w:uiPriority w:val="1"/>
    <w:semiHidden/>
    <w:unhideWhenUsed/>
  </w:style>
  <w:style w:type="table" w:styleId="9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9" w:default="1">
    <w:name w:val="No List"/>
    <w:uiPriority w:val="99"/>
    <w:semiHidden/>
    <w:unhideWhenUsed/>
  </w:style>
  <w:style w:type="table" w:styleId="930" w:customStyle="1">
    <w:name w:val="Сетка таблицы1"/>
    <w:basedOn w:val="928"/>
    <w:next w:val="931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1">
    <w:name w:val="Table Grid"/>
    <w:basedOn w:val="92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2">
    <w:name w:val="Balloon Text"/>
    <w:basedOn w:val="926"/>
    <w:link w:val="9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3" w:customStyle="1">
    <w:name w:val="Текст выноски Знак"/>
    <w:basedOn w:val="927"/>
    <w:link w:val="932"/>
    <w:uiPriority w:val="99"/>
    <w:semiHidden/>
    <w:rPr>
      <w:rFonts w:ascii="Segoe UI" w:hAnsi="Segoe UI" w:cs="Segoe UI"/>
      <w:sz w:val="18"/>
      <w:szCs w:val="18"/>
    </w:rPr>
  </w:style>
  <w:style w:type="table" w:styleId="934" w:customStyle="1">
    <w:name w:val="Сетка таблицы2"/>
    <w:basedOn w:val="928"/>
    <w:next w:val="931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5" w:customStyle="1">
    <w:name w:val="Сетка таблицы3"/>
    <w:basedOn w:val="928"/>
    <w:next w:val="931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6">
    <w:name w:val="List Paragraph"/>
    <w:basedOn w:val="926"/>
    <w:uiPriority w:val="34"/>
    <w:qFormat/>
    <w:pPr>
      <w:contextualSpacing/>
      <w:ind w:left="720"/>
    </w:pPr>
  </w:style>
  <w:style w:type="character" w:styleId="937">
    <w:name w:val="Hyperlink"/>
    <w:basedOn w:val="927"/>
    <w:uiPriority w:val="99"/>
    <w:unhideWhenUsed/>
    <w:rPr>
      <w:color w:val="0563c1" w:themeColor="hyperlink"/>
      <w:u w:val="single"/>
    </w:rPr>
  </w:style>
  <w:style w:type="paragraph" w:styleId="938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15</cp:revision>
  <dcterms:created xsi:type="dcterms:W3CDTF">2023-10-13T09:26:00Z</dcterms:created>
  <dcterms:modified xsi:type="dcterms:W3CDTF">2026-09-04T07:06:29Z</dcterms:modified>
</cp:coreProperties>
</file>