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4"/>
        <w:gridCol w:w="4751"/>
      </w:tblGrid>
      <w:tr>
        <w:trPr>
          <w:jc w:val="center"/>
          <w:trHeight w:val="1797"/>
        </w:trPr>
        <w:tblPrEx/>
        <w:tc>
          <w:tcPr>
            <w:tcW w:w="5012" w:type="dxa"/>
            <w:noWrap w:val="false"/>
            <w:textDirection w:val="lrTb"/>
          </w:tcPr>
          <w:p>
            <w:pPr>
              <w:jc w:val="center"/>
            </w:pPr>
          </w:p>
        </w:tc>
        <w:tc>
          <w:tcPr>
            <w:tcW w:w="5012" w:type="dxa"/>
            <w:noWrap w:val="false"/>
            <w:textDirection w:val="lrTb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Заместителю руководителя</w:t>
            </w:r>
            <w:r>
              <w:rPr>
                <w:szCs w:val="26"/>
              </w:rPr>
            </w:r>
          </w:p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Управления Федеральной службы</w:t>
            </w:r>
            <w:r>
              <w:rPr>
                <w:szCs w:val="26"/>
              </w:rPr>
            </w:r>
          </w:p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государственной регистрации, </w:t>
            </w:r>
            <w:r>
              <w:rPr>
                <w:szCs w:val="26"/>
              </w:rPr>
            </w:r>
          </w:p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кадастра и картографии</w:t>
            </w:r>
            <w:r>
              <w:rPr>
                <w:szCs w:val="26"/>
              </w:rPr>
            </w:r>
          </w:p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по Краснодарскому краю - </w:t>
            </w:r>
            <w:r>
              <w:rPr>
                <w:szCs w:val="26"/>
              </w:rPr>
            </w: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О.В. Кучман</w:t>
            </w:r>
          </w:p>
        </w:tc>
      </w:tr>
    </w:tbl>
    <w:p>
      <w:pPr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rPr>
          <w:sz w:val="26"/>
          <w:szCs w:val="26"/>
        </w:rPr>
      </w:pPr>
      <w:r>
        <w:rPr>
          <w:szCs w:val="26"/>
        </w:rPr>
        <w:t xml:space="preserve">СЛУЖЕБНАЯ</w:t>
      </w:r>
      <w:r>
        <w:rPr>
          <w:sz w:val="26"/>
          <w:szCs w:val="26"/>
        </w:rPr>
        <w:t xml:space="preserve"> ЗАПИСКА</w:t>
      </w:r>
      <w:r>
        <w:rPr>
          <w:sz w:val="26"/>
          <w:szCs w:val="26"/>
        </w:rPr>
      </w:r>
    </w:p>
    <w:p>
      <w:pPr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 xml:space="preserve">_____</w:t>
      </w:r>
      <w:r>
        <w:rPr>
          <w:sz w:val="22"/>
        </w:rPr>
        <w:t xml:space="preserve">__</w:t>
      </w:r>
      <w:r>
        <w:rPr>
          <w:sz w:val="22"/>
        </w:rPr>
        <w:t xml:space="preserve">____ №______</w:t>
      </w:r>
      <w:r>
        <w:rPr>
          <w:sz w:val="22"/>
        </w:rPr>
        <w:t xml:space="preserve">__/____</w:t>
      </w:r>
      <w:r>
        <w:rPr>
          <w:sz w:val="22"/>
        </w:rPr>
        <w:t xml:space="preserve">___</w:t>
      </w:r>
      <w:r>
        <w:rPr>
          <w:sz w:val="22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keepNext/>
        <w:widowControl w:val="off"/>
        <w:jc w:val="both"/>
      </w:pPr>
      <w:r>
        <w:rPr>
          <w:sz w:val="26"/>
          <w:szCs w:val="26"/>
        </w:rPr>
        <w:t xml:space="preserve">           </w:t>
      </w:r>
      <w:r>
        <w:t xml:space="preserve">Прошу Вас согласовать</w:t>
      </w:r>
      <w:r>
        <w:t xml:space="preserve"> осуществление закупки у единственного поставщика </w:t>
      </w:r>
      <w:r>
        <w:rPr>
          <w:b/>
        </w:rPr>
        <w:t xml:space="preserve">на оказание услуг по </w:t>
      </w:r>
      <w:r>
        <w:rPr>
          <w:b/>
        </w:rPr>
        <w:t xml:space="preserve">утилизации</w:t>
      </w:r>
      <w:r>
        <w:rPr>
          <w:b/>
        </w:rPr>
        <w:t xml:space="preserve"> оборудования в сфере информационно-коммуникационных технологий</w:t>
      </w:r>
      <w:r>
        <w:t xml:space="preserve"> в соответствии с п.4 ч.1 ст. 93 Федерального закона №44-ФЗ</w:t>
      </w:r>
      <w:r>
        <w:t xml:space="preserve"> «О контрактной системе </w:t>
      </w:r>
      <w:r>
        <w:t xml:space="preserve">в сфере закупок товаров, работ, услуг для обеспечения государственных и муниципальных нужд</w:t>
      </w:r>
      <w:r>
        <w:t xml:space="preserve">»</w:t>
      </w:r>
      <w:r>
        <w:t xml:space="preserve">.</w:t>
      </w:r>
    </w:p>
    <w:p>
      <w:pPr>
        <w:keepNext/>
        <w:widowControl w:val="off"/>
        <w:ind w:firstLine="708"/>
        <w:jc w:val="both"/>
        <w:rPr>
          <w:b/>
        </w:rPr>
      </w:pPr>
      <w:r>
        <w:t xml:space="preserve">Цена договора, заключаемого с единственным поставщиком (подрядчиком, исполнителем) рассчитана посредством применения метода</w:t>
      </w:r>
      <w:r>
        <w:t xml:space="preserve"> сопоставимых рыночных цен (анализа рынка) в соответствии с п.1 ч.1 ст.22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с Приложением № </w:t>
      </w:r>
      <w:r>
        <w:t xml:space="preserve">28</w:t>
      </w:r>
      <w:r>
        <w:t xml:space="preserve"> Приказа </w:t>
      </w:r>
      <w:r>
        <w:t xml:space="preserve">Росреестра</w:t>
      </w:r>
      <w:r>
        <w:t xml:space="preserve"> от 29.12.2014 № П/651 «Об утверждении расчетно-нормативных затрат на обеспечение деятельности территориальных органов Федеральной службы государственной регистрации, кадастра и картографии». (</w:t>
      </w:r>
      <w:r>
        <w:t xml:space="preserve">В</w:t>
      </w:r>
      <w:r>
        <w:t xml:space="preserve"> редакции приказов </w:t>
      </w:r>
      <w:r>
        <w:t xml:space="preserve">Росреестра</w:t>
      </w:r>
      <w:r>
        <w:t xml:space="preserve"> от 30.12.2015 № П/697, от 03.11.2016 № П /0534, от 18.12.2017 № П/05921, от 27.03.2019 № П/0104, от 12.02.2020 № П/0036, от 29.05.2020 № П/0172, от 18.12.2020 № П/0484, от 31.05.2021 №П/0233</w:t>
      </w:r>
      <w:r>
        <w:t xml:space="preserve">, от 04.04.2022 №П/0120, от 30.05.2022 №П/0211</w:t>
      </w:r>
      <w:r>
        <w:t xml:space="preserve">, от 30.05.2023 №П/0197, от 31.05.2024 №П/0165/24</w:t>
      </w:r>
      <w:r>
        <w:t xml:space="preserve">, от 29.05.2025 №П/0186/25,от 28.05.2026 №П/0265/26</w:t>
      </w:r>
      <w:r>
        <w:t xml:space="preserve">)</w:t>
      </w:r>
      <w:r>
        <w:t xml:space="preserve">.</w:t>
      </w:r>
      <w:r>
        <w:rPr>
          <w:b/>
        </w:rPr>
      </w:r>
    </w:p>
    <w:p>
      <w:pPr>
        <w:keepNext/>
        <w:widowControl w:val="off"/>
        <w:ind w:firstLine="708"/>
        <w:jc w:val="both"/>
      </w:pPr>
      <w:r>
        <w:t xml:space="preserve">Согласно ч.5 ст.22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Приказа Минэкономразвития РФ от 02.10.2013 №567 «Об утверждении Метод</w:t>
      </w:r>
      <w:r>
        <w:t xml:space="preserve">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 СПУ-Заказчиком была изучена информация о стоимости закупаемой продукции в </w:t>
      </w:r>
      <w:r>
        <w:t xml:space="preserve">сети Интернет, направлены запросы о предоставлении ценовой информации поставщикам, обладающим опытом поставок планируемого к закупке товара. В целях применения вышеуказанного метода была использована следующая информация о рыночных ценах идентичных товаров</w:t>
      </w:r>
      <w:r>
        <w:t xml:space="preserve">:</w:t>
      </w:r>
    </w:p>
    <w:p>
      <w:pPr>
        <w:keepNext/>
        <w:widowControl w:val="off"/>
        <w:jc w:val="both"/>
      </w:pPr>
      <w:r>
        <w:t xml:space="preserve">Источник №1, Коммерческое предложение </w:t>
      </w:r>
      <w:r>
        <w:t xml:space="preserve">Вх</w:t>
      </w:r>
      <w:r>
        <w:t xml:space="preserve">. №</w:t>
      </w:r>
      <w:r>
        <w:t xml:space="preserve"> 50770/26</w:t>
      </w:r>
      <w:r>
        <w:t xml:space="preserve"> от 22</w:t>
      </w:r>
      <w:r>
        <w:t xml:space="preserve">.06</w:t>
      </w:r>
      <w:r>
        <w:t xml:space="preserve">.2026</w:t>
      </w:r>
      <w:r>
        <w:t xml:space="preserve">;</w:t>
      </w:r>
    </w:p>
    <w:p>
      <w:pPr>
        <w:keepNext/>
        <w:widowControl w:val="off"/>
        <w:jc w:val="both"/>
      </w:pPr>
      <w:r>
        <w:t xml:space="preserve">Источник №2, Коммерческое предложение </w:t>
      </w:r>
      <w:r>
        <w:t xml:space="preserve">Вх</w:t>
      </w:r>
      <w:r>
        <w:t xml:space="preserve">. № 50778/26</w:t>
      </w:r>
      <w:r>
        <w:t xml:space="preserve"> от 22</w:t>
      </w:r>
      <w:r>
        <w:t xml:space="preserve">.06</w:t>
      </w:r>
      <w:r>
        <w:t xml:space="preserve">.2026</w:t>
      </w:r>
      <w:r>
        <w:t xml:space="preserve">;</w:t>
      </w:r>
    </w:p>
    <w:p>
      <w:pPr>
        <w:keepNext/>
        <w:widowControl w:val="off"/>
        <w:jc w:val="both"/>
      </w:pPr>
      <w:r>
        <w:t xml:space="preserve">Источник №3, Коммерческое предложение </w:t>
      </w:r>
      <w:r>
        <w:t xml:space="preserve">Вх</w:t>
      </w:r>
      <w:r>
        <w:t xml:space="preserve">. № 50778/26</w:t>
      </w:r>
      <w:r>
        <w:t xml:space="preserve"> </w:t>
      </w:r>
      <w:r>
        <w:t xml:space="preserve">от 22</w:t>
      </w:r>
      <w:r>
        <w:t xml:space="preserve">.06</w:t>
      </w:r>
      <w:r>
        <w:t xml:space="preserve">.2026</w:t>
      </w:r>
      <w:r>
        <w:t xml:space="preserve">.</w:t>
      </w:r>
    </w:p>
    <w:p>
      <w:pPr>
        <w:tabs>
          <w:tab w:val="left" w:pos="567" w:leader="none"/>
        </w:tabs>
        <w:jc w:val="both"/>
        <w:rPr>
          <w:sz w:val="22"/>
          <w:highlight w:val="yellow"/>
        </w:rPr>
      </w:pPr>
      <w:r>
        <w:rPr>
          <w:b/>
          <w:sz w:val="22"/>
        </w:rPr>
        <w:t xml:space="preserve">Таблица 1</w:t>
      </w:r>
      <w:r>
        <w:rPr>
          <w:sz w:val="22"/>
        </w:rPr>
        <w:t xml:space="preserve">. Расчет </w:t>
      </w:r>
      <w:r>
        <w:rPr>
          <w:bCs/>
          <w:color w:val="000000"/>
          <w:spacing w:val="-1"/>
          <w:sz w:val="22"/>
        </w:rPr>
        <w:t xml:space="preserve">(начальной) максимальной цены контракта, </w:t>
      </w:r>
      <w:r>
        <w:rPr>
          <w:sz w:val="22"/>
        </w:rPr>
        <w:t xml:space="preserve">начальной цены единицы товара</w:t>
      </w:r>
      <w:r>
        <w:rPr>
          <w:sz w:val="22"/>
          <w:highlight w:val="yellow"/>
        </w:rPr>
      </w:r>
    </w:p>
    <w:tbl>
      <w:tblPr>
        <w:tblStyle w:val="627"/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1987"/>
        <w:gridCol w:w="568"/>
        <w:gridCol w:w="850"/>
        <w:gridCol w:w="850"/>
        <w:gridCol w:w="849"/>
        <w:gridCol w:w="667"/>
        <w:gridCol w:w="824"/>
        <w:gridCol w:w="1258"/>
        <w:gridCol w:w="929"/>
      </w:tblGrid>
      <w:tr>
        <w:trPr>
          <w:trHeight w:val="717"/>
        </w:trPr>
        <w:tblPrEx/>
        <w:tc>
          <w:tcPr>
            <w:tcW w:w="301" w:type="pct"/>
            <w:noWrap w:val="false"/>
            <w:textDirection w:val="lrTb"/>
            <w:vAlign w:val="center"/>
          </w:tcPr>
          <w:p>
            <w:pPr>
              <w:ind w:firstLine="567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№ п/п</w:t>
            </w:r>
            <w:r>
              <w:rPr>
                <w:b/>
                <w:bCs/>
                <w:sz w:val="16"/>
              </w:rPr>
            </w:r>
          </w:p>
        </w:tc>
        <w:tc>
          <w:tcPr>
            <w:tcW w:w="1063" w:type="pct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Наименование объекта закупки</w:t>
            </w:r>
            <w:r>
              <w:rPr>
                <w:b/>
                <w:bCs/>
                <w:sz w:val="16"/>
              </w:rPr>
            </w:r>
          </w:p>
        </w:tc>
        <w:tc>
          <w:tcPr>
            <w:tcW w:w="304" w:type="pct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Кол-во, </w:t>
            </w:r>
            <w:r>
              <w:rPr>
                <w:b/>
                <w:bCs/>
                <w:sz w:val="16"/>
              </w:rPr>
              <w:t xml:space="preserve">шт</w:t>
            </w:r>
            <w:r>
              <w:rPr>
                <w:b/>
                <w:bCs/>
                <w:sz w:val="16"/>
              </w:rPr>
            </w:r>
          </w:p>
        </w:tc>
        <w:tc>
          <w:tcPr>
            <w:tcW w:w="455" w:type="pct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Источник №1</w:t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55" w:type="pct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Источник №2</w:t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54" w:type="pct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Источник №3</w:t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57" w:type="pct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Средняя цена</w:t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41" w:type="pct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Среднее квадратичное отклонение</w:t>
            </w:r>
            <w:r>
              <w:rPr>
                <w:b/>
                <w:bCs/>
                <w:sz w:val="14"/>
                <w:szCs w:val="14"/>
              </w:rPr>
              <w:br/>
              <w:t xml:space="preserve">Q</w:t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673" w:type="pct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Коэффициент вариации цен V (%)  (не должен превышать 33%)</w:t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7" w:type="pct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Расчет Н(М)ЦК по формуле</w:t>
            </w:r>
            <w:r>
              <w:rPr>
                <w:b/>
                <w:bCs/>
                <w:sz w:val="14"/>
                <w:szCs w:val="14"/>
              </w:rPr>
            </w:r>
          </w:p>
        </w:tc>
      </w:tr>
      <w:tr>
        <w:trPr>
          <w:trHeight w:val="1260"/>
        </w:trPr>
        <w:tblPrEx/>
        <w:tc>
          <w:tcPr>
            <w:tcW w:w="301" w:type="pct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</w:t>
            </w:r>
            <w:r>
              <w:rPr>
                <w:sz w:val="16"/>
              </w:rPr>
            </w:r>
          </w:p>
        </w:tc>
        <w:tc>
          <w:tcPr>
            <w:tcW w:w="1063" w:type="pct"/>
            <w:noWrap w:val="false"/>
            <w:textDirection w:val="lrTb"/>
            <w:vAlign w:val="center"/>
          </w:tcPr>
          <w:p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Оказание услуг по</w:t>
            </w:r>
            <w:r>
              <w:rPr>
                <w:bCs/>
                <w:sz w:val="16"/>
              </w:rPr>
              <w:t xml:space="preserve"> вывозу и</w:t>
            </w:r>
            <w:r>
              <w:rPr>
                <w:bCs/>
                <w:sz w:val="16"/>
              </w:rPr>
              <w:t xml:space="preserve"> </w:t>
            </w:r>
            <w:r>
              <w:rPr>
                <w:bCs/>
                <w:sz w:val="16"/>
              </w:rPr>
              <w:t xml:space="preserve">утилизации АРМ</w:t>
            </w:r>
            <w:r>
              <w:rPr>
                <w:bCs/>
                <w:sz w:val="16"/>
              </w:rPr>
            </w:r>
          </w:p>
          <w:p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МПИ: 321.001А2835.19.Э.20658.2</w:t>
            </w:r>
            <w:r>
              <w:rPr>
                <w:b/>
                <w:bCs/>
                <w:sz w:val="14"/>
                <w:szCs w:val="14"/>
              </w:rPr>
              <w:t xml:space="preserve">6</w:t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04" w:type="pct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125</w:t>
            </w:r>
            <w:r>
              <w:rPr>
                <w:sz w:val="16"/>
              </w:rPr>
            </w:r>
          </w:p>
        </w:tc>
        <w:tc>
          <w:tcPr>
            <w:tcW w:w="455" w:type="pct"/>
            <w:shd w:val="clear" w:color="auto" w:fill="ffffff" w:themeFill="background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1,00</w:t>
            </w:r>
            <w:r>
              <w:rPr>
                <w:sz w:val="16"/>
              </w:rPr>
            </w:r>
          </w:p>
        </w:tc>
        <w:tc>
          <w:tcPr>
            <w:tcW w:w="455" w:type="pct"/>
            <w:shd w:val="clear" w:color="auto" w:fill="ffffff" w:themeFill="background1"/>
            <w:noWrap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0,80</w:t>
            </w:r>
            <w:r>
              <w:rPr>
                <w:sz w:val="16"/>
              </w:rPr>
            </w:r>
          </w:p>
        </w:tc>
        <w:tc>
          <w:tcPr>
            <w:tcW w:w="454" w:type="pct"/>
            <w:shd w:val="clear" w:color="auto" w:fill="ffffff" w:themeFill="background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0,90</w:t>
            </w:r>
            <w:r>
              <w:rPr>
                <w:sz w:val="16"/>
              </w:rPr>
            </w:r>
          </w:p>
        </w:tc>
        <w:tc>
          <w:tcPr>
            <w:tcW w:w="357" w:type="pct"/>
            <w:shd w:val="clear" w:color="auto" w:fill="ffffff" w:themeFill="background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0,90</w:t>
            </w:r>
            <w:r>
              <w:rPr>
                <w:sz w:val="16"/>
              </w:rPr>
            </w:r>
          </w:p>
        </w:tc>
        <w:tc>
          <w:tcPr>
            <w:tcW w:w="441" w:type="pct"/>
            <w:shd w:val="clear" w:color="auto" w:fill="ffffff" w:themeFill="background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0,10</w:t>
            </w:r>
            <w:r>
              <w:rPr>
                <w:sz w:val="16"/>
              </w:rPr>
            </w:r>
          </w:p>
        </w:tc>
        <w:tc>
          <w:tcPr>
            <w:tcW w:w="673" w:type="pct"/>
            <w:shd w:val="clear" w:color="auto" w:fill="ffffff" w:themeFill="background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11,11%</w:t>
            </w:r>
            <w:r>
              <w:rPr>
                <w:sz w:val="16"/>
              </w:rPr>
            </w:r>
          </w:p>
        </w:tc>
        <w:tc>
          <w:tcPr>
            <w:tcW w:w="497" w:type="pct"/>
            <w:shd w:val="clear" w:color="auto" w:fill="ffffff" w:themeFill="background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112,50</w:t>
            </w:r>
            <w:r>
              <w:rPr>
                <w:sz w:val="16"/>
              </w:rPr>
            </w:r>
          </w:p>
        </w:tc>
      </w:tr>
      <w:tr>
        <w:trPr>
          <w:trHeight w:val="416"/>
        </w:trPr>
        <w:tblPrEx/>
        <w:tc>
          <w:tcPr>
            <w:tcW w:w="301" w:type="pct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2</w:t>
            </w:r>
            <w:r>
              <w:rPr>
                <w:sz w:val="16"/>
              </w:rPr>
            </w:r>
          </w:p>
        </w:tc>
        <w:tc>
          <w:tcPr>
            <w:tcW w:w="1063" w:type="pct"/>
            <w:noWrap w:val="false"/>
            <w:textDirection w:val="lrTb"/>
            <w:vAlign w:val="center"/>
          </w:tcPr>
          <w:p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Оказание услуг по </w:t>
            </w:r>
            <w:r>
              <w:rPr>
                <w:bCs/>
                <w:sz w:val="16"/>
              </w:rPr>
              <w:t xml:space="preserve">вывозу и </w:t>
            </w:r>
            <w:r>
              <w:rPr>
                <w:bCs/>
                <w:sz w:val="16"/>
              </w:rPr>
              <w:t xml:space="preserve">утилизации</w:t>
            </w:r>
            <w:r>
              <w:rPr>
                <w:bCs/>
                <w:sz w:val="16"/>
              </w:rPr>
              <w:t xml:space="preserve"> </w:t>
            </w:r>
            <w:r>
              <w:rPr>
                <w:bCs/>
                <w:sz w:val="16"/>
              </w:rPr>
              <w:t xml:space="preserve">средств связи и компонентов ТКИ</w:t>
            </w:r>
            <w:r>
              <w:rPr>
                <w:bCs/>
                <w:sz w:val="16"/>
              </w:rPr>
              <w:t xml:space="preserve"> </w:t>
            </w:r>
            <w:r>
              <w:rPr>
                <w:bCs/>
                <w:sz w:val="16"/>
              </w:rPr>
            </w:r>
            <w:r>
              <w:rPr>
                <w:bCs/>
                <w:sz w:val="16"/>
              </w:rPr>
            </w:r>
          </w:p>
          <w:p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МПИ: 321.001А2835.19.Э.20132.2</w:t>
            </w:r>
            <w:r>
              <w:rPr>
                <w:b/>
                <w:bCs/>
                <w:sz w:val="14"/>
                <w:szCs w:val="14"/>
              </w:rPr>
              <w:t xml:space="preserve">6</w:t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04" w:type="pct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30</w:t>
            </w:r>
            <w:r>
              <w:rPr>
                <w:sz w:val="16"/>
              </w:rPr>
            </w:r>
          </w:p>
        </w:tc>
        <w:tc>
          <w:tcPr>
            <w:tcW w:w="455" w:type="pct"/>
            <w:shd w:val="clear" w:color="auto" w:fill="ffffff" w:themeFill="background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3,30</w:t>
            </w:r>
            <w:r>
              <w:rPr>
                <w:sz w:val="16"/>
              </w:rPr>
            </w:r>
          </w:p>
        </w:tc>
        <w:tc>
          <w:tcPr>
            <w:tcW w:w="455" w:type="pct"/>
            <w:shd w:val="clear" w:color="auto" w:fill="ffffff" w:themeFill="background1"/>
            <w:noWrap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3,30</w:t>
            </w:r>
            <w:r>
              <w:rPr>
                <w:sz w:val="16"/>
              </w:rPr>
            </w:r>
          </w:p>
        </w:tc>
        <w:tc>
          <w:tcPr>
            <w:tcW w:w="454" w:type="pct"/>
            <w:shd w:val="clear" w:color="auto" w:fill="ffffff" w:themeFill="background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3,30</w:t>
            </w:r>
            <w:r>
              <w:rPr>
                <w:sz w:val="16"/>
              </w:rPr>
            </w:r>
          </w:p>
        </w:tc>
        <w:tc>
          <w:tcPr>
            <w:tcW w:w="357" w:type="pct"/>
            <w:shd w:val="clear" w:color="auto" w:fill="ffffff" w:themeFill="background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3,30</w:t>
            </w:r>
            <w:r>
              <w:rPr>
                <w:sz w:val="16"/>
              </w:rPr>
            </w:r>
          </w:p>
        </w:tc>
        <w:tc>
          <w:tcPr>
            <w:tcW w:w="441" w:type="pct"/>
            <w:shd w:val="clear" w:color="auto" w:fill="ffffff" w:themeFill="background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0,00</w:t>
            </w:r>
            <w:r>
              <w:rPr>
                <w:sz w:val="16"/>
              </w:rPr>
            </w:r>
          </w:p>
        </w:tc>
        <w:tc>
          <w:tcPr>
            <w:tcW w:w="673" w:type="pct"/>
            <w:shd w:val="clear" w:color="auto" w:fill="ffffff" w:themeFill="background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0,00%</w:t>
            </w:r>
            <w:r>
              <w:rPr>
                <w:sz w:val="16"/>
              </w:rPr>
            </w:r>
          </w:p>
        </w:tc>
        <w:tc>
          <w:tcPr>
            <w:tcW w:w="497" w:type="pct"/>
            <w:shd w:val="clear" w:color="auto" w:fill="ffffff" w:themeFill="background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99,00</w:t>
            </w:r>
            <w:r>
              <w:rPr>
                <w:sz w:val="16"/>
              </w:rPr>
            </w:r>
          </w:p>
        </w:tc>
      </w:tr>
      <w:tr>
        <w:trPr>
          <w:trHeight w:val="1260"/>
        </w:trPr>
        <w:tblPrEx/>
        <w:tc>
          <w:tcPr>
            <w:tcW w:w="301" w:type="pct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3</w:t>
            </w:r>
            <w:r>
              <w:rPr>
                <w:sz w:val="16"/>
              </w:rPr>
            </w:r>
          </w:p>
        </w:tc>
        <w:tc>
          <w:tcPr>
            <w:tcW w:w="1063" w:type="pct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Cs/>
                <w:sz w:val="16"/>
              </w:rPr>
              <w:t xml:space="preserve">Оказание услуг по </w:t>
            </w:r>
            <w:r>
              <w:rPr>
                <w:bCs/>
                <w:sz w:val="16"/>
              </w:rPr>
              <w:t xml:space="preserve">вывозу и </w:t>
            </w:r>
            <w:r>
              <w:rPr>
                <w:bCs/>
                <w:sz w:val="16"/>
              </w:rPr>
              <w:t xml:space="preserve">утилизации</w:t>
            </w:r>
            <w:r>
              <w:rPr>
                <w:bCs/>
                <w:sz w:val="16"/>
              </w:rPr>
              <w:t xml:space="preserve"> средств печати и копирования данных </w:t>
            </w:r>
            <w:r>
              <w:rPr>
                <w:b/>
                <w:bCs/>
                <w:sz w:val="14"/>
                <w:szCs w:val="14"/>
              </w:rPr>
              <w:t xml:space="preserve">МПИ: 321.001А2835.19.Э.20133.2</w:t>
            </w:r>
            <w:r>
              <w:rPr>
                <w:b/>
                <w:bCs/>
                <w:sz w:val="14"/>
                <w:szCs w:val="14"/>
              </w:rPr>
              <w:t xml:space="preserve">6</w:t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04" w:type="pct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100</w:t>
            </w:r>
            <w:r>
              <w:rPr>
                <w:sz w:val="16"/>
              </w:rPr>
            </w:r>
          </w:p>
        </w:tc>
        <w:tc>
          <w:tcPr>
            <w:tcW w:w="455" w:type="pct"/>
            <w:shd w:val="clear" w:color="auto" w:fill="ffffff" w:themeFill="background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1,00</w:t>
            </w:r>
            <w:r>
              <w:rPr>
                <w:sz w:val="16"/>
              </w:rPr>
            </w:r>
          </w:p>
        </w:tc>
        <w:tc>
          <w:tcPr>
            <w:tcW w:w="455" w:type="pct"/>
            <w:shd w:val="clear" w:color="auto" w:fill="ffffff" w:themeFill="background1"/>
            <w:noWrap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1,00</w:t>
            </w:r>
            <w:r>
              <w:rPr>
                <w:sz w:val="16"/>
              </w:rPr>
            </w:r>
          </w:p>
        </w:tc>
        <w:tc>
          <w:tcPr>
            <w:tcW w:w="454" w:type="pct"/>
            <w:shd w:val="clear" w:color="auto" w:fill="ffffff" w:themeFill="background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1,00</w:t>
            </w:r>
            <w:r>
              <w:rPr>
                <w:sz w:val="16"/>
              </w:rPr>
            </w:r>
          </w:p>
        </w:tc>
        <w:tc>
          <w:tcPr>
            <w:tcW w:w="357" w:type="pct"/>
            <w:shd w:val="clear" w:color="auto" w:fill="ffffff" w:themeFill="background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1,00</w:t>
            </w:r>
            <w:r>
              <w:rPr>
                <w:sz w:val="16"/>
              </w:rPr>
            </w:r>
          </w:p>
        </w:tc>
        <w:tc>
          <w:tcPr>
            <w:tcW w:w="441" w:type="pct"/>
            <w:shd w:val="clear" w:color="auto" w:fill="ffffff" w:themeFill="background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0,00</w:t>
            </w:r>
            <w:r>
              <w:rPr>
                <w:sz w:val="16"/>
              </w:rPr>
            </w:r>
          </w:p>
        </w:tc>
        <w:tc>
          <w:tcPr>
            <w:tcW w:w="673" w:type="pct"/>
            <w:shd w:val="clear" w:color="auto" w:fill="ffffff" w:themeFill="background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0,00%</w:t>
            </w:r>
            <w:r>
              <w:rPr>
                <w:sz w:val="16"/>
              </w:rPr>
            </w:r>
          </w:p>
        </w:tc>
        <w:tc>
          <w:tcPr>
            <w:tcW w:w="497" w:type="pct"/>
            <w:shd w:val="clear" w:color="auto" w:fill="ffffff" w:themeFill="background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100,00</w:t>
            </w:r>
            <w:r>
              <w:rPr>
                <w:sz w:val="16"/>
              </w:rPr>
            </w:r>
          </w:p>
        </w:tc>
      </w:tr>
      <w:tr>
        <w:trPr>
          <w:trHeight w:val="1260"/>
        </w:trPr>
        <w:tblPrEx/>
        <w:tc>
          <w:tcPr>
            <w:tcW w:w="301" w:type="pct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4</w:t>
            </w:r>
            <w:r>
              <w:rPr>
                <w:sz w:val="16"/>
              </w:rPr>
            </w:r>
          </w:p>
        </w:tc>
        <w:tc>
          <w:tcPr>
            <w:tcW w:w="1063" w:type="pct"/>
            <w:noWrap w:val="false"/>
            <w:textDirection w:val="lrTb"/>
            <w:vAlign w:val="center"/>
          </w:tcPr>
          <w:p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Оказание услуг по </w:t>
            </w:r>
            <w:r>
              <w:rPr>
                <w:bCs/>
                <w:sz w:val="16"/>
              </w:rPr>
              <w:t xml:space="preserve">вывозу и </w:t>
            </w:r>
            <w:r>
              <w:rPr>
                <w:bCs/>
                <w:sz w:val="16"/>
              </w:rPr>
              <w:t xml:space="preserve">утилизации</w:t>
            </w:r>
            <w:r>
              <w:rPr>
                <w:bCs/>
                <w:sz w:val="16"/>
              </w:rPr>
              <w:t xml:space="preserve"> компонентов внутренней ТКИ </w:t>
            </w:r>
            <w:r>
              <w:rPr>
                <w:bCs/>
                <w:sz w:val="16"/>
              </w:rPr>
            </w:r>
            <w:r>
              <w:rPr>
                <w:bCs/>
                <w:sz w:val="16"/>
              </w:rPr>
            </w:r>
          </w:p>
          <w:p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МПИ: 321.001А2835.20.Э.30019.2</w:t>
            </w:r>
            <w:r>
              <w:rPr>
                <w:b/>
                <w:bCs/>
                <w:sz w:val="14"/>
                <w:szCs w:val="14"/>
              </w:rPr>
              <w:t xml:space="preserve">5</w:t>
            </w:r>
            <w:r>
              <w:rPr>
                <w:bCs/>
                <w:sz w:val="16"/>
              </w:rPr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04" w:type="pct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25</w:t>
            </w:r>
            <w:r>
              <w:rPr>
                <w:sz w:val="16"/>
              </w:rPr>
            </w:r>
          </w:p>
        </w:tc>
        <w:tc>
          <w:tcPr>
            <w:tcW w:w="455" w:type="pct"/>
            <w:shd w:val="clear" w:color="auto" w:fill="ffffff" w:themeFill="background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4,00</w:t>
            </w:r>
            <w:r>
              <w:rPr>
                <w:sz w:val="16"/>
              </w:rPr>
            </w:r>
          </w:p>
        </w:tc>
        <w:tc>
          <w:tcPr>
            <w:tcW w:w="455" w:type="pct"/>
            <w:shd w:val="clear" w:color="auto" w:fill="ffffff" w:themeFill="background1"/>
            <w:noWrap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4,00</w:t>
            </w:r>
            <w:r>
              <w:rPr>
                <w:sz w:val="16"/>
              </w:rPr>
            </w:r>
          </w:p>
        </w:tc>
        <w:tc>
          <w:tcPr>
            <w:tcW w:w="454" w:type="pct"/>
            <w:shd w:val="clear" w:color="auto" w:fill="ffffff" w:themeFill="background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4,00</w:t>
            </w:r>
            <w:r>
              <w:rPr>
                <w:sz w:val="16"/>
              </w:rPr>
            </w:r>
          </w:p>
        </w:tc>
        <w:tc>
          <w:tcPr>
            <w:tcW w:w="357" w:type="pct"/>
            <w:shd w:val="clear" w:color="auto" w:fill="ffffff" w:themeFill="background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4,00</w:t>
            </w:r>
            <w:r>
              <w:rPr>
                <w:sz w:val="16"/>
              </w:rPr>
            </w:r>
          </w:p>
        </w:tc>
        <w:tc>
          <w:tcPr>
            <w:tcW w:w="441" w:type="pct"/>
            <w:shd w:val="clear" w:color="auto" w:fill="ffffff" w:themeFill="background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0,00</w:t>
            </w:r>
            <w:r>
              <w:rPr>
                <w:sz w:val="16"/>
              </w:rPr>
            </w:r>
          </w:p>
        </w:tc>
        <w:tc>
          <w:tcPr>
            <w:tcW w:w="673" w:type="pct"/>
            <w:shd w:val="clear" w:color="auto" w:fill="ffffff" w:themeFill="background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0,00%</w:t>
            </w:r>
            <w:r>
              <w:rPr>
                <w:sz w:val="16"/>
              </w:rPr>
            </w:r>
          </w:p>
        </w:tc>
        <w:tc>
          <w:tcPr>
            <w:tcW w:w="497" w:type="pct"/>
            <w:shd w:val="clear" w:color="auto" w:fill="ffffff" w:themeFill="background1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100,00</w:t>
            </w:r>
            <w:r>
              <w:rPr>
                <w:sz w:val="16"/>
              </w:rPr>
            </w:r>
          </w:p>
        </w:tc>
      </w:tr>
      <w:tr>
        <w:trPr>
          <w:trHeight w:val="300"/>
        </w:trPr>
        <w:tblPrEx/>
        <w:tc>
          <w:tcPr>
            <w:tcW w:w="4503" w:type="pct"/>
            <w:gridSpan w:val="9"/>
            <w:noWrap w:val="false"/>
            <w:textDirection w:val="lrTb"/>
          </w:tcPr>
          <w:p>
            <w:pPr>
              <w:ind w:firstLine="567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ИТОГО</w:t>
            </w:r>
            <w:r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 xml:space="preserve">НМЦК, руб.</w:t>
            </w:r>
            <w:r>
              <w:rPr>
                <w:b/>
                <w:bCs/>
                <w:sz w:val="16"/>
              </w:rPr>
              <w:t xml:space="preserve">:</w:t>
            </w:r>
            <w:r>
              <w:rPr>
                <w:b/>
                <w:bCs/>
                <w:sz w:val="16"/>
              </w:rPr>
            </w:r>
          </w:p>
        </w:tc>
        <w:tc>
          <w:tcPr>
            <w:tcW w:w="497" w:type="pct"/>
            <w:noWrap w:val="false"/>
            <w:textDirection w:val="lrTb"/>
          </w:tcPr>
          <w:p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411,50</w:t>
            </w:r>
            <w:r>
              <w:rPr>
                <w:b/>
                <w:bCs/>
                <w:sz w:val="16"/>
              </w:rPr>
            </w:r>
          </w:p>
        </w:tc>
      </w:tr>
    </w:tbl>
    <w:p>
      <w:pPr>
        <w:ind w:firstLine="708"/>
        <w:jc w:val="both"/>
        <w:rPr>
          <w:sz w:val="22"/>
          <w:szCs w:val="26"/>
        </w:rPr>
      </w:pPr>
      <w:r>
        <w:rPr>
          <w:sz w:val="22"/>
          <w:szCs w:val="26"/>
        </w:rPr>
        <w:t xml:space="preserve">В соответствии с Распоряжением Правительства РФ от 28 апреля 2018 г. № 824-р «О создании единого </w:t>
      </w:r>
      <w:r>
        <w:rPr>
          <w:sz w:val="22"/>
          <w:szCs w:val="26"/>
        </w:rPr>
        <w:t xml:space="preserve">агрегатора</w:t>
      </w:r>
      <w:r>
        <w:rPr>
          <w:sz w:val="22"/>
          <w:szCs w:val="26"/>
        </w:rPr>
        <w:t xml:space="preserve"> торговли, с использованием которого заказчики вправе осуществлять закупки для обеспечения государственных и муниципальных нужд» договор будет заключен путем проведения закупочной сессии с использованием единого </w:t>
      </w:r>
      <w:r>
        <w:rPr>
          <w:sz w:val="22"/>
          <w:szCs w:val="26"/>
        </w:rPr>
        <w:t xml:space="preserve">агрегатора</w:t>
      </w:r>
      <w:r>
        <w:rPr>
          <w:sz w:val="22"/>
          <w:szCs w:val="26"/>
        </w:rPr>
        <w:t xml:space="preserve"> торговли.</w:t>
      </w:r>
      <w:r>
        <w:rPr>
          <w:sz w:val="22"/>
          <w:szCs w:val="26"/>
        </w:rPr>
      </w:r>
    </w:p>
    <w:p>
      <w:pPr>
        <w:ind w:firstLine="709"/>
        <w:jc w:val="both"/>
        <w:rPr>
          <w:b/>
          <w:sz w:val="22"/>
          <w:szCs w:val="26"/>
        </w:rPr>
      </w:pPr>
      <w:r>
        <w:rPr>
          <w:sz w:val="22"/>
          <w:szCs w:val="26"/>
        </w:rPr>
        <w:t xml:space="preserve">В целях экономии средств федерального бюджета, с</w:t>
      </w:r>
      <w:r>
        <w:rPr>
          <w:sz w:val="22"/>
          <w:szCs w:val="26"/>
        </w:rPr>
        <w:t xml:space="preserve">тартовая цена договора для объявления закупочной сессии </w:t>
      </w:r>
      <w:r>
        <w:rPr>
          <w:sz w:val="22"/>
          <w:szCs w:val="26"/>
        </w:rPr>
        <w:t xml:space="preserve">с</w:t>
      </w:r>
      <w:r>
        <w:rPr>
          <w:sz w:val="22"/>
          <w:szCs w:val="26"/>
        </w:rPr>
        <w:t xml:space="preserve">ост</w:t>
      </w:r>
      <w:r>
        <w:rPr>
          <w:sz w:val="22"/>
          <w:szCs w:val="26"/>
        </w:rPr>
        <w:t xml:space="preserve">авит</w:t>
      </w:r>
      <w:r>
        <w:rPr>
          <w:sz w:val="22"/>
          <w:szCs w:val="26"/>
        </w:rPr>
        <w:t xml:space="preserve"> </w:t>
      </w:r>
      <w:r>
        <w:rPr>
          <w:b/>
          <w:sz w:val="22"/>
          <w:szCs w:val="26"/>
        </w:rPr>
        <w:t xml:space="preserve">3</w:t>
      </w:r>
      <w:r>
        <w:rPr>
          <w:b/>
          <w:sz w:val="22"/>
          <w:szCs w:val="26"/>
        </w:rPr>
        <w:t xml:space="preserve">99</w:t>
      </w:r>
      <w:r>
        <w:rPr>
          <w:b/>
          <w:sz w:val="22"/>
          <w:szCs w:val="26"/>
        </w:rPr>
        <w:t xml:space="preserve"> (</w:t>
      </w:r>
      <w:r>
        <w:rPr>
          <w:b/>
          <w:sz w:val="22"/>
          <w:szCs w:val="26"/>
        </w:rPr>
        <w:t xml:space="preserve">триста девяносто девять</w:t>
      </w:r>
      <w:r>
        <w:rPr>
          <w:b/>
          <w:sz w:val="22"/>
          <w:szCs w:val="26"/>
        </w:rPr>
        <w:t xml:space="preserve">) рубл</w:t>
      </w:r>
      <w:r>
        <w:rPr>
          <w:b/>
          <w:sz w:val="22"/>
          <w:szCs w:val="26"/>
        </w:rPr>
        <w:t xml:space="preserve">ей</w:t>
      </w:r>
      <w:r>
        <w:rPr>
          <w:b/>
          <w:sz w:val="22"/>
          <w:szCs w:val="26"/>
        </w:rPr>
        <w:t xml:space="preserve"> 00</w:t>
      </w:r>
      <w:r>
        <w:rPr>
          <w:b/>
          <w:sz w:val="22"/>
          <w:szCs w:val="26"/>
        </w:rPr>
        <w:t xml:space="preserve"> копее</w:t>
      </w:r>
      <w:r>
        <w:rPr>
          <w:b/>
          <w:sz w:val="22"/>
          <w:szCs w:val="26"/>
        </w:rPr>
        <w:t xml:space="preserve">к</w:t>
      </w:r>
      <w:r>
        <w:rPr>
          <w:b/>
          <w:sz w:val="22"/>
          <w:szCs w:val="26"/>
        </w:rPr>
        <w:t xml:space="preserve">.</w:t>
      </w:r>
      <w:r>
        <w:rPr>
          <w:b/>
          <w:sz w:val="22"/>
          <w:szCs w:val="26"/>
        </w:rPr>
      </w:r>
    </w:p>
    <w:p>
      <w:pPr>
        <w:ind w:firstLine="709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rPr>
          <w:sz w:val="22"/>
        </w:rPr>
      </w:pPr>
      <w:r>
        <w:rPr>
          <w:sz w:val="22"/>
        </w:rPr>
        <w:t xml:space="preserve">Н</w:t>
      </w:r>
      <w:r>
        <w:rPr>
          <w:sz w:val="22"/>
        </w:rPr>
        <w:t xml:space="preserve">ачальник отдела</w:t>
      </w:r>
      <w:r>
        <w:rPr>
          <w:sz w:val="22"/>
        </w:rPr>
      </w:r>
    </w:p>
    <w:p>
      <w:pPr>
        <w:rPr>
          <w:sz w:val="22"/>
        </w:rPr>
      </w:pPr>
      <w:r>
        <w:rPr>
          <w:sz w:val="22"/>
        </w:rPr>
        <w:t xml:space="preserve">государственных закупок</w:t>
      </w:r>
      <w:r>
        <w:rPr>
          <w:sz w:val="22"/>
        </w:rPr>
        <w:tab/>
      </w:r>
      <w:r>
        <w:rPr>
          <w:sz w:val="22"/>
        </w:rPr>
        <w:tab/>
        <w:t xml:space="preserve">                                   </w:t>
      </w:r>
      <w:r>
        <w:rPr>
          <w:sz w:val="22"/>
        </w:rPr>
        <w:tab/>
        <w:t xml:space="preserve">      </w:t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r>
        <w:rPr>
          <w:sz w:val="22"/>
        </w:rPr>
        <w:t xml:space="preserve">  </w:t>
      </w:r>
      <w:r>
        <w:rPr>
          <w:sz w:val="22"/>
        </w:rPr>
        <w:t xml:space="preserve">   </w:t>
      </w:r>
      <w:r>
        <w:rPr>
          <w:sz w:val="22"/>
        </w:rPr>
        <w:t xml:space="preserve">О.В. Власенко</w:t>
      </w:r>
      <w:r>
        <w:rPr>
          <w:sz w:val="22"/>
        </w:rPr>
      </w:r>
    </w:p>
    <w:p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</w:r>
    </w:p>
    <w:p>
      <w:pPr>
        <w:rPr>
          <w:sz w:val="22"/>
        </w:rPr>
      </w:pPr>
      <w:r>
        <w:rPr>
          <w:sz w:val="22"/>
        </w:rPr>
        <w:t xml:space="preserve">Н</w:t>
      </w:r>
      <w:r>
        <w:rPr>
          <w:sz w:val="22"/>
        </w:rPr>
        <w:t xml:space="preserve">ачальник отдела  </w:t>
      </w:r>
      <w:r>
        <w:rPr>
          <w:sz w:val="22"/>
        </w:rPr>
      </w:r>
    </w:p>
    <w:p>
      <w:pPr>
        <w:rPr>
          <w:sz w:val="22"/>
        </w:rPr>
      </w:pPr>
      <w:r>
        <w:rPr>
          <w:sz w:val="22"/>
        </w:rPr>
        <w:t xml:space="preserve">э</w:t>
      </w:r>
      <w:r>
        <w:rPr>
          <w:sz w:val="22"/>
        </w:rPr>
        <w:t xml:space="preserve">ксплуатации</w:t>
      </w:r>
      <w:r>
        <w:rPr>
          <w:sz w:val="22"/>
        </w:rPr>
        <w:t xml:space="preserve"> </w:t>
      </w:r>
      <w:r>
        <w:rPr>
          <w:sz w:val="22"/>
        </w:rPr>
        <w:t xml:space="preserve">информационных систем, </w:t>
      </w:r>
      <w:r>
        <w:rPr>
          <w:sz w:val="22"/>
        </w:rPr>
      </w:r>
    </w:p>
    <w:p>
      <w:pPr>
        <w:rPr>
          <w:sz w:val="22"/>
        </w:rPr>
      </w:pPr>
      <w:r>
        <w:rPr>
          <w:sz w:val="22"/>
        </w:rPr>
        <w:t xml:space="preserve">технических средств</w:t>
      </w:r>
      <w:r>
        <w:rPr>
          <w:sz w:val="22"/>
        </w:rPr>
        <w:t xml:space="preserve"> и каналов связи               </w:t>
      </w:r>
      <w:r>
        <w:rPr>
          <w:sz w:val="22"/>
        </w:rPr>
        <w:tab/>
      </w:r>
      <w:r>
        <w:rPr>
          <w:sz w:val="22"/>
        </w:rPr>
        <w:t xml:space="preserve">           </w:t>
      </w:r>
      <w:r>
        <w:rPr>
          <w:sz w:val="22"/>
        </w:rPr>
        <w:t xml:space="preserve">                                            </w:t>
      </w:r>
      <w:r>
        <w:rPr>
          <w:sz w:val="22"/>
        </w:rPr>
        <w:t xml:space="preserve">  </w:t>
      </w:r>
      <w:r>
        <w:rPr>
          <w:sz w:val="22"/>
        </w:rPr>
        <w:t xml:space="preserve">В</w:t>
      </w:r>
      <w:r>
        <w:rPr>
          <w:sz w:val="22"/>
        </w:rPr>
        <w:t xml:space="preserve">.</w:t>
      </w:r>
      <w:r>
        <w:rPr>
          <w:sz w:val="22"/>
        </w:rPr>
        <w:t xml:space="preserve">В</w:t>
      </w:r>
      <w:r>
        <w:rPr>
          <w:sz w:val="22"/>
        </w:rPr>
        <w:t xml:space="preserve">. </w:t>
      </w:r>
      <w:r>
        <w:rPr>
          <w:sz w:val="22"/>
        </w:rPr>
        <w:t xml:space="preserve">Бовша</w:t>
      </w:r>
      <w:r>
        <w:rPr>
          <w:sz w:val="22"/>
        </w:rPr>
      </w:r>
    </w:p>
    <w:p>
      <w:pPr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rPr>
          <w:sz w:val="22"/>
        </w:rPr>
      </w:pPr>
      <w:r>
        <w:rPr>
          <w:sz w:val="22"/>
        </w:rPr>
        <w:t xml:space="preserve">СОГЛАСОВАНО:</w:t>
      </w:r>
      <w:r>
        <w:rPr>
          <w:sz w:val="22"/>
        </w:rPr>
      </w:r>
    </w:p>
    <w:p>
      <w:r>
        <w:t xml:space="preserve">Заместитель руководителя                                                                              Т.П. Пономаренко</w:t>
      </w:r>
    </w:p>
    <w:p/>
    <w:p>
      <w:pPr>
        <w:rPr>
          <w:sz w:val="22"/>
        </w:rPr>
      </w:pPr>
      <w:r>
        <w:rPr>
          <w:sz w:val="22"/>
        </w:rPr>
        <w:t xml:space="preserve">Н</w:t>
      </w:r>
      <w:r>
        <w:rPr>
          <w:sz w:val="22"/>
        </w:rPr>
        <w:t xml:space="preserve">ачальник финансово-</w:t>
      </w:r>
      <w:r>
        <w:rPr>
          <w:sz w:val="22"/>
        </w:rPr>
      </w:r>
    </w:p>
    <w:p>
      <w:pPr>
        <w:rPr>
          <w:sz w:val="22"/>
        </w:rPr>
      </w:pPr>
      <w:r>
        <w:rPr>
          <w:sz w:val="22"/>
        </w:rPr>
        <w:t xml:space="preserve">экономического отдела                                                                                           </w:t>
      </w:r>
      <w:r>
        <w:rPr>
          <w:sz w:val="22"/>
        </w:rPr>
        <w:t xml:space="preserve"> </w:t>
      </w:r>
      <w:r>
        <w:rPr>
          <w:sz w:val="22"/>
        </w:rPr>
        <w:t xml:space="preserve">           </w:t>
      </w:r>
      <w:r>
        <w:rPr>
          <w:sz w:val="22"/>
        </w:rPr>
        <w:t xml:space="preserve">Е.В. Сутормина</w:t>
      </w:r>
      <w:r>
        <w:rPr>
          <w:sz w:val="22"/>
        </w:rPr>
      </w:r>
    </w:p>
    <w:p>
      <w:pPr>
        <w:rPr>
          <w:sz w:val="22"/>
        </w:rPr>
      </w:pPr>
      <w:bookmarkStart w:id="0" w:name="_GoBack"/>
      <w:bookmarkEnd w:id="0"/>
      <w:r>
        <w:rPr>
          <w:sz w:val="22"/>
        </w:rPr>
      </w:r>
    </w:p>
    <w:p>
      <w:pPr>
        <w:rPr>
          <w:sz w:val="22"/>
        </w:rPr>
      </w:pPr>
      <w:r>
        <w:rPr>
          <w:sz w:val="22"/>
        </w:rPr>
        <w:t xml:space="preserve">Заместитель начальника финансово-</w:t>
      </w:r>
      <w:r>
        <w:rPr>
          <w:sz w:val="22"/>
        </w:rPr>
      </w:r>
    </w:p>
    <w:p>
      <w:pPr>
        <w:rPr>
          <w:sz w:val="22"/>
        </w:rPr>
      </w:pPr>
      <w:r>
        <w:rPr>
          <w:sz w:val="22"/>
        </w:rPr>
        <w:t xml:space="preserve">экономического отела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</w:t>
      </w:r>
      <w:r>
        <w:rPr>
          <w:sz w:val="22"/>
        </w:rPr>
        <w:t xml:space="preserve">   </w:t>
      </w:r>
      <w:r>
        <w:rPr>
          <w:sz w:val="22"/>
        </w:rPr>
        <w:t xml:space="preserve">Э</w:t>
      </w:r>
      <w:r>
        <w:rPr>
          <w:sz w:val="22"/>
        </w:rPr>
        <w:t xml:space="preserve">.А. </w:t>
      </w:r>
      <w:r>
        <w:rPr>
          <w:sz w:val="22"/>
        </w:rPr>
        <w:t xml:space="preserve">Смалиус</w:t>
      </w:r>
      <w:r>
        <w:rPr>
          <w:sz w:val="22"/>
        </w:rPr>
      </w:r>
    </w:p>
    <w:p>
      <w:pPr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исп. Пожидаева М.П., 3604</w:t>
      </w:r>
      <w:r>
        <w:rPr>
          <w:sz w:val="18"/>
          <w:szCs w:val="18"/>
        </w:rPr>
        <w:tab/>
      </w:r>
      <w:r>
        <w:rPr>
          <w:sz w:val="18"/>
          <w:szCs w:val="18"/>
        </w:rPr>
      </w:r>
    </w:p>
    <w:sectPr>
      <w:footnotePr/>
      <w:endnotePr/>
      <w:type w:val="nextPage"/>
      <w:pgSz w:w="11906" w:h="16838" w:orient="portrait"/>
      <w:pgMar w:top="426" w:right="850" w:bottom="28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22"/>
    <w:link w:val="621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0"/>
    <w:next w:val="620"/>
    <w:link w:val="17"/>
    <w:uiPriority w:val="9"/>
    <w:unhideWhenUsed/>
    <w:qFormat/>
    <w:pPr>
      <w:keepNext/>
      <w:keepLines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0"/>
    <w:next w:val="620"/>
    <w:link w:val="19"/>
    <w:uiPriority w:val="9"/>
    <w:unhideWhenUsed/>
    <w:qFormat/>
    <w:pPr>
      <w:keepNext/>
      <w:keepLines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0"/>
    <w:next w:val="620"/>
    <w:link w:val="21"/>
    <w:uiPriority w:val="9"/>
    <w:unhideWhenUsed/>
    <w:qFormat/>
    <w:pPr>
      <w:keepNext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0"/>
    <w:next w:val="620"/>
    <w:link w:val="23"/>
    <w:uiPriority w:val="9"/>
    <w:unhideWhenUsed/>
    <w:qFormat/>
    <w:pPr>
      <w:keepNext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0"/>
    <w:next w:val="620"/>
    <w:link w:val="25"/>
    <w:uiPriority w:val="9"/>
    <w:unhideWhenUsed/>
    <w:qFormat/>
    <w:pPr>
      <w:keepNext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0"/>
    <w:next w:val="620"/>
    <w:link w:val="27"/>
    <w:uiPriority w:val="9"/>
    <w:unhideWhenUsed/>
    <w:qFormat/>
    <w:pPr>
      <w:keepNext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0"/>
    <w:next w:val="620"/>
    <w:link w:val="29"/>
    <w:uiPriority w:val="9"/>
    <w:unhideWhenUsed/>
    <w:qFormat/>
    <w:pPr>
      <w:keepNext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0"/>
    <w:next w:val="620"/>
    <w:link w:val="31"/>
    <w:uiPriority w:val="9"/>
    <w:unhideWhenUsed/>
    <w:qFormat/>
    <w:pPr>
      <w:keepNext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20"/>
    <w:uiPriority w:val="34"/>
    <w:qFormat/>
    <w:pPr>
      <w:ind w:left="720"/>
      <w:contextualSpacing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0"/>
    <w:next w:val="620"/>
    <w:link w:val="3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6">
    <w:name w:val="Title Char"/>
    <w:basedOn w:val="622"/>
    <w:link w:val="35"/>
    <w:uiPriority w:val="10"/>
    <w:rPr>
      <w:sz w:val="48"/>
      <w:szCs w:val="48"/>
    </w:rPr>
  </w:style>
  <w:style w:type="paragraph" w:styleId="37">
    <w:name w:val="Subtitle"/>
    <w:basedOn w:val="620"/>
    <w:next w:val="62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2"/>
    <w:link w:val="37"/>
    <w:uiPriority w:val="11"/>
    <w:rPr>
      <w:sz w:val="24"/>
      <w:szCs w:val="24"/>
    </w:rPr>
  </w:style>
  <w:style w:type="paragraph" w:styleId="39">
    <w:name w:val="Quote"/>
    <w:basedOn w:val="620"/>
    <w:next w:val="62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0"/>
    <w:next w:val="620"/>
    <w:link w:val="4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4">
    <w:name w:val="Header Char"/>
    <w:basedOn w:val="622"/>
    <w:link w:val="43"/>
    <w:uiPriority w:val="99"/>
  </w:style>
  <w:style w:type="paragraph" w:styleId="45">
    <w:name w:val="Footer"/>
    <w:basedOn w:val="620"/>
    <w:link w:val="4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6">
    <w:name w:val="Footer Char"/>
    <w:basedOn w:val="622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2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6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5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6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7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8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9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90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1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5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2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2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spacing w:after="57"/>
      <w:ind w:left="0" w:right="0" w:firstLine="0"/>
    </w:pPr>
  </w:style>
  <w:style w:type="paragraph" w:styleId="183">
    <w:name w:val="toc 2"/>
    <w:basedOn w:val="620"/>
    <w:next w:val="620"/>
    <w:uiPriority w:val="39"/>
    <w:unhideWhenUsed/>
    <w:pPr>
      <w:spacing w:after="57"/>
      <w:ind w:left="283" w:right="0" w:firstLine="0"/>
    </w:pPr>
  </w:style>
  <w:style w:type="paragraph" w:styleId="184">
    <w:name w:val="toc 3"/>
    <w:basedOn w:val="620"/>
    <w:next w:val="620"/>
    <w:uiPriority w:val="39"/>
    <w:unhideWhenUsed/>
    <w:pPr>
      <w:spacing w:after="57"/>
      <w:ind w:left="567" w:right="0" w:firstLine="0"/>
    </w:pPr>
  </w:style>
  <w:style w:type="paragraph" w:styleId="185">
    <w:name w:val="toc 4"/>
    <w:basedOn w:val="620"/>
    <w:next w:val="620"/>
    <w:uiPriority w:val="39"/>
    <w:unhideWhenUsed/>
    <w:pPr>
      <w:spacing w:after="57"/>
      <w:ind w:left="850" w:right="0" w:firstLine="0"/>
    </w:pPr>
  </w:style>
  <w:style w:type="paragraph" w:styleId="186">
    <w:name w:val="toc 5"/>
    <w:basedOn w:val="620"/>
    <w:next w:val="620"/>
    <w:uiPriority w:val="39"/>
    <w:unhideWhenUsed/>
    <w:pPr>
      <w:spacing w:after="57"/>
      <w:ind w:left="1134" w:right="0" w:firstLine="0"/>
    </w:pPr>
  </w:style>
  <w:style w:type="paragraph" w:styleId="187">
    <w:name w:val="toc 6"/>
    <w:basedOn w:val="620"/>
    <w:next w:val="620"/>
    <w:uiPriority w:val="39"/>
    <w:unhideWhenUsed/>
    <w:pPr>
      <w:spacing w:after="57"/>
      <w:ind w:left="1417" w:right="0" w:firstLine="0"/>
    </w:pPr>
  </w:style>
  <w:style w:type="paragraph" w:styleId="188">
    <w:name w:val="toc 7"/>
    <w:basedOn w:val="620"/>
    <w:next w:val="620"/>
    <w:uiPriority w:val="39"/>
    <w:unhideWhenUsed/>
    <w:pPr>
      <w:spacing w:after="57"/>
      <w:ind w:left="1701" w:right="0" w:firstLine="0"/>
    </w:pPr>
  </w:style>
  <w:style w:type="paragraph" w:styleId="189">
    <w:name w:val="toc 8"/>
    <w:basedOn w:val="620"/>
    <w:next w:val="620"/>
    <w:uiPriority w:val="39"/>
    <w:unhideWhenUsed/>
    <w:pPr>
      <w:spacing w:after="57"/>
      <w:ind w:left="1984" w:right="0" w:firstLine="0"/>
    </w:pPr>
  </w:style>
  <w:style w:type="paragraph" w:styleId="190">
    <w:name w:val="toc 9"/>
    <w:basedOn w:val="620"/>
    <w:next w:val="620"/>
    <w:uiPriority w:val="39"/>
    <w:unhideWhenUsed/>
    <w:pPr>
      <w:spacing w:after="57"/>
      <w:ind w:left="2268" w:right="0" w:firstLine="0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  <w:pPr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1">
    <w:name w:val="Heading 1"/>
    <w:basedOn w:val="620"/>
    <w:next w:val="620"/>
    <w:link w:val="625"/>
    <w:qFormat/>
    <w:pPr>
      <w:keepNext/>
      <w:tabs>
        <w:tab w:val="left" w:pos="0" w:leader="none"/>
      </w:tabs>
      <w:jc w:val="center"/>
      <w:outlineLvl w:val="0"/>
    </w:pPr>
    <w:rPr>
      <w:b/>
      <w:sz w:val="20"/>
      <w:szCs w:val="20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character" w:styleId="625" w:customStyle="1">
    <w:name w:val="Заголовок 1 Знак"/>
    <w:basedOn w:val="622"/>
    <w:link w:val="621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626" w:customStyle="1">
    <w:name w:val="ConsPlusNormal"/>
    <w:pPr>
      <w:widowControl w:val="off"/>
      <w:jc w:val="left"/>
    </w:pPr>
    <w:rPr>
      <w:rFonts w:ascii="Arial" w:hAnsi="Arial" w:eastAsia="Times New Roman" w:cs="Arial"/>
      <w:sz w:val="20"/>
      <w:szCs w:val="20"/>
      <w:lang w:eastAsia="ru-RU"/>
    </w:rPr>
  </w:style>
  <w:style w:type="table" w:styleId="627">
    <w:name w:val="Table Grid"/>
    <w:basedOn w:val="62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8">
    <w:name w:val="Balloon Text"/>
    <w:basedOn w:val="620"/>
    <w:link w:val="62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29" w:customStyle="1">
    <w:name w:val="Текст выноски Знак"/>
    <w:basedOn w:val="622"/>
    <w:link w:val="62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</dc:creator>
  <cp:lastModifiedBy>m.pozhidaeva</cp:lastModifiedBy>
  <cp:revision>3</cp:revision>
  <dcterms:created xsi:type="dcterms:W3CDTF">2025-12-01T13:13:00Z</dcterms:created>
  <dcterms:modified xsi:type="dcterms:W3CDTF">2026-06-24T08:30:03Z</dcterms:modified>
</cp:coreProperties>
</file>