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</w:r>
      <w:bookmarkStart w:id="0" w:name="__DdeLink__3121_3886059807"/>
      <w:r>
        <w:rPr>
          <w:sz w:val="24"/>
          <w:szCs w:val="24"/>
        </w:rPr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Описание объекта закупки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оказание услуг почтовой связи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numPr>
          <w:ilvl w:val="0"/>
          <w:numId w:val="0"/>
        </w:numPr>
        <w:ind w:left="0" w:right="0" w:firstLine="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  <w14:ligatures w14:val="none"/>
        </w:rPr>
      </w:r>
    </w:p>
    <w:p>
      <w:pPr>
        <w:numPr>
          <w:ilvl w:val="0"/>
          <w:numId w:val="0"/>
        </w:numPr>
        <w:ind w:left="0" w:right="0" w:firstLine="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  <w:t xml:space="preserve">Контракт заключается с соблюдением требований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  <w14:ligatures w14:val="none"/>
        </w:rPr>
      </w:r>
    </w:p>
    <w:p>
      <w:pPr>
        <w:numPr>
          <w:ilvl w:val="0"/>
          <w:numId w:val="0"/>
        </w:numPr>
        <w:ind w:left="0" w:right="0" w:firstLine="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  <w14:ligatures w14:val="none"/>
        </w:rPr>
      </w:r>
    </w:p>
    <w:p>
      <w:pPr>
        <w:numPr>
          <w:ilvl w:val="0"/>
          <w:numId w:val="0"/>
        </w:numPr>
        <w:ind w:left="0" w:right="0" w:firstLine="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  <w:t xml:space="preserve">ОКПД 2:  </w:t>
      </w:r>
      <w:bookmarkStart w:id="1" w:name="__DdeLink__122_871071872"/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  <w:t xml:space="preserve">53.10.12.000</w:t>
      </w:r>
      <w:bookmarkEnd w:id="1"/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  <w:t xml:space="preserve"> - Услуги почтовой связи общего пользования, связанные с письменной корреспонденцией»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  <w14:ligatures w14:val="none"/>
        </w:rPr>
      </w:r>
    </w:p>
    <w:p>
      <w:pPr>
        <w:pStyle w:val="788"/>
        <w:numPr>
          <w:ilvl w:val="3"/>
          <w:numId w:val="1"/>
        </w:numPr>
        <w:ind w:left="0" w:right="0" w:firstLine="737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</w:pPr>
      <w:r/>
      <w:bookmarkStart w:id="2" w:name="__DdeLink__3838_871071872_Копия_1"/>
      <w:r/>
      <w:bookmarkStart w:id="3" w:name="__DdeLink__3829_871071872"/>
      <w:r/>
      <w:bookmarkStart w:id="4" w:name="__DdeLink__3838_871071872"/>
      <w:r/>
      <w:bookmarkEnd w:id="3"/>
      <w:r/>
      <w:bookmarkEnd w:id="4"/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  <w:t xml:space="preserve">Заказчик не имеет возможность определить объем необходимых услуг.</w:t>
      </w:r>
      <w:bookmarkEnd w:id="2"/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  <w:t xml:space="preserve"> В соответствие со п.2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  <w:t xml:space="preserve">ст.42 Федерального закона от 05.04.2013 № 44-ФЗ  "О контрактной системе в сфере закупок товаров, работ, услуг для обеспечения государственных и муниципальных нужд" не возможно определить количество оказываемых услуг Заказчик указывает цену единицы услуги.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</w:r>
    </w:p>
    <w:p>
      <w:pPr>
        <w:pStyle w:val="788"/>
        <w:numPr>
          <w:ilvl w:val="0"/>
          <w:numId w:val="0"/>
        </w:numPr>
        <w:ind w:left="0" w:right="0" w:firstLine="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</w:r>
    </w:p>
    <w:p>
      <w:pPr>
        <w:pStyle w:val="788"/>
        <w:numPr>
          <w:ilvl w:val="0"/>
          <w:numId w:val="0"/>
        </w:numPr>
        <w:ind w:left="0" w:right="0" w:firstLine="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  <w:t xml:space="preserve">Оплата оказанных услуг осуществляется по цене единицы услуги исходя из объема фактически оказанной услуги, но в размере, не превышающем максимального значения цены контракта, указанного в Объявлении об осуществлении закупки.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</w:r>
    </w:p>
    <w:p>
      <w:pPr>
        <w:pStyle w:val="788"/>
        <w:numPr>
          <w:ilvl w:val="0"/>
          <w:numId w:val="0"/>
        </w:numPr>
        <w:ind w:left="0" w:right="0" w:firstLine="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bookmarkStart w:id="6" w:name="__DdeLink__3829_871071872_Копия_1"/>
      <w:r/>
      <w:bookmarkEnd w:id="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8"/>
        <w:numPr>
          <w:ilvl w:val="0"/>
          <w:numId w:val="0"/>
        </w:numPr>
        <w:ind w:left="0" w:right="0" w:firstLine="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  <w:t xml:space="preserve">           2. В соответствие с </w:t>
      </w:r>
      <w:bookmarkStart w:id="7" w:name="__DdeLink__3562_871071872"/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  <w:t xml:space="preserve">п. 36 ч.1 ст. 12</w:t>
      </w:r>
      <w:bookmarkEnd w:id="7"/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  <w:t xml:space="preserve"> Федерального закона от </w:t>
      </w:r>
      <w:bookmarkStart w:id="8" w:name="__DdeLink__3560_871071872"/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  <w:t xml:space="preserve">04.05.2011 № 99-ФЗ</w:t>
      </w:r>
      <w:bookmarkEnd w:id="8"/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  <w:t xml:space="preserve"> "О лиценз</w:t>
      </w:r>
      <w:r>
        <w:rPr>
          <w:rFonts w:ascii="Times New Roman" w:hAnsi="Times New Roman" w:cs="Times New Roman"/>
          <w:sz w:val="24"/>
          <w:szCs w:val="24"/>
        </w:rPr>
        <w:t xml:space="preserve">ировании отдельных видов деятельности" исполнитель обязан иметь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auto"/>
        </w:rPr>
        <w:t xml:space="preserve">ицензию на оказание </w:t>
      </w:r>
      <w:bookmarkStart w:id="9" w:name="__DdeLink__815_871071872"/>
      <w:r>
        <w:rPr>
          <w:rFonts w:ascii="Times New Roman" w:hAnsi="Times New Roman" w:cs="Times New Roman"/>
          <w:b/>
          <w:bCs/>
          <w:sz w:val="24"/>
          <w:szCs w:val="24"/>
          <w:shd w:val="clear" w:color="auto" w:fill="auto"/>
        </w:rPr>
        <w:t xml:space="preserve"> на оказание услуг почтовой связи, с видом работ/услуг: оказание услуг почтовой связи.</w:t>
      </w:r>
      <w:bookmarkEnd w:id="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0"/>
        </w:numPr>
        <w:ind w:left="0" w:right="0" w:firstLine="0"/>
        <w:rPr>
          <w:b/>
          <w:bCs/>
          <w:sz w:val="22"/>
          <w:szCs w:val="22"/>
          <w14:ligatures w14:val="none"/>
        </w:rPr>
      </w:pPr>
      <w:r>
        <w:rPr>
          <w:b/>
          <w:bCs/>
          <w:sz w:val="22"/>
          <w:szCs w:val="22"/>
          <w14:ligatures w14:val="none"/>
        </w:rPr>
      </w:r>
      <w:r>
        <w:rPr>
          <w:b/>
          <w:bCs/>
          <w:sz w:val="22"/>
          <w:szCs w:val="22"/>
          <w14:ligatures w14:val="none"/>
        </w:rPr>
      </w:r>
      <w:r>
        <w:rPr>
          <w:b/>
          <w:bCs/>
          <w:sz w:val="22"/>
          <w:szCs w:val="22"/>
          <w14:ligatures w14:val="none"/>
        </w:rPr>
      </w:r>
    </w:p>
    <w:p>
      <w:pPr>
        <w:pStyle w:val="850"/>
        <w:numPr>
          <w:ilvl w:val="0"/>
          <w:numId w:val="0"/>
        </w:numPr>
        <w:ind w:left="0" w:right="0" w:firstLine="0"/>
        <w:rPr>
          <w:b w:val="0"/>
          <w:bCs w:val="0"/>
        </w:rPr>
      </w:pPr>
      <w:r>
        <w:rPr>
          <w:b w:val="0"/>
          <w:bCs w:val="0"/>
        </w:rPr>
        <w:t xml:space="preserve">           3. В состав закупки на оказание услуг почтовой связи входят следующие виды услуг: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50"/>
        <w:numPr>
          <w:ilvl w:val="0"/>
          <w:numId w:val="0"/>
        </w:numPr>
        <w:ind w:left="0" w:right="0" w:firstLine="0"/>
        <w:rPr>
          <w:b/>
          <w:bCs/>
          <w:sz w:val="22"/>
          <w:szCs w:val="22"/>
          <w14:ligatures w14:val="none"/>
        </w:rPr>
      </w:pPr>
      <w:r>
        <w:rPr>
          <w:b/>
          <w:bCs/>
          <w:lang w:eastAsia="ar-SA"/>
        </w:rPr>
        <w:t xml:space="preserve"> </w:t>
      </w:r>
      <w:r>
        <w:rPr>
          <w:b/>
          <w:bCs/>
          <w:sz w:val="22"/>
          <w:szCs w:val="22"/>
          <w14:ligatures w14:val="none"/>
        </w:rPr>
      </w:r>
      <w:r>
        <w:rPr>
          <w:b/>
          <w:bCs/>
          <w:sz w:val="22"/>
          <w:szCs w:val="22"/>
          <w14:ligatures w14:val="none"/>
        </w:rPr>
      </w:r>
    </w:p>
    <w:tbl>
      <w:tblPr>
        <w:tblW w:w="9639" w:type="dxa"/>
        <w:tblInd w:w="10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8"/>
        <w:gridCol w:w="6838"/>
        <w:gridCol w:w="18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88"/>
              <w:ind w:left="0" w:right="0" w:firstLine="0"/>
              <w:jc w:val="center"/>
              <w:spacing w:before="0" w:after="0"/>
              <w:widowControl w:val="off"/>
              <w:tabs>
                <w:tab w:val="clear" w:pos="708" w:leader="none"/>
                <w:tab w:val="left" w:pos="1440" w:leader="none"/>
                <w:tab w:val="right" w:pos="10195" w:leader="dot"/>
              </w:tabs>
              <w:rPr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п/п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8" w:type="dxa"/>
            <w:vAlign w:val="center"/>
            <w:textDirection w:val="lrTb"/>
            <w:noWrap w:val="false"/>
          </w:tcPr>
          <w:p>
            <w:pPr>
              <w:pStyle w:val="788"/>
              <w:ind w:left="0" w:right="0" w:firstLine="0"/>
              <w:jc w:val="center"/>
              <w:spacing w:before="0" w:after="0"/>
              <w:widowControl w:val="off"/>
              <w:tabs>
                <w:tab w:val="clear" w:pos="708" w:leader="none"/>
                <w:tab w:val="left" w:pos="1440" w:leader="none"/>
                <w:tab w:val="right" w:pos="10195" w:leader="dot"/>
              </w:tabs>
              <w:rPr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услуги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88"/>
              <w:ind w:left="0" w:right="0" w:firstLine="0"/>
              <w:jc w:val="center"/>
              <w:spacing w:before="0" w:after="0"/>
              <w:widowControl w:val="off"/>
              <w:tabs>
                <w:tab w:val="clear" w:pos="708" w:leader="none"/>
                <w:tab w:val="left" w:pos="1440" w:leader="none"/>
                <w:tab w:val="right" w:pos="10195" w:leader="dot"/>
              </w:tabs>
              <w:rPr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Ед. изм.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88"/>
              <w:ind w:left="0" w:right="0" w:firstLine="0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8" w:type="dxa"/>
            <w:vAlign w:val="center"/>
            <w:textDirection w:val="lrTb"/>
            <w:noWrap w:val="false"/>
          </w:tcPr>
          <w:p>
            <w:pPr>
              <w:pStyle w:val="788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  <w14:ligatures w14:val="none"/>
              </w:rPr>
              <w:t xml:space="preserve">Пересылка (доставка) простого письма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88"/>
              <w:jc w:val="center"/>
              <w:spacing w:before="0" w:after="0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88"/>
              <w:ind w:left="0" w:right="0" w:firstLine="0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8" w:type="dxa"/>
            <w:vAlign w:val="center"/>
            <w:textDirection w:val="lrTb"/>
            <w:noWrap w:val="false"/>
          </w:tcPr>
          <w:p>
            <w:pPr>
              <w:pStyle w:val="788"/>
              <w:ind w:left="0" w:right="0" w:firstLine="0"/>
              <w:widowControl w:val="off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  <w:t xml:space="preserve">Пересылка (доставка) заказного письма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88"/>
              <w:jc w:val="center"/>
              <w:spacing w:before="0" w:after="0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88"/>
              <w:ind w:left="0" w:right="0" w:firstLine="0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8" w:type="dxa"/>
            <w:vAlign w:val="center"/>
            <w:textDirection w:val="lrTb"/>
            <w:noWrap w:val="false"/>
          </w:tcPr>
          <w:p>
            <w:pPr>
              <w:pStyle w:val="788"/>
              <w:widowControl w:val="off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  <w:t xml:space="preserve">Пересылка (доставка) простой бандероли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88"/>
              <w:jc w:val="center"/>
              <w:spacing w:before="0" w:after="0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88"/>
              <w:ind w:left="0" w:right="0" w:firstLine="0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8" w:type="dxa"/>
            <w:vAlign w:val="center"/>
            <w:textDirection w:val="lrTb"/>
            <w:noWrap w:val="false"/>
          </w:tcPr>
          <w:p>
            <w:pPr>
              <w:pStyle w:val="788"/>
              <w:widowControl w:val="off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  <w:t xml:space="preserve">Пересылка (доставка) заказной бандероли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88"/>
              <w:jc w:val="center"/>
              <w:spacing w:before="0" w:after="0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88"/>
              <w:ind w:left="0" w:right="0" w:firstLine="0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8" w:type="dxa"/>
            <w:vAlign w:val="center"/>
            <w:textDirection w:val="lrTb"/>
            <w:noWrap w:val="false"/>
          </w:tcPr>
          <w:p>
            <w:pPr>
              <w:pStyle w:val="788"/>
              <w:widowControl w:val="off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  <w:t xml:space="preserve">Пересылка (доставка) заказного письма весом с уведомлением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88"/>
              <w:jc w:val="center"/>
              <w:spacing w:before="0" w:after="0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88"/>
              <w:ind w:left="0" w:right="0" w:firstLine="0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8" w:type="dxa"/>
            <w:vAlign w:val="center"/>
            <w:textDirection w:val="lrTb"/>
            <w:noWrap w:val="false"/>
          </w:tcPr>
          <w:p>
            <w:pPr>
              <w:pStyle w:val="788"/>
              <w:widowControl w:val="off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  <w:t xml:space="preserve">Письма с объявленной ценностью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88"/>
              <w:jc w:val="center"/>
              <w:spacing w:before="0" w:after="0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88"/>
              <w:ind w:left="0" w:right="0" w:firstLine="0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8" w:type="dxa"/>
            <w:vAlign w:val="center"/>
            <w:textDirection w:val="lrTb"/>
            <w:noWrap w:val="false"/>
          </w:tcPr>
          <w:p>
            <w:pPr>
              <w:pStyle w:val="788"/>
              <w:widowControl w:val="off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  <w:t xml:space="preserve">Простое уведомление о вручении почтового отправления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88"/>
              <w:jc w:val="center"/>
              <w:spacing w:before="0" w:after="0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88"/>
              <w:ind w:left="0" w:right="0" w:firstLine="0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8" w:type="dxa"/>
            <w:vAlign w:val="center"/>
            <w:textDirection w:val="lrTb"/>
            <w:noWrap w:val="false"/>
          </w:tcPr>
          <w:p>
            <w:pPr>
              <w:pStyle w:val="788"/>
              <w:widowControl w:val="off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  <w:t xml:space="preserve">Возврат почтовых отправлений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88"/>
              <w:jc w:val="center"/>
              <w:spacing w:before="0" w:after="0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788"/>
              <w:ind w:left="0" w:right="0" w:firstLine="0"/>
              <w:jc w:val="center"/>
              <w:spacing w:before="0" w:after="0"/>
              <w:widowControl w:val="off"/>
              <w:tabs>
                <w:tab w:val="clear" w:pos="708" w:leader="none"/>
              </w:tabs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8" w:type="dxa"/>
            <w:vAlign w:val="center"/>
            <w:textDirection w:val="lrTb"/>
            <w:noWrap w:val="false"/>
          </w:tcPr>
          <w:p>
            <w:pPr>
              <w:pStyle w:val="788"/>
              <w:widowControl w:val="off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  <w:t xml:space="preserve">Франкирование письменной корреспонденции с нанесением оттиска ГЗПО (государственного знака почтовой оплаты) на 1 почтовое отправление (письмо или бандероль) по месту нахождения почтового отделения связи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88"/>
              <w:jc w:val="center"/>
              <w:spacing w:before="0" w:after="0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</w:tbl>
    <w:p>
      <w:pPr>
        <w:pStyle w:val="788"/>
        <w:ind w:left="0" w:right="0" w:firstLine="0"/>
        <w:rPr>
          <w:b/>
          <w:bCs/>
          <w:lang w:eastAsia="ar-SA"/>
          <w14:ligatures w14:val="none"/>
        </w:rPr>
      </w:pPr>
      <w:r>
        <w:rPr>
          <w:b/>
          <w:bCs/>
          <w:lang w:eastAsia="ar-SA"/>
          <w14:ligatures w14:val="none"/>
        </w:rPr>
      </w:r>
      <w:r>
        <w:rPr>
          <w:b/>
          <w:bCs/>
          <w:lang w:eastAsia="ar-SA"/>
          <w14:ligatures w14:val="none"/>
        </w:rPr>
      </w:r>
      <w:r>
        <w:rPr>
          <w:b/>
          <w:bCs/>
          <w:lang w:eastAsia="ar-SA"/>
          <w14:ligatures w14:val="none"/>
        </w:rPr>
      </w:r>
    </w:p>
    <w:p>
      <w:pPr>
        <w:pStyle w:val="788"/>
        <w:contextualSpacing/>
        <w:ind w:left="709" w:right="0" w:firstLine="0"/>
        <w:jc w:val="both"/>
        <w:spacing w:before="0" w:after="0" w:line="252" w:lineRule="auto"/>
        <w:tabs>
          <w:tab w:val="clear" w:pos="708" w:leader="none"/>
          <w:tab w:val="left" w:pos="993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Требования к оказываемым услугам: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88"/>
        <w:contextualSpacing/>
        <w:ind w:left="0" w:right="0" w:firstLine="709"/>
        <w:jc w:val="both"/>
        <w:spacing w:before="0"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Услуги </w:t>
      </w:r>
      <w:r>
        <w:rPr>
          <w:rFonts w:ascii="Times New Roman" w:hAnsi="Times New Roman" w:cs="Times New Roman"/>
          <w:sz w:val="24"/>
          <w:szCs w:val="24"/>
        </w:rPr>
        <w:t xml:space="preserve">почтовой связи оказываются на основании: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88"/>
        <w:numPr>
          <w:ilvl w:val="0"/>
          <w:numId w:val="0"/>
        </w:num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Федерального закона от </w:t>
      </w:r>
      <w:bookmarkStart w:id="10" w:name="__DdeLink__3552_871071872_Копия_1"/>
      <w:r>
        <w:rPr>
          <w:rFonts w:ascii="Times New Roman" w:hAnsi="Times New Roman" w:cs="Times New Roman"/>
          <w:sz w:val="24"/>
          <w:szCs w:val="24"/>
        </w:rPr>
        <w:t xml:space="preserve">17.07.1999 № 176-ФЗ</w:t>
      </w:r>
      <w:bookmarkEnd w:id="10"/>
      <w:r>
        <w:rPr>
          <w:rFonts w:ascii="Times New Roman" w:hAnsi="Times New Roman" w:cs="Times New Roman"/>
          <w:sz w:val="24"/>
          <w:szCs w:val="24"/>
        </w:rPr>
        <w:t xml:space="preserve"> "О почтовой связи";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8"/>
        <w:numPr>
          <w:ilvl w:val="0"/>
          <w:numId w:val="0"/>
        </w:num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Федерального закона от </w:t>
      </w:r>
      <w:bookmarkStart w:id="11" w:name="__DdeLink__3554_871071872_Копия_1"/>
      <w:r>
        <w:rPr>
          <w:rFonts w:ascii="Times New Roman" w:hAnsi="Times New Roman" w:cs="Times New Roman"/>
          <w:sz w:val="24"/>
          <w:szCs w:val="24"/>
        </w:rPr>
        <w:t xml:space="preserve">07.07.2003 № 126-ФЗ</w:t>
      </w:r>
      <w:bookmarkEnd w:id="11"/>
      <w:r>
        <w:rPr>
          <w:rFonts w:ascii="Times New Roman" w:hAnsi="Times New Roman" w:cs="Times New Roman"/>
          <w:sz w:val="24"/>
          <w:szCs w:val="24"/>
        </w:rPr>
        <w:t xml:space="preserve"> "О связи";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8"/>
        <w:numPr>
          <w:ilvl w:val="0"/>
          <w:numId w:val="0"/>
        </w:num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Российской Федерации от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 xml:space="preserve">30.12.2020 N 2385 "О лицензировании деятельности в области оказания услуг связи и признании утратившими силу некоторых актов Правительства </w:t>
      </w:r>
      <w:bookmarkStart w:id="12" w:name="__DdeLink__3558_871071872_Копия_1"/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 xml:space="preserve">Российской Федерации</w:t>
      </w:r>
      <w:bookmarkEnd w:id="12"/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 xml:space="preserve">" (вместе с "Положением о лицензировании деятельности в области оказания услуг связи").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8"/>
        <w:contextualSpacing/>
        <w:ind w:left="0" w:right="0" w:firstLine="709"/>
        <w:jc w:val="both"/>
        <w:spacing w:before="0"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М</w:t>
      </w:r>
      <w:r>
        <w:rPr>
          <w:rFonts w:ascii="Times New Roman" w:hAnsi="Times New Roman"/>
          <w:b/>
          <w:sz w:val="24"/>
          <w:szCs w:val="24"/>
        </w:rPr>
        <w:t xml:space="preserve">есто оказания услуг:</w:t>
      </w:r>
      <w:r>
        <w:rPr>
          <w:rFonts w:ascii="Times New Roman" w:hAnsi="Times New Roman"/>
          <w:sz w:val="24"/>
          <w:szCs w:val="24"/>
        </w:rPr>
        <w:t xml:space="preserve"> территория доставки почтовой корреспонденции: вся территория </w:t>
      </w:r>
      <w:bookmarkStart w:id="13" w:name="__DdeLink__3845_871071872"/>
      <w:r/>
      <w:bookmarkStart w:id="14" w:name="__DdeLink__3871_871071872"/>
      <w:r>
        <w:rPr>
          <w:rFonts w:ascii="Times New Roman" w:hAnsi="Times New Roman"/>
          <w:sz w:val="24"/>
          <w:szCs w:val="24"/>
        </w:rPr>
        <w:t xml:space="preserve">Российской Федерации</w:t>
      </w:r>
      <w:bookmarkEnd w:id="13"/>
      <w:r/>
      <w:bookmarkEnd w:id="14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Доставка почтовых отправлений осуществляется по всей территории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88"/>
        <w:contextualSpacing/>
        <w:ind w:left="0" w:right="118" w:firstLine="709"/>
        <w:jc w:val="both"/>
        <w:spacing w:before="0" w:after="0"/>
        <w:tabs>
          <w:tab w:val="clear" w:pos="708" w:leader="none"/>
          <w:tab w:val="left" w:pos="993" w:leader="none"/>
        </w:tabs>
        <w:rPr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5. С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рок оказания услуг: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Контракт вступает в силу с момента его подписания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до 30.11.2026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.</w:t>
      </w:r>
      <w:r>
        <w:rPr>
          <w:u w:val="single"/>
        </w:rPr>
      </w:r>
    </w:p>
    <w:p>
      <w:pPr>
        <w:pStyle w:val="788"/>
        <w:ind w:left="0" w:right="0" w:firstLine="709"/>
        <w:jc w:val="both"/>
        <w:spacing w:before="0" w:after="0"/>
        <w:tabs>
          <w:tab w:val="clear" w:pos="708" w:leader="none"/>
          <w:tab w:val="left" w:pos="993" w:leader="none"/>
        </w:tabs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6. Срок оплаты услуг:</w:t>
      </w:r>
      <w:r>
        <w:rPr>
          <w:rFonts w:ascii="Times New Roman" w:hAnsi="Times New Roman"/>
          <w:sz w:val="24"/>
          <w:szCs w:val="24"/>
          <w:lang w:eastAsia="ar-SA"/>
        </w:rPr>
        <w:t xml:space="preserve"> в течение 7 (Семи) рабочих дней с момента подписания Заказчиком документа о приемке оказанных услуг.</w:t>
      </w:r>
      <w:r>
        <w:rPr>
          <w:rFonts w:ascii="Times New Roman" w:hAnsi="Times New Roman"/>
          <w:sz w:val="24"/>
          <w:szCs w:val="24"/>
          <w:lang w:eastAsia="ar-SA"/>
        </w:rPr>
      </w: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Style w:val="788"/>
        <w:ind w:left="0" w:right="0" w:firstLine="709"/>
        <w:jc w:val="both"/>
        <w:spacing w:before="0" w:after="0"/>
        <w:tabs>
          <w:tab w:val="clear" w:pos="708" w:leader="none"/>
          <w:tab w:val="left" w:pos="993" w:leader="none"/>
        </w:tabs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7. 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Почтовые услуги оказываются в соответствии с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4"/>
          <w:szCs w:val="24"/>
          <w:lang w:eastAsia="ar-SA"/>
        </w:rPr>
        <w:t xml:space="preserve">Правилами оказания услуг почтовой связи, утвержденными Приказом Минцифры России от 17.04.2023 N 382 "Об утверждении Правил оказания услуг почтовой связи".</w:t>
      </w:r>
      <w:r>
        <w:rPr>
          <w:rFonts w:ascii="Times New Roman" w:hAnsi="Times New Roman"/>
          <w:sz w:val="24"/>
          <w:szCs w:val="24"/>
          <w:lang w:eastAsia="ar-SA"/>
        </w:rPr>
      </w: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Style w:val="788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Заказчика и Исполнителя </w:t>
      </w:r>
      <w:r>
        <w:rPr>
          <w:rFonts w:ascii="Times New Roman" w:hAnsi="Times New Roman" w:cs="Times New Roman"/>
          <w:sz w:val="24"/>
          <w:szCs w:val="24"/>
        </w:rPr>
        <w:t xml:space="preserve"> включает в себя следующие обязанности: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7.1 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Заказчик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о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бязуется: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7.1.1. Не пересылать предметы, запрещенные к пересылке во внутренних почтовых отправлениях, перечень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торых установлен статьей 22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Федерального 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№176-ФЗ от 17.07.1999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«О почтовой связи»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7.1.2.Обеспечивать соответствие упаковки и оформления почтовых отправлений (письменной корреспонденции) и сопроводительных документов требованиям ПОУПС и 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рядку оформления  сопроводительных документов при приеме внутренних партионных почтовых отправлений»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7.1.3. Производить сдачу почтовых отправлений по следующим документам: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простой письменной корреспонденции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по спискам ф. 103-пр;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простой партионной письменной корреспонденции (на франкирование) - по спискам ф.103-пр;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регистрируемых внутренних почтовых отправлений с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нанесенными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районными представителями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ками почтовой оплаты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по спискам ф.103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составленным в 2-х экземплярах в печатном и электро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 виде согласно приложению 3;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регистрируемых внутренних почтовых отправлений (на франкирование) – по спискам ф.103, составленным в 2-х экземплярах в печатном и электронном виде в соответствии с Порядком с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пользованием сервиса «Личный кабинет. Отправка» (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"https://otpravka.pochta.ru"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56"/>
          <w:rFonts w:ascii="Times New Roman" w:hAnsi="Times New Roman" w:eastAsia="Times New Roman" w:cs="Times New Roman"/>
          <w:sz w:val="24"/>
          <w:szCs w:val="24"/>
        </w:rPr>
        <w:t xml:space="preserve">https://otpravka.pochta.ru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      7.1.4.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Производить сдачу регистрируемых почтовых отправлений в объектах почтовой связи до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.00 (в г. Чебоксары - в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часов 45 минут) в любой рабочий день;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      7.1.5.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Оформлять надлежащим образом доверенности на получение и отправку почтовых отправлений;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      7.4.6.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Оплачивать и получать возвращенные на имя Заказчика почтовые отправления;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      7.1.7.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случае несогласия оп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лачивать услуги Исполнителя по настоящему Договору, при повышении тарифов, уведомить об этом Исполнителя по факсу или электронной почте в течение 5 (пяти) календарных дней с момента получения информации об изменении тарифов. Договор считается расторгнутым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через 10 дней с даты надлежащего уведомления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сполнителя о несогласии Заказчика оплачивать услуги по измененным тарифам,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порядке, предусмотренном ч. 12 ст.95 Федерального закона №44-ФЗ от 05.04.2013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неполучении от Заказчика в установленный срок письменного отказа от оплаты услуг по новым тарифам, тарифы считаются согласованными с Заказчиком;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     7.1.8.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Подписывать и передавать Исполнителю акт сдачи-приема оказанных услуг, в дал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нейшем Акт, либо мотивированный отказ в письменном виде, в срок до десятого числа месяца, сл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дующего за отчетным.  В случае если Заказчик не подпишет Акт и не представит письменных возражений на него, Акт считается утве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жденным Заказчиком;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7.1.9.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вопросам розыска регистрируемых почтовых отправлений, направленных без уведомления о вручении, направлять заявление в ОСП (почтамт) только после самостоятельной проверки информации по возврату и состоянию РПО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Общероссийской автоматизированной системе учета РПО (далее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ОАСУ РПО) на сайте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«Почта России»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en-US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instrText xml:space="preserve"> </w:instrTex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en-US"/>
        </w:rPr>
        <w:instrText xml:space="preserve">HYPERLINK</w:instrTex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instrText xml:space="preserve"> "</w:instrTex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en-US"/>
        </w:rPr>
        <w:instrText xml:space="preserve">http</w:instrTex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instrText xml:space="preserve">://</w:instrTex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en-US"/>
        </w:rPr>
        <w:instrText xml:space="preserve">www</w:instrTex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instrText xml:space="preserve">.</w:instrTex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en-US"/>
        </w:rPr>
        <w:instrText xml:space="preserve">pochta</w:instrTex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instrText xml:space="preserve">.</w:instrTex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en-US"/>
        </w:rPr>
        <w:instrText xml:space="preserve">ru</w:instrTex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instrText xml:space="preserve">" </w:instrTex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en-US"/>
        </w:rPr>
        <w:fldChar w:fldCharType="separate"/>
      </w:r>
      <w:r>
        <w:rPr>
          <w:rStyle w:val="856"/>
          <w:rFonts w:ascii="Times New Roman" w:hAnsi="Times New Roman" w:eastAsia="Times New Roman" w:cs="Times New Roman"/>
          <w:sz w:val="24"/>
          <w:szCs w:val="24"/>
          <w:lang w:val="en-US"/>
        </w:rPr>
        <w:t xml:space="preserve">www</w:t>
      </w:r>
      <w:r>
        <w:rPr>
          <w:rStyle w:val="856"/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Style w:val="856"/>
          <w:rFonts w:ascii="Times New Roman" w:hAnsi="Times New Roman" w:eastAsia="Times New Roman" w:cs="Times New Roman"/>
          <w:sz w:val="24"/>
          <w:szCs w:val="24"/>
          <w:lang w:val="en-US"/>
        </w:rPr>
        <w:t xml:space="preserve">pochta</w:t>
      </w:r>
      <w:r>
        <w:rPr>
          <w:rStyle w:val="856"/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Style w:val="856"/>
          <w:rFonts w:ascii="Times New Roman" w:hAnsi="Times New Roman" w:eastAsia="Times New Roman" w:cs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en-US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7.1.10.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Своевременно  осуществлять оплату подписанных сторонами актов сдачи-приемки оказанных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      7.2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  Исполнитель обязуется: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88"/>
        <w:ind w:left="28" w:right="17" w:firstLine="540"/>
        <w:jc w:val="both"/>
        <w:spacing w:line="0" w:lineRule="atLeast"/>
        <w:shd w:val="clear" w:color="auto" w:fill="ffffff"/>
        <w:tabs>
          <w:tab w:val="left" w:pos="5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7.2.1 Принимать от Заказчика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8"/>
        <w:jc w:val="both"/>
        <w:tabs>
          <w:tab w:val="left" w:pos="5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на франкирование простую и заказную письменную корреспонденцию по спи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кам ф.103-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ф.103, составленным в 2-х экземплярах на бумажном носителе и в электронном виде с использован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ем сервиса «Личный кабинет. Отправка» (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"https://otpravka.pochta.ru"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56"/>
          <w:rFonts w:ascii="Times New Roman" w:hAnsi="Times New Roman" w:eastAsia="Times New Roman" w:cs="Times New Roman"/>
          <w:sz w:val="24"/>
          <w:szCs w:val="24"/>
        </w:rPr>
        <w:t xml:space="preserve">https://otpravka.pochta.ru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8"/>
        <w:jc w:val="both"/>
        <w:tabs>
          <w:tab w:val="left" w:pos="5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 простую и заказную партионную письменную корреспонденцию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с нанесенными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районными представителями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Заказчика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ками почтовой оплаты и ШПИ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по спискам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ф.103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-пр и ф.103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составленным в 2-х экземплярах в печатном и электро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 виде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8"/>
        <w:ind w:firstLine="540"/>
        <w:jc w:val="both"/>
        <w:tabs>
          <w:tab w:val="left" w:pos="5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этом проставлять оттиск календа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ного почтового штемпеля в копии списка ф.103 (ф.103-пр), возвращаемом Заказчику и свидетельствующий о приеме от Заказчика простых и заказных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товых отправлений;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      7.2.2.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Производить обработку, пересылку и доставку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(вручение) почтовых отправлений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Заказчика по назначению;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7.2.3. Уведомлять Заказчика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факсу  или по электронной почте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предоставлением ему списка ф. 104-в о возвращенных на имя Заказчика почтовых отправлениях. Выдавать Заказчику возвращенные на его имя почтовые отправления под роспись по Списку возвр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ащенных почтовых отправлений ф.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104-в;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7.2.4. Осуществлять хранение регистрируемых почтовых отправлений, а также возвращенных на имя Заказчика почтовых отправлений в течение 5-ти рабочих дней с момента уведомления об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том Заказчика - бесплатно, а начиная с 6-го дня - по тарифам, указанным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риложении № 1 к настоящему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являющемся его неотъемлемой частью;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tabs>
          <w:tab w:val="left" w:pos="567" w:leader="none"/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     7.2.5.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Информировать Заказчика об изменении тарифов на прием, обработку и пересылку почтовых отправлений, а также тарифов на дополнительные услуги, которые не регулируются уполномоченным федеральным органом исполнительной власти,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срок не позднее, чем за 5 (пять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рабочих дней до предполагаемой даты ввода тарифов. Информировать Заказчика об изменении тарифов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на услуги почтовой связи, государственное регулирование которых осуществляет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уполномоченный федеральный орган исполнительной власти в течение 5 (пяти) рабочих дней после официального сообщения через средства массовой информации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 официальный сайт 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"http://www.russianpost.ru/rp/servise/ru/home"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56"/>
          <w:rFonts w:ascii="Times New Roman" w:hAnsi="Times New Roman" w:eastAsia="Times New Roman" w:cs="Times New Roman"/>
          <w:sz w:val="24"/>
          <w:szCs w:val="24"/>
        </w:rPr>
        <w:t xml:space="preserve">http://www.russianpost.ru/rp/servise/ru/home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а также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путем направления заказного письма с уведомлением;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tabs>
          <w:tab w:val="left" w:pos="567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7.2.6.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Своевременно сообщать Заказчику об ограничениях по доставке почтовых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правлений;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7.2.7. Ежемесячно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составлять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направлять Заказчику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подп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акт сдачи-приема оказанных услуг (в двух экземплярах)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состоянию на последнее число текущего месяца  и в срок до 15 числа месяца, следующего за отчетным,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8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Почтовы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отправления передаются Исполнителю в рабочие дни Заказчика с 15 часов 00 минут по 16 часов 30 минут путем передачи представителю Исполнителя почтовых отправлений.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8"/>
        <w:ind w:firstLine="709"/>
        <w:jc w:val="both"/>
        <w:spacing w:before="0"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7.2.8. Доставка и вручение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заказной почтовой корреспонденции осуществляется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Исполнителем адресату под роспись в уведомлении о вручении: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88"/>
        <w:ind w:firstLine="709"/>
        <w:jc w:val="both"/>
        <w:spacing w:before="0"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 физическому лицу - по предъявлении документа, удостоверяющего его личность, либо его законному представителю по предъявлении документа, удостоверяющего его личность, и доверенности.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88"/>
        <w:ind w:firstLine="709"/>
        <w:jc w:val="both"/>
        <w:spacing w:before="0"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 юридическому лицу – с указанием должности и фамилии ответственного лица, с проставлением входящего штампа (печати) организации.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88"/>
        <w:ind w:firstLine="709"/>
        <w:jc w:val="both"/>
        <w:spacing w:before="0"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отсутствии адресата  Исполнитель обязан оставить в почтовом абонент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ском ящике извещение для адресата о поступившей в его адрес заказной корреспонденции  (извещение должно содержать разъяснение о возможности самостоятельного получения адресатом корреспонденции по адресу Исполнителя либо путём заказа по телефону повторной 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оставки; адрес и контактные телефоны Исполнителя); в случае неявки адресата за заказным письмом осуществить повторную доставку с указанием в извещении даты и времени выхода. При этом на оболочке почтового отправления проставляется отметка о дате извещений.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88"/>
        <w:ind w:firstLine="709"/>
        <w:jc w:val="both"/>
        <w:spacing w:before="0"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7.2.9. Обеспечивать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сохранность корреспонденции с момента ее получения у Заказчика до момента передачи адресату либо возврата Заказчику (в случае не вручения).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88"/>
        <w:contextualSpacing/>
        <w:ind w:left="0" w:right="0" w:firstLine="709"/>
        <w:jc w:val="both"/>
        <w:spacing w:before="0" w:after="0"/>
        <w:tabs>
          <w:tab w:val="clear" w:pos="708" w:leader="none"/>
          <w:tab w:val="left" w:pos="851" w:leader="none"/>
          <w:tab w:val="left" w:pos="993" w:leader="none"/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</w:t>
      </w:r>
      <w:r>
        <w:rPr>
          <w:rFonts w:ascii="Times New Roman" w:hAnsi="Times New Roman"/>
          <w:bCs/>
          <w:sz w:val="24"/>
          <w:szCs w:val="24"/>
        </w:rPr>
        <w:t xml:space="preserve"> Контракт может быть расторгнут по взаимному соглашению Сторон, по решению суда или в случае одностороннего отказа Стороны от исполнения настоящего Контракта в соответствии с гражданским законодательством в порядке, предусмотренном </w:t>
      </w:r>
      <w:hyperlink r:id="rId9" w:tooltip="consultantplus://offline/ref=C418BD18C89FE1B5D6ACE04F3C799DBBCB51A5D840C203CECA4B7D4C2F2FECCFF9CAAD39CE84ECB4AFCEF69F618B1C95F46A26C2B6B6ABE1m404K" w:history="1">
        <w:r>
          <w:rPr>
            <w:rStyle w:val="823"/>
            <w:rFonts w:ascii="Times New Roman" w:hAnsi="Times New Roman" w:eastAsia="Times New Roman"/>
            <w:color w:val="000000"/>
            <w:sz w:val="24"/>
            <w:szCs w:val="24"/>
            <w:u w:val="none"/>
            <w:lang w:val="ru-RU" w:eastAsia="en-US" w:bidi="ar-SA"/>
          </w:rPr>
          <w:t xml:space="preserve">частями 8</w:t>
        </w:r>
      </w:hyperlink>
      <w:r>
        <w:rPr>
          <w:rFonts w:ascii="Times New Roman" w:hAnsi="Times New Roman"/>
          <w:bCs/>
          <w:sz w:val="24"/>
          <w:szCs w:val="24"/>
        </w:rPr>
        <w:t xml:space="preserve"> - </w:t>
      </w:r>
      <w:hyperlink r:id="rId10" w:tooltip="consultantplus://offline/ref=C418BD18C89FE1B5D6ACE04F3C799DBBCB51A5D840C203CECA4B7D4C2F2FECCFF9CAAD39CE84E8B9ABCEF69F618B1C95F46A26C2B6B6ABE1m404K" w:history="1">
        <w:r>
          <w:rPr>
            <w:rStyle w:val="823"/>
            <w:rFonts w:ascii="Times New Roman" w:hAnsi="Times New Roman" w:eastAsia="Times New Roman"/>
            <w:color w:val="000000"/>
            <w:sz w:val="24"/>
            <w:szCs w:val="24"/>
            <w:u w:val="none"/>
            <w:lang w:val="ru-RU" w:eastAsia="en-US" w:bidi="ar-SA"/>
          </w:rPr>
          <w:t xml:space="preserve">23 статьи 95</w:t>
        </w:r>
      </w:hyperlink>
      <w:r>
        <w:rPr>
          <w:rFonts w:ascii="Times New Roman" w:hAnsi="Times New Roman"/>
          <w:bCs/>
          <w:sz w:val="24"/>
          <w:szCs w:val="24"/>
        </w:rPr>
        <w:t xml:space="preserve">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88"/>
        <w:contextualSpacing/>
        <w:ind w:left="0" w:right="0" w:firstLine="709"/>
        <w:jc w:val="both"/>
        <w:spacing w:before="0" w:after="0"/>
        <w:tabs>
          <w:tab w:val="clear" w:pos="708" w:leader="none"/>
          <w:tab w:val="left" w:pos="851" w:leader="none"/>
          <w:tab w:val="left" w:pos="993" w:leader="none"/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r>
        <w:rPr>
          <w:rFonts w:ascii="Times New Roman" w:hAnsi="Times New Roman"/>
          <w:bCs/>
          <w:sz w:val="24"/>
          <w:szCs w:val="24"/>
        </w:rPr>
        <w:t xml:space="preserve">Изменение условий Контракта при его исполнении не допускается за исключением случаев, предусмотренных </w:t>
      </w:r>
      <w:hyperlink r:id="rId11" w:tooltip="consultantplus://offline/ref=C418BD18C89FE1B5D6ACE04F3C799DBBCB51A5D840C203CECA4B7D4C2F2FECCFF9CAAD39CE84E8BDA2CEF69F618B1C95F46A26C2B6B6ABE1m404K" w:history="1">
        <w:r>
          <w:rPr>
            <w:rStyle w:val="823"/>
            <w:rFonts w:ascii="Times New Roman" w:hAnsi="Times New Roman" w:eastAsia="Times New Roman"/>
            <w:color w:val="000000"/>
            <w:sz w:val="24"/>
            <w:szCs w:val="24"/>
            <w:u w:val="none"/>
            <w:lang w:val="ru-RU" w:eastAsia="en-US" w:bidi="ar-SA"/>
          </w:rPr>
          <w:t xml:space="preserve">статьями 34, 95</w:t>
        </w:r>
      </w:hyperlink>
      <w:r>
        <w:rPr>
          <w:rFonts w:ascii="Times New Roman" w:hAnsi="Times New Roman"/>
          <w:bCs/>
          <w:sz w:val="24"/>
          <w:szCs w:val="24"/>
        </w:rPr>
        <w:t xml:space="preserve">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88"/>
        <w:contextualSpacing/>
        <w:ind w:left="0" w:right="0" w:firstLine="709"/>
        <w:jc w:val="both"/>
        <w:spacing w:before="0" w:after="0"/>
        <w:tabs>
          <w:tab w:val="clear" w:pos="708" w:leader="none"/>
          <w:tab w:val="left" w:pos="851" w:leader="none"/>
          <w:tab w:val="left" w:pos="993" w:leader="none"/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</w:t>
      </w:r>
      <w:r>
        <w:rPr>
          <w:rFonts w:ascii="Times New Roman" w:hAnsi="Times New Roman"/>
          <w:sz w:val="24"/>
          <w:szCs w:val="24"/>
        </w:rPr>
        <w:t xml:space="preserve"> Оплата производится за счет средств федерального бюджета в пределах доведенных лимитов бюджетных обязательств на 2026 год.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88"/>
        <w:contextualSpacing/>
        <w:ind w:left="0" w:right="0" w:firstLine="709"/>
        <w:jc w:val="both"/>
        <w:spacing w:before="0" w:after="0"/>
        <w:tabs>
          <w:tab w:val="clear" w:pos="708" w:leader="none"/>
          <w:tab w:val="left" w:pos="851" w:leader="none"/>
          <w:tab w:val="left" w:pos="993" w:leader="none"/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</w:t>
      </w:r>
      <w:r>
        <w:rPr>
          <w:rFonts w:ascii="Times New Roman" w:hAnsi="Times New Roman"/>
          <w:sz w:val="24"/>
          <w:szCs w:val="24"/>
        </w:rPr>
        <w:t xml:space="preserve"> За неисполнение или ненадлежащее исполнение Контракта Стороны несут ответственность в соответствии с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88"/>
        <w:contextualSpacing/>
        <w:ind w:left="0" w:right="0" w:firstLine="709"/>
        <w:jc w:val="both"/>
        <w:spacing w:before="0" w:after="0"/>
        <w:tabs>
          <w:tab w:val="clear" w:pos="708" w:leader="none"/>
          <w:tab w:val="left" w:pos="851" w:leader="none"/>
          <w:tab w:val="left" w:pos="993" w:leader="none"/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12.</w:t>
      </w:r>
      <w:r>
        <w:rPr>
          <w:rFonts w:ascii="Times New Roman" w:hAnsi="Times New Roman"/>
          <w:sz w:val="24"/>
          <w:szCs w:val="24"/>
        </w:rPr>
        <w:t xml:space="preserve"> В случае просрочки исполнения Исполнителем обязательств, предусмотренных Контрактом</w:t>
      </w:r>
      <w:r>
        <w:rPr>
          <w:rFonts w:ascii="Times New Roman" w:hAnsi="Times New Roman"/>
          <w:sz w:val="24"/>
          <w:szCs w:val="24"/>
        </w:rPr>
        <w:t xml:space="preserve">, Исполнитель уплачивает Заказчику пени.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0"/>
        <w:contextualSpacing/>
        <w:ind w:left="0" w:right="0" w:firstLine="709"/>
        <w:jc w:val="both"/>
        <w:spacing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Размер пени со</w:t>
      </w:r>
      <w:r>
        <w:rPr>
          <w:sz w:val="24"/>
          <w:szCs w:val="24"/>
        </w:rPr>
        <w:t xml:space="preserve">ставляет одна трехсотая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88"/>
        <w:contextualSpacing/>
        <w:ind w:left="0" w:right="0" w:firstLine="709"/>
        <w:jc w:val="both"/>
        <w:spacing w:before="0" w:after="0"/>
        <w:tabs>
          <w:tab w:val="clear" w:pos="708" w:leader="none"/>
          <w:tab w:val="left" w:pos="851" w:leader="none"/>
          <w:tab w:val="left" w:pos="993" w:leader="none"/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13. </w:t>
      </w:r>
      <w:r>
        <w:rPr>
          <w:rFonts w:ascii="Times New Roman" w:hAnsi="Times New Roman"/>
          <w:sz w:val="24"/>
          <w:szCs w:val="24"/>
        </w:rPr>
        <w:t xml:space="preserve">В случае просрочки исполнения Заказчиком обязательств, предусмотренных Контрактом, Исполнитель вправе потребовать уплату пени в размере одной трехсотой действующей на дату уплаты пеней ключевой ставки ЦБ</w:t>
      </w:r>
      <w:r>
        <w:rPr>
          <w:rFonts w:ascii="Times New Roman" w:hAnsi="Times New Roman"/>
          <w:sz w:val="24"/>
          <w:szCs w:val="24"/>
        </w:rPr>
        <w:t xml:space="preserve"> Российской Федерации от не уплаченной в срок суммы.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88"/>
        <w:contextualSpacing/>
        <w:ind w:left="0" w:right="0" w:firstLine="709"/>
        <w:jc w:val="both"/>
        <w:spacing w:before="0" w:after="0"/>
        <w:tabs>
          <w:tab w:val="clear" w:pos="708" w:leader="none"/>
          <w:tab w:val="left" w:pos="851" w:leader="none"/>
          <w:tab w:val="left" w:pos="993" w:leader="none"/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14. </w:t>
      </w:r>
      <w:r>
        <w:rPr>
          <w:rFonts w:ascii="Times New Roman" w:hAnsi="Times New Roman"/>
          <w:sz w:val="24"/>
          <w:szCs w:val="24"/>
        </w:rPr>
        <w:t xml:space="preserve">Применение неустойки (штрафа, пени) не освобождает Стороны от исполнения обязательств по Контракту.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b/>
          <w:u w:val="single"/>
        </w:rPr>
      </w:r>
      <w:bookmarkStart w:id="19" w:name="__DdeLink__3121_3886059807"/>
      <w:r/>
      <w:bookmarkEnd w:id="19"/>
      <w:r>
        <w:rPr>
          <w:b/>
          <w:u w:val="single"/>
        </w:rPr>
      </w:r>
      <w:r>
        <w:rPr>
          <w:b/>
          <w:u w:val="singl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567" w:bottom="567" w:left="1418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8" w:default="1">
    <w:name w:val="Normal"/>
    <w:qFormat/>
    <w:pPr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color w:val="auto"/>
      <w:sz w:val="20"/>
      <w:szCs w:val="20"/>
      <w:lang w:val="ru-RU" w:eastAsia="zh-CN" w:bidi="ar-SA"/>
    </w:rPr>
  </w:style>
  <w:style w:type="paragraph" w:styleId="789">
    <w:name w:val="Heading 1"/>
    <w:basedOn w:val="7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0">
    <w:name w:val="Heading 2"/>
    <w:basedOn w:val="7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1">
    <w:name w:val="Heading 3"/>
    <w:basedOn w:val="7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2">
    <w:name w:val="Heading 4"/>
    <w:basedOn w:val="7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3">
    <w:name w:val="Heading 5"/>
    <w:basedOn w:val="7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4">
    <w:name w:val="Heading 6"/>
    <w:basedOn w:val="7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5">
    <w:name w:val="Heading 7"/>
    <w:basedOn w:val="7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6">
    <w:name w:val="Heading 8"/>
    <w:basedOn w:val="7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7">
    <w:name w:val="Heading 9"/>
    <w:basedOn w:val="7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8">
    <w:name w:val="Heading 1 Char"/>
    <w:basedOn w:val="820"/>
    <w:uiPriority w:val="9"/>
    <w:qFormat/>
    <w:rPr>
      <w:rFonts w:ascii="Arial" w:hAnsi="Arial" w:eastAsia="Arial" w:cs="Arial"/>
      <w:sz w:val="40"/>
      <w:szCs w:val="40"/>
    </w:rPr>
  </w:style>
  <w:style w:type="character" w:styleId="799">
    <w:name w:val="Heading 2 Char"/>
    <w:basedOn w:val="820"/>
    <w:uiPriority w:val="9"/>
    <w:qFormat/>
    <w:rPr>
      <w:rFonts w:ascii="Arial" w:hAnsi="Arial" w:eastAsia="Arial" w:cs="Arial"/>
      <w:sz w:val="34"/>
    </w:rPr>
  </w:style>
  <w:style w:type="character" w:styleId="800">
    <w:name w:val="Heading 3 Char"/>
    <w:basedOn w:val="820"/>
    <w:uiPriority w:val="9"/>
    <w:qFormat/>
    <w:rPr>
      <w:rFonts w:ascii="Arial" w:hAnsi="Arial" w:eastAsia="Arial" w:cs="Arial"/>
      <w:sz w:val="30"/>
      <w:szCs w:val="30"/>
    </w:rPr>
  </w:style>
  <w:style w:type="character" w:styleId="801">
    <w:name w:val="Heading 4 Char"/>
    <w:basedOn w:val="82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02">
    <w:name w:val="Heading 5 Char"/>
    <w:basedOn w:val="8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03">
    <w:name w:val="Heading 6 Char"/>
    <w:basedOn w:val="82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04">
    <w:name w:val="Heading 7 Char"/>
    <w:basedOn w:val="82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5">
    <w:name w:val="Heading 8 Char"/>
    <w:basedOn w:val="82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6">
    <w:name w:val="Heading 9 Char"/>
    <w:basedOn w:val="82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7">
    <w:name w:val="Title Char"/>
    <w:basedOn w:val="820"/>
    <w:uiPriority w:val="10"/>
    <w:qFormat/>
    <w:rPr>
      <w:sz w:val="48"/>
      <w:szCs w:val="48"/>
    </w:rPr>
  </w:style>
  <w:style w:type="character" w:styleId="808">
    <w:name w:val="Subtitle Char"/>
    <w:basedOn w:val="820"/>
    <w:uiPriority w:val="11"/>
    <w:qFormat/>
    <w:rPr>
      <w:sz w:val="24"/>
      <w:szCs w:val="24"/>
    </w:rPr>
  </w:style>
  <w:style w:type="character" w:styleId="809">
    <w:name w:val="Quote Char"/>
    <w:uiPriority w:val="29"/>
    <w:qFormat/>
    <w:rPr>
      <w:i/>
    </w:rPr>
  </w:style>
  <w:style w:type="character" w:styleId="810">
    <w:name w:val="Intense Quote Char"/>
    <w:uiPriority w:val="30"/>
    <w:qFormat/>
    <w:rPr>
      <w:i/>
    </w:rPr>
  </w:style>
  <w:style w:type="character" w:styleId="811">
    <w:name w:val="Header Char"/>
    <w:basedOn w:val="820"/>
    <w:uiPriority w:val="99"/>
    <w:qFormat/>
  </w:style>
  <w:style w:type="character" w:styleId="812">
    <w:name w:val="Footer Char"/>
    <w:basedOn w:val="820"/>
    <w:uiPriority w:val="99"/>
    <w:qFormat/>
  </w:style>
  <w:style w:type="character" w:styleId="813">
    <w:name w:val="Caption Char"/>
    <w:uiPriority w:val="99"/>
    <w:qFormat/>
  </w:style>
  <w:style w:type="character" w:styleId="814">
    <w:name w:val="Footnote Text Char"/>
    <w:uiPriority w:val="99"/>
    <w:qFormat/>
    <w:rPr>
      <w:sz w:val="18"/>
    </w:rPr>
  </w:style>
  <w:style w:type="character" w:styleId="815">
    <w:name w:val="Символ сноски"/>
    <w:uiPriority w:val="99"/>
    <w:unhideWhenUsed/>
    <w:qFormat/>
    <w:rPr>
      <w:vertAlign w:val="superscript"/>
    </w:rPr>
  </w:style>
  <w:style w:type="character" w:styleId="816">
    <w:name w:val="footnote reference"/>
    <w:rPr>
      <w:vertAlign w:val="superscript"/>
    </w:rPr>
  </w:style>
  <w:style w:type="character" w:styleId="817">
    <w:name w:val="Endnote Text Char"/>
    <w:uiPriority w:val="99"/>
    <w:qFormat/>
    <w:rPr>
      <w:sz w:val="20"/>
    </w:rPr>
  </w:style>
  <w:style w:type="character" w:styleId="81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9">
    <w:name w:val="endnote reference"/>
    <w:rPr>
      <w:vertAlign w:val="superscript"/>
    </w:rPr>
  </w:style>
  <w:style w:type="character" w:styleId="820" w:default="1">
    <w:name w:val="Default Paragraph Font"/>
    <w:uiPriority w:val="1"/>
    <w:semiHidden/>
    <w:unhideWhenUsed/>
    <w:qFormat/>
  </w:style>
  <w:style w:type="character" w:styleId="821" w:customStyle="1">
    <w:name w:val="Без интервала Знак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22" w:customStyle="1">
    <w:name w:val="Абзац списка Знак"/>
    <w:qFormat/>
    <w:rPr>
      <w:rFonts w:ascii="Times New Roman" w:hAnsi="Times New Roman" w:eastAsia="Times New Roman" w:cs="Times New Roman"/>
      <w:color w:val="000000"/>
      <w:szCs w:val="20"/>
      <w:lang w:eastAsia="ru-RU"/>
    </w:rPr>
  </w:style>
  <w:style w:type="character" w:styleId="823">
    <w:name w:val="Hyperlink"/>
    <w:basedOn w:val="820"/>
    <w:uiPriority w:val="99"/>
    <w:unhideWhenUsed/>
    <w:rPr>
      <w:color w:val="0000ff" w:themeColor="hyperlink"/>
      <w:u w:val="single"/>
    </w:rPr>
  </w:style>
  <w:style w:type="paragraph" w:styleId="824">
    <w:name w:val="Заголовок"/>
    <w:basedOn w:val="788"/>
    <w:next w:val="825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25">
    <w:name w:val="Body Text"/>
    <w:basedOn w:val="788"/>
    <w:pPr>
      <w:spacing w:before="0" w:after="140" w:line="276" w:lineRule="auto"/>
    </w:pPr>
  </w:style>
  <w:style w:type="paragraph" w:styleId="826">
    <w:name w:val="List"/>
    <w:basedOn w:val="825"/>
    <w:rPr>
      <w:rFonts w:ascii="PT Astra Serif" w:hAnsi="PT Astra Serif" w:cs="Noto Sans Devanagari"/>
    </w:rPr>
  </w:style>
  <w:style w:type="paragraph" w:styleId="827">
    <w:name w:val="Caption"/>
    <w:basedOn w:val="7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28">
    <w:name w:val="Указатель"/>
    <w:basedOn w:val="788"/>
    <w:qFormat/>
    <w:pPr>
      <w:suppressLineNumbers/>
    </w:pPr>
    <w:rPr>
      <w:rFonts w:ascii="PT Astra Serif" w:hAnsi="PT Astra Serif" w:cs="Noto Sans Devanagari"/>
    </w:rPr>
  </w:style>
  <w:style w:type="paragraph" w:styleId="829">
    <w:name w:val="Title"/>
    <w:basedOn w:val="78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30">
    <w:name w:val="Subtitle"/>
    <w:basedOn w:val="788"/>
    <w:uiPriority w:val="11"/>
    <w:qFormat/>
    <w:pPr>
      <w:spacing w:before="200" w:after="200"/>
    </w:pPr>
    <w:rPr>
      <w:sz w:val="24"/>
      <w:szCs w:val="24"/>
    </w:rPr>
  </w:style>
  <w:style w:type="paragraph" w:styleId="831">
    <w:name w:val="Quote"/>
    <w:basedOn w:val="788"/>
    <w:uiPriority w:val="29"/>
    <w:qFormat/>
    <w:pPr>
      <w:ind w:left="720" w:right="720" w:firstLine="0"/>
    </w:pPr>
    <w:rPr>
      <w:i/>
    </w:rPr>
  </w:style>
  <w:style w:type="paragraph" w:styleId="832">
    <w:name w:val="Intense Quote"/>
    <w:basedOn w:val="788"/>
    <w:uiPriority w:val="30"/>
    <w:qFormat/>
    <w:pPr>
      <w:ind w:left="720" w:right="720" w:firstLine="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33">
    <w:name w:val="Колонтитул"/>
    <w:basedOn w:val="788"/>
    <w:qFormat/>
  </w:style>
  <w:style w:type="paragraph" w:styleId="834">
    <w:name w:val="Header"/>
    <w:basedOn w:val="78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35">
    <w:name w:val="Footer"/>
    <w:basedOn w:val="78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36">
    <w:name w:val="footnote text"/>
    <w:basedOn w:val="78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37">
    <w:name w:val="endnote text"/>
    <w:basedOn w:val="78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38">
    <w:name w:val="toc 1"/>
    <w:basedOn w:val="788"/>
    <w:uiPriority w:val="39"/>
    <w:unhideWhenUsed/>
    <w:pPr>
      <w:ind w:left="0" w:right="0" w:firstLine="0"/>
      <w:spacing w:before="0" w:after="57"/>
    </w:pPr>
  </w:style>
  <w:style w:type="paragraph" w:styleId="839">
    <w:name w:val="toc 2"/>
    <w:basedOn w:val="788"/>
    <w:uiPriority w:val="39"/>
    <w:unhideWhenUsed/>
    <w:pPr>
      <w:ind w:left="283" w:right="0" w:firstLine="0"/>
      <w:spacing w:before="0" w:after="57"/>
    </w:pPr>
  </w:style>
  <w:style w:type="paragraph" w:styleId="840">
    <w:name w:val="toc 3"/>
    <w:basedOn w:val="788"/>
    <w:uiPriority w:val="39"/>
    <w:unhideWhenUsed/>
    <w:pPr>
      <w:ind w:left="567" w:right="0" w:firstLine="0"/>
      <w:spacing w:before="0" w:after="57"/>
    </w:pPr>
  </w:style>
  <w:style w:type="paragraph" w:styleId="841">
    <w:name w:val="toc 4"/>
    <w:basedOn w:val="788"/>
    <w:uiPriority w:val="39"/>
    <w:unhideWhenUsed/>
    <w:pPr>
      <w:ind w:left="850" w:right="0" w:firstLine="0"/>
      <w:spacing w:before="0" w:after="57"/>
    </w:pPr>
  </w:style>
  <w:style w:type="paragraph" w:styleId="842">
    <w:name w:val="toc 5"/>
    <w:basedOn w:val="788"/>
    <w:uiPriority w:val="39"/>
    <w:unhideWhenUsed/>
    <w:pPr>
      <w:ind w:left="1134" w:right="0" w:firstLine="0"/>
      <w:spacing w:before="0" w:after="57"/>
    </w:pPr>
  </w:style>
  <w:style w:type="paragraph" w:styleId="843">
    <w:name w:val="toc 6"/>
    <w:basedOn w:val="788"/>
    <w:uiPriority w:val="39"/>
    <w:unhideWhenUsed/>
    <w:pPr>
      <w:ind w:left="1417" w:right="0" w:firstLine="0"/>
      <w:spacing w:before="0" w:after="57"/>
    </w:pPr>
  </w:style>
  <w:style w:type="paragraph" w:styleId="844">
    <w:name w:val="toc 7"/>
    <w:basedOn w:val="788"/>
    <w:uiPriority w:val="39"/>
    <w:unhideWhenUsed/>
    <w:pPr>
      <w:ind w:left="1701" w:right="0" w:firstLine="0"/>
      <w:spacing w:before="0" w:after="57"/>
    </w:pPr>
  </w:style>
  <w:style w:type="paragraph" w:styleId="845">
    <w:name w:val="toc 8"/>
    <w:basedOn w:val="788"/>
    <w:uiPriority w:val="39"/>
    <w:unhideWhenUsed/>
    <w:pPr>
      <w:ind w:left="1984" w:right="0" w:firstLine="0"/>
      <w:spacing w:before="0" w:after="57"/>
    </w:pPr>
  </w:style>
  <w:style w:type="paragraph" w:styleId="846">
    <w:name w:val="toc 9"/>
    <w:basedOn w:val="788"/>
    <w:uiPriority w:val="39"/>
    <w:unhideWhenUsed/>
    <w:pPr>
      <w:ind w:left="2268" w:right="0" w:firstLine="0"/>
      <w:spacing w:before="0" w:after="57"/>
    </w:pPr>
  </w:style>
  <w:style w:type="paragraph" w:styleId="847">
    <w:name w:val="Index Heading"/>
    <w:basedOn w:val="824"/>
  </w:style>
  <w:style w:type="paragraph" w:styleId="848">
    <w:name w:val="TOC Heading"/>
    <w:uiPriority w:val="39"/>
    <w:unhideWhenUsed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9">
    <w:name w:val="table of figures"/>
    <w:basedOn w:val="788"/>
    <w:uiPriority w:val="99"/>
    <w:unhideWhenUsed/>
    <w:qFormat/>
    <w:pPr>
      <w:spacing w:before="0" w:after="0" w:afterAutospacing="0"/>
    </w:pPr>
  </w:style>
  <w:style w:type="paragraph" w:styleId="850">
    <w:name w:val="List Paragraph"/>
    <w:basedOn w:val="788"/>
    <w:qFormat/>
    <w:pPr>
      <w:ind w:left="720" w:firstLine="0"/>
      <w:jc w:val="both"/>
      <w:widowControl/>
    </w:pPr>
    <w:rPr>
      <w:rFonts w:ascii="Times New Roman" w:hAnsi="Times New Roman" w:cs="Times New Roman"/>
      <w:color w:val="000000"/>
      <w:sz w:val="22"/>
      <w:lang w:eastAsia="ru-RU"/>
    </w:rPr>
  </w:style>
  <w:style w:type="paragraph" w:styleId="851">
    <w:name w:val="No Spacing"/>
    <w:uiPriority w:val="99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852">
    <w:name w:val="Содержимое таблицы"/>
    <w:basedOn w:val="788"/>
    <w:qFormat/>
    <w:pPr>
      <w:widowControl w:val="off"/>
      <w:suppressLineNumbers/>
    </w:pPr>
  </w:style>
  <w:style w:type="paragraph" w:styleId="853">
    <w:name w:val="Заголовок таблицы"/>
    <w:basedOn w:val="852"/>
    <w:qFormat/>
    <w:pPr>
      <w:jc w:val="center"/>
      <w:suppressLineNumbers/>
    </w:pPr>
    <w:rPr>
      <w:b/>
      <w:bCs/>
    </w:rPr>
  </w:style>
  <w:style w:type="numbering" w:styleId="854" w:default="1">
    <w:name w:val="No List"/>
    <w:uiPriority w:val="99"/>
    <w:semiHidden/>
    <w:unhideWhenUsed/>
    <w:qFormat/>
  </w:style>
  <w:style w:type="table" w:styleId="855" w:default="1">
    <w:name w:val="Normal Table"/>
    <w:uiPriority w:val="99"/>
    <w:semiHidden/>
    <w:unhideWhenUsed/>
    <w:tblPr/>
  </w:style>
  <w:style w:type="character" w:styleId="856" w:customStyle="1">
    <w:name w:val="Гиперссылка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C418BD18C89FE1B5D6ACE04F3C799DBBCB51A5D840C203CECA4B7D4C2F2FECCFF9CAAD39CE84ECB4AFCEF69F618B1C95F46A26C2B6B6ABE1m404K" TargetMode="External"/><Relationship Id="rId10" Type="http://schemas.openxmlformats.org/officeDocument/2006/relationships/hyperlink" Target="consultantplus://offline/ref=C418BD18C89FE1B5D6ACE04F3C799DBBCB51A5D840C203CECA4B7D4C2F2FECCFF9CAAD39CE84E8B9ABCEF69F618B1C95F46A26C2B6B6ABE1m404K" TargetMode="External"/><Relationship Id="rId11" Type="http://schemas.openxmlformats.org/officeDocument/2006/relationships/hyperlink" Target="consultantplus://offline/ref=C418BD18C89FE1B5D6ACE04F3C799DBBCB51A5D840C203CECA4B7D4C2F2FECCFF9CAAD39CE84E8BDA2CEF69F618B1C95F46A26C2B6B6ABE1m404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НиколаеваМС</dc:creator>
  <dc:description/>
  <dc:language>ru-RU</dc:language>
  <cp:revision>54</cp:revision>
  <dcterms:created xsi:type="dcterms:W3CDTF">2023-04-24T10:17:00Z</dcterms:created>
  <dcterms:modified xsi:type="dcterms:W3CDTF">2026-06-26T10:51:44Z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