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Docdata"/>
        <w:spacing w:lineRule="auto" w:line="271" w:beforeAutospacing="0" w:before="0" w:afterAutospacing="0" w:after="0"/>
        <w:jc w:val="both"/>
        <w:rPr>
          <w:b/>
          <w:b/>
          <w:bCs/>
          <w:color w:val="000000"/>
          <w:sz w:val="20"/>
          <w:szCs w:val="20"/>
          <w:shd w:fill="00FFFF" w:val="clear"/>
        </w:rPr>
      </w:pPr>
      <w:r>
        <w:rPr>
          <w:b/>
          <w:bCs/>
          <w:color w:val="000000"/>
          <w:sz w:val="20"/>
          <w:szCs w:val="20"/>
          <w:shd w:fill="00FFFF" w:val="clear"/>
        </w:rPr>
      </w:r>
    </w:p>
    <w:p>
      <w:pPr>
        <w:pStyle w:val="NormalWeb"/>
        <w:spacing w:lineRule="auto" w:line="271" w:beforeAutospacing="0" w:before="0" w:afterAutospacing="0" w:after="0"/>
        <w:jc w:val="right"/>
        <w:rPr/>
      </w:pPr>
      <w:r>
        <w:rPr>
          <w:b/>
          <w:bCs/>
          <w:color w:val="000000"/>
          <w:sz w:val="20"/>
          <w:szCs w:val="20"/>
        </w:rPr>
        <w:t xml:space="preserve">Приложение №1 </w:t>
      </w:r>
    </w:p>
    <w:p>
      <w:pPr>
        <w:pStyle w:val="NormalWeb"/>
        <w:spacing w:lineRule="auto" w:line="271" w:beforeAutospacing="0" w:before="0" w:afterAutospacing="0" w:after="0"/>
        <w:jc w:val="right"/>
        <w:rPr/>
      </w:pPr>
      <w:r>
        <w:rPr/>
        <w:t> </w:t>
      </w:r>
    </w:p>
    <w:p>
      <w:pPr>
        <w:pStyle w:val="NormalWeb"/>
        <w:spacing w:lineRule="auto" w:line="271" w:beforeAutospacing="0" w:before="0" w:afterAutospacing="0" w:after="0"/>
        <w:jc w:val="center"/>
        <w:rPr/>
      </w:pPr>
      <w:r>
        <w:rPr>
          <w:b/>
          <w:bCs/>
          <w:color w:val="000000"/>
        </w:rPr>
        <w:t>ТЕХНИЧЕСКОЕ ЗАДАНИЕ (СПЕЦИФИКАЦИЯ)</w:t>
      </w:r>
    </w:p>
    <w:p>
      <w:pPr>
        <w:pStyle w:val="NormalWeb"/>
        <w:spacing w:beforeAutospacing="0" w:before="0" w:afterAutospacing="0" w:after="0"/>
        <w:jc w:val="center"/>
        <w:rPr/>
      </w:pPr>
      <w:r>
        <w:rPr/>
        <w:t> </w:t>
      </w:r>
    </w:p>
    <w:p>
      <w:pPr>
        <w:pStyle w:val="NormalWeb"/>
        <w:spacing w:beforeAutospacing="0" w:before="0" w:afterAutospacing="0" w:after="0"/>
        <w:jc w:val="center"/>
        <w:rPr/>
      </w:pPr>
      <w:r>
        <w:rPr>
          <w:b/>
          <w:bCs/>
          <w:color w:val="000000"/>
        </w:rPr>
        <w:t>Функциональные возможности программного обеспечения </w:t>
      </w:r>
      <w:r>
        <w:rPr>
          <w:b/>
          <w:bCs/>
          <w:i/>
          <w:iCs/>
          <w:color w:val="000000"/>
        </w:rPr>
        <w:t>«Эконом Эксперт. Онлайн»</w:t>
      </w:r>
    </w:p>
    <w:p>
      <w:pPr>
        <w:pStyle w:val="NormalWeb"/>
        <w:spacing w:beforeAutospacing="0" w:before="0" w:afterAutospacing="0" w:after="0"/>
        <w:jc w:val="center"/>
        <w:rPr/>
      </w:pPr>
      <w:r>
        <w:rPr/>
        <w:t> </w:t>
      </w:r>
    </w:p>
    <w:p>
      <w:pPr>
        <w:pStyle w:val="NormalWeb"/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Программное обеспечение представляет собой веб-сервис, доступ к которому осуществляется с использованием сети интернет. Программное обеспечение должно включать в себя следующие возможности:</w:t>
        <w:br/>
        <w:t> </w:t>
      </w:r>
    </w:p>
    <w:p>
      <w:pPr>
        <w:pStyle w:val="NormalWeb"/>
        <w:spacing w:lineRule="auto" w:line="271" w:beforeAutospacing="0" w:before="0" w:afterAutospacing="0" w:after="0"/>
        <w:jc w:val="both"/>
        <w:rPr/>
      </w:pPr>
      <w:r>
        <w:rPr>
          <w:b/>
          <w:bCs/>
          <w:color w:val="000000"/>
          <w:sz w:val="20"/>
          <w:szCs w:val="20"/>
        </w:rPr>
        <w:t>1. Программный классификатор ОКПД2 и КТРУ со следующими возможностями:</w:t>
      </w:r>
    </w:p>
    <w:p>
      <w:pPr>
        <w:pStyle w:val="NormalWeb"/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1.1. Иерархический вид справочника, с возможностью раскрытия и закрытия ветвей иерархии;</w:t>
      </w:r>
    </w:p>
    <w:p>
      <w:pPr>
        <w:pStyle w:val="NormalWeb"/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1.2. Поиск кодов ОКПД 2 и КТРУ по составным частям наименования или кода, поиск по НКМИ;</w:t>
      </w:r>
    </w:p>
    <w:p>
      <w:pPr>
        <w:pStyle w:val="NormalWeb"/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1.3. Поиск кодов ОКПД 2 и КТРУ в соответствии с частотой упоминания данного кода среди закупок, размещенных на официальном сайте единой информационной системы в сфере закупок (далее – ЕИС);</w:t>
      </w:r>
    </w:p>
    <w:p>
      <w:pPr>
        <w:pStyle w:val="NormalWeb"/>
        <w:spacing w:beforeAutospacing="0" w:before="0" w:afterAutospacing="0" w:after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1.4. Вывод информации об актуальности кода ОКПД 2 / КТРУ (актуален/исключен). </w:t>
      </w:r>
    </w:p>
    <w:p>
      <w:pPr>
        <w:pStyle w:val="NormalWeb"/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1.5. Вывод рекомендуемого метода расчета НМЦК с переходом к расчету;</w:t>
      </w:r>
    </w:p>
    <w:p>
      <w:pPr>
        <w:pStyle w:val="NormalWeb"/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1.6. Поиск позиций КТРУ, связанных с кодом ОКПД2, вывод похожих позиций КТРУ;</w:t>
      </w:r>
    </w:p>
    <w:p>
      <w:pPr>
        <w:pStyle w:val="NormalWeb"/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 xml:space="preserve">1.7. Поиск  позиций КТРУ по характеристикам ТРУ (обязательным, необязательным); </w:t>
      </w:r>
    </w:p>
    <w:p>
      <w:pPr>
        <w:pStyle w:val="NormalWeb"/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1.8. Отображение даты начала обязательного применения  позиции КТРУ;</w:t>
      </w:r>
    </w:p>
    <w:p>
      <w:pPr>
        <w:pStyle w:val="NormalWeb"/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1.9. Для выбранной позиции КТРУ отображение кода ОКПД 2, от которого образована данная позиция КТРУ, а также кодов ОКПД 2 из справочной информации КТРУ;</w:t>
      </w:r>
    </w:p>
    <w:p>
      <w:pPr>
        <w:pStyle w:val="NormalWeb"/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1.10. Для выбранной позиции КТРУ отображение кода вида НКМИ (если позиция КТРУ содержит данную информацию);</w:t>
      </w:r>
    </w:p>
    <w:p>
      <w:pPr>
        <w:pStyle w:val="NormalWeb"/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1.11. Для выбранной позиции КТРУ по медицинским изделиям вывод номеров регистрационных удостоверений на медизделия из государственного реестра медицинских изделий в соответствии с НКМИ;</w:t>
      </w:r>
    </w:p>
    <w:p>
      <w:pPr>
        <w:pStyle w:val="NormalWeb"/>
        <w:spacing w:beforeAutospacing="0" w:before="0" w:afterAutospacing="0" w:after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1.12. Для выбранной позиции КТРУ вывод проверки на допустимость указания дополнительных характеристик;</w:t>
      </w:r>
    </w:p>
    <w:p>
      <w:pPr>
        <w:pStyle w:val="NormalWeb"/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1.13. Отображение характеристик, содержащихся в позиции КТРУ (обязательные, необязательные), их значений и описания в соответствии с данными КТРУ ЕИС;</w:t>
      </w:r>
    </w:p>
    <w:p>
      <w:pPr>
        <w:pStyle w:val="NormalWeb"/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1.14. Проверка кодов ОКПД 2 (для КТРУ проверка проводится с учетом кодов ОКПД 2 из справочной информации КТРУ) на наличие в следующих нормативных  правовых актах (с учётом всех последних редакций):</w:t>
      </w:r>
    </w:p>
    <w:p>
      <w:pPr>
        <w:pStyle w:val="NormalWeb"/>
        <w:spacing w:beforeAutospacing="0" w:before="0" w:afterAutospacing="0" w:after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1.14.1. Постановление Правительства РФ № 1875 от 23 декабря 2024 г. (с определением защитной меры (запрет, ограничение, преимущество), применимой для закупаемого товара); </w:t>
      </w:r>
    </w:p>
    <w:p>
      <w:pPr>
        <w:pStyle w:val="NormalWeb"/>
        <w:spacing w:beforeAutospacing="0" w:before="0" w:afterAutospacing="0" w:after="0"/>
        <w:jc w:val="both"/>
        <w:rPr>
          <w:color w:val="262626"/>
          <w:sz w:val="20"/>
          <w:szCs w:val="20"/>
        </w:rPr>
      </w:pPr>
      <w:r>
        <w:rPr>
          <w:color w:val="000000"/>
          <w:sz w:val="20"/>
          <w:szCs w:val="20"/>
        </w:rPr>
        <w:t xml:space="preserve">1.14.2. Постановление Правительства РФ № 1221 от 31 декабря 2009 </w:t>
      </w:r>
      <w:r>
        <w:rPr>
          <w:color w:val="262626"/>
          <w:sz w:val="20"/>
          <w:szCs w:val="20"/>
        </w:rPr>
        <w:t>г.;</w:t>
      </w:r>
    </w:p>
    <w:p>
      <w:pPr>
        <w:pStyle w:val="NormalWeb"/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 xml:space="preserve">1.14.3. Постановление Правительства РФ № 1292 от 26 декабря 2013 </w:t>
      </w:r>
      <w:r>
        <w:rPr>
          <w:color w:val="262626"/>
          <w:sz w:val="20"/>
          <w:szCs w:val="20"/>
        </w:rPr>
        <w:t>г.;</w:t>
      </w:r>
    </w:p>
    <w:p>
      <w:pPr>
        <w:pStyle w:val="NormalWeb"/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1.14.4. Постановление Правительства РФ № 2571 от 29 декабря 2021</w:t>
      </w:r>
    </w:p>
    <w:p>
      <w:pPr>
        <w:pStyle w:val="NormalWeb"/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1.14.5. Постановление Правительства РФ № 927 от 2 сентября 2015 г.;</w:t>
      </w:r>
    </w:p>
    <w:p>
      <w:pPr>
        <w:pStyle w:val="NormalWeb"/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1.14.6. Постановление Правительства РФ № 1224 от 8 июля 2022 г.;</w:t>
      </w:r>
    </w:p>
    <w:p>
      <w:pPr>
        <w:pStyle w:val="NormalWeb"/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1.14.7. Постановление Правительства РФ № 2411 от 24 декабря 2022 г.;</w:t>
      </w:r>
    </w:p>
    <w:p>
      <w:pPr>
        <w:pStyle w:val="NormalWeb"/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1.14.8. Постановление Правительства РФ N 688 от 15 сентября 2008 г.;</w:t>
      </w:r>
    </w:p>
    <w:p>
      <w:pPr>
        <w:pStyle w:val="NormalWeb"/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1.14.9. Постановление Правительства РФ N 10 от 12 января 2023 г.;</w:t>
      </w:r>
    </w:p>
    <w:p>
      <w:pPr>
        <w:pStyle w:val="NormalWeb"/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1.14.10. Постановление Правительства РФ N 1110 от 1 июля 2021 г.;</w:t>
      </w:r>
    </w:p>
    <w:p>
      <w:pPr>
        <w:pStyle w:val="NormalWeb"/>
        <w:spacing w:beforeAutospacing="0" w:before="0" w:afterAutospacing="0" w:after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1.14.11. Постановление Правительства РФ N 1042 от 30 сентября 2015 г.;</w:t>
      </w:r>
    </w:p>
    <w:p>
      <w:pPr>
        <w:pStyle w:val="NormalWeb"/>
        <w:spacing w:beforeAutospacing="0" w:before="0" w:afterAutospacing="0" w:after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1.14.12. Постановление Правительства РФ от 31 декабря 2009 г. N 1222;</w:t>
      </w:r>
    </w:p>
    <w:p>
      <w:pPr>
        <w:pStyle w:val="NormalWeb"/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1.14.13. Распоряжение Правительства РФ № 21-р от 16 января 2018 г.;</w:t>
      </w:r>
    </w:p>
    <w:p>
      <w:pPr>
        <w:pStyle w:val="NormalWeb"/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1.14.14. Распоряжение Правительства РФ № 471-р от 21 марта 2016 г.;</w:t>
      </w:r>
    </w:p>
    <w:p>
      <w:pPr>
        <w:pStyle w:val="NormalWeb"/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1.14.15. Распоряжение Правительства РФ № 3500-р от 8 декабря 2021 г.;</w:t>
      </w:r>
    </w:p>
    <w:p>
      <w:pPr>
        <w:pStyle w:val="NormalWeb"/>
        <w:spacing w:beforeAutospacing="0" w:before="0" w:afterAutospacing="0" w:after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1.14.16. Распоряжение Правительства РФ от 17 января 2024 г. N 40-р</w:t>
      </w:r>
    </w:p>
    <w:p>
      <w:pPr>
        <w:pStyle w:val="NormalWeb"/>
        <w:spacing w:beforeAutospacing="0" w:before="0" w:afterAutospacing="0" w:after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1.14.17. Распоряжение Правительства Российской Федерации от 29 марта 2024 г. N 744-р</w:t>
      </w:r>
    </w:p>
    <w:p>
      <w:pPr>
        <w:pStyle w:val="NormalWeb"/>
        <w:spacing w:beforeAutospacing="0" w:before="0" w:afterAutospacing="0" w:after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1.14.18. Распоряжение Правительства РФ от 28 апреля 2018 г. N 792-р</w:t>
      </w:r>
    </w:p>
    <w:p>
      <w:pPr>
        <w:pStyle w:val="NormalWeb"/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1.15. Определение наличия кода ОКПД2 в Библиотеке типовых контрактов ЕИС с возможностью перехода в контракт на ЕИС;</w:t>
      </w:r>
    </w:p>
    <w:p>
      <w:pPr>
        <w:pStyle w:val="NormalWeb"/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 xml:space="preserve">1.16. Для кодов ОКПД2 вывод кодов ТН ВЭД ЕАЭС; </w:t>
      </w:r>
    </w:p>
    <w:p>
      <w:pPr>
        <w:pStyle w:val="NormalWeb"/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1.17. Рекомендации по применению/не применению НПА;</w:t>
      </w:r>
    </w:p>
    <w:p>
      <w:pPr>
        <w:pStyle w:val="NormalWeb"/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1.18. Возможность перехода в текст НПА в справочно-правовой системе;</w:t>
      </w:r>
    </w:p>
    <w:p>
      <w:pPr>
        <w:pStyle w:val="NormalWeb"/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1.19. Возможность добавлять коды в список, проверить список на НПА;</w:t>
      </w:r>
    </w:p>
    <w:p>
      <w:pPr>
        <w:pStyle w:val="NormalWeb"/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1.20. Возможность проверить список кодов на совместимость (допустимо или нет объединение в одной закупке кодов из списка с точки зрения действующих для выбранных кодов НПА);</w:t>
      </w:r>
    </w:p>
    <w:p>
      <w:pPr>
        <w:pStyle w:val="NormalWeb"/>
        <w:spacing w:lineRule="auto" w:line="271"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1.21. Автоматическое разделение в отдельные лоты кодов из списка в результате проверки на совместимость. Выбор закона, по правилам которого проводится разделение (№ 44-ФЗ/223-ФЗ);</w:t>
      </w:r>
    </w:p>
    <w:p>
      <w:pPr>
        <w:pStyle w:val="NormalWeb"/>
        <w:spacing w:beforeAutospacing="0" w:before="0" w:afterAutospacing="0" w:after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1.22. Поиск в реестре контрактов поставщиков, не включенных в РНП, по выбранному ОКПД2/КТРУ с фильтрами по региону поставщика, дате заключения, принадлежности к СМП, наличию поставок промышленных товаров, включенных в ГИСП, поставки товаров из РФ/ЕАЭС, наличию исполненных без неустоек контрактов. Вывод контактных данных поставщиков (телефон, email). Возможность просмотреть количество исполненных контрактов у поставщика и перейти в последний исполненный контракт. Возможность запросить коммерческие предложения  по списку выбранных поставщиков и скопировать отмеченные электронные адреса.</w:t>
      </w:r>
    </w:p>
    <w:p>
      <w:pPr>
        <w:pStyle w:val="NormalWeb"/>
        <w:spacing w:beforeAutospacing="0" w:before="0" w:afterAutospacing="0" w:after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1.23. Поиск в государственной информационной системе промышленности (ГИСП) поставщиков по выбранному ОКПД 2/КТРУ с выводом информации о товарах поставщика, включенных в реестр российской промышленной продукции (с указанием наименования товара, кода ОКПД2 и номера реестровой записи). Возможность запросить коммерческие предложения  по списку выбранных поставщиков и скопировать отмеченные электронные адреса;</w:t>
      </w:r>
    </w:p>
    <w:p>
      <w:pPr>
        <w:pStyle w:val="NormalWeb"/>
        <w:spacing w:beforeAutospacing="0" w:before="0" w:afterAutospacing="0" w:after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1.24. Возможность сохранения информации по коду в </w:t>
      </w:r>
      <w:r>
        <w:rPr>
          <w:color w:val="000000"/>
          <w:sz w:val="20"/>
          <w:szCs w:val="20"/>
          <w:lang w:val="en-US"/>
        </w:rPr>
        <w:t>Excel</w:t>
      </w:r>
      <w:r>
        <w:rPr>
          <w:color w:val="000000"/>
          <w:sz w:val="20"/>
          <w:szCs w:val="20"/>
        </w:rPr>
        <w:t>.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> </w:t>
      </w:r>
    </w:p>
    <w:p>
      <w:pPr>
        <w:pStyle w:val="NormalWeb"/>
        <w:spacing w:beforeAutospacing="0" w:before="0" w:afterAutospacing="0" w:after="0"/>
        <w:jc w:val="both"/>
        <w:rPr/>
      </w:pPr>
      <w:r>
        <w:rPr>
          <w:b/>
          <w:bCs/>
          <w:color w:val="000000"/>
          <w:sz w:val="20"/>
          <w:szCs w:val="20"/>
        </w:rPr>
        <w:t>2. Инструмент расчета сроков для следующих конкурентных процедур:</w:t>
      </w:r>
    </w:p>
    <w:p>
      <w:pPr>
        <w:pStyle w:val="NormalWeb"/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2.1. По Закону № 44-ФЗ:</w:t>
      </w:r>
    </w:p>
    <w:p>
      <w:pPr>
        <w:pStyle w:val="NormalWeb"/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2.1.1. Электронный аукцион (до 300 млн. руб.);</w:t>
      </w:r>
    </w:p>
    <w:p>
      <w:pPr>
        <w:pStyle w:val="NormalWeb"/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2.1.2. Электронный аукцион (от 300 млн. руб.);</w:t>
      </w:r>
    </w:p>
    <w:p>
      <w:pPr>
        <w:pStyle w:val="NormalWeb"/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2.1.3. Электронный аукцион по строительству и кап.ремонту;</w:t>
      </w:r>
    </w:p>
    <w:p>
      <w:pPr>
        <w:pStyle w:val="NormalWeb"/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2.1.4. Запрос котировок электронный (до 10 млн. руб);</w:t>
      </w:r>
    </w:p>
    <w:p>
      <w:pPr>
        <w:pStyle w:val="NormalWeb"/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2.1.5. Электронный конкурс;</w:t>
      </w:r>
    </w:p>
    <w:p>
      <w:pPr>
        <w:pStyle w:val="NormalWeb"/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2.1.6. Электронный конкурс по ч.19 ст.48;</w:t>
      </w:r>
    </w:p>
    <w:p>
      <w:pPr>
        <w:pStyle w:val="NormalWeb"/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2.1.7. Электронный конкурс культурное наследие и НИОКР;</w:t>
      </w:r>
    </w:p>
    <w:p>
      <w:pPr>
        <w:pStyle w:val="NormalWeb"/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2.1.8. Закрытый электронный аукцион;</w:t>
      </w:r>
    </w:p>
    <w:p>
      <w:pPr>
        <w:pStyle w:val="NormalWeb"/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2.1.9. Закупка у ед.поставщика по ч. 12 ст. 93 (до 5 млн. руб.)</w:t>
      </w:r>
    </w:p>
    <w:p>
      <w:pPr>
        <w:pStyle w:val="NormalWeb"/>
        <w:spacing w:beforeAutospacing="0" w:before="0" w:afterAutospacing="0" w:after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2.2. Расчет сроков исполнения контрактов по Закону № 44-ФЗ</w:t>
      </w:r>
    </w:p>
    <w:p>
      <w:pPr>
        <w:pStyle w:val="NormalWeb"/>
        <w:spacing w:beforeAutospacing="0" w:before="0" w:afterAutospacing="0" w:after="0"/>
        <w:rPr>
          <w:color w:val="000000"/>
          <w:sz w:val="20"/>
          <w:szCs w:val="20"/>
          <w:shd w:fill="FFFFFF" w:val="clear"/>
        </w:rPr>
      </w:pPr>
      <w:r>
        <w:rPr>
          <w:color w:val="000000"/>
          <w:sz w:val="20"/>
          <w:szCs w:val="20"/>
          <w:shd w:fill="FFFFFF" w:val="clear"/>
        </w:rPr>
        <w:t>2.3. Расторжение контракта в связи с односторонним отказом заказчика от его исполнения (для электронных процедур по 44-ФЗ)</w:t>
      </w:r>
    </w:p>
    <w:p>
      <w:pPr>
        <w:pStyle w:val="NormalWeb"/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2.4. Возможность печати полученного расчета (или) сохранения в формате xlsx.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> </w:t>
      </w:r>
    </w:p>
    <w:p>
      <w:pPr>
        <w:pStyle w:val="NormalWeb"/>
        <w:spacing w:lineRule="auto" w:line="271" w:beforeAutospacing="0" w:before="0" w:afterAutospacing="0" w:after="0"/>
        <w:jc w:val="both"/>
        <w:rPr/>
      </w:pPr>
      <w:r>
        <w:rPr>
          <w:b/>
          <w:bCs/>
          <w:color w:val="000000"/>
          <w:sz w:val="20"/>
          <w:szCs w:val="20"/>
        </w:rPr>
        <w:t>3. Калькулятор расчета НМЦК по методу сопоставимых рыночных цен (анализ рынка), согласно методическим рекомендациям Минэкономразвития РФ (Приказ от 2 октября 2013 г. N 567) со следующими возможностями:</w:t>
      </w:r>
    </w:p>
    <w:p>
      <w:pPr>
        <w:pStyle w:val="NormalWeb"/>
        <w:numPr>
          <w:ilvl w:val="1"/>
          <w:numId w:val="2"/>
        </w:numPr>
        <w:spacing w:lineRule="auto" w:line="271"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Поиск цен в ЕИС по коду ОКПД2/КТРУ и(или) наименованию товара, работы, услуги среди контрактов, которые исполнены и по которым не взыскивались неустойки (штрафы, пени) в связи с неисполнением или ненадлежащим исполнением, с фильтрами по региону, цене товара (работы, услуги) дате заключения контракта, сроку исполнения, способу закупки, единице измерения, поставленному количеству. Возможность выбрать товары, произведенные в РФ/ЕАЭС. Возможность автоматически применить повышающие  коэффициенты к ценам (по способу и по периоду). Возможность уточнить характеристики товаров в исполненных контрактах;</w:t>
      </w:r>
    </w:p>
    <w:p>
      <w:pPr>
        <w:pStyle w:val="NormalWeb"/>
        <w:numPr>
          <w:ilvl w:val="1"/>
          <w:numId w:val="2"/>
        </w:numPr>
        <w:spacing w:lineRule="auto" w:line="271"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Автоматический расчет и контроль непревышения коэффициента вариации;</w:t>
      </w:r>
    </w:p>
    <w:p>
      <w:pPr>
        <w:pStyle w:val="NormalWeb"/>
        <w:numPr>
          <w:ilvl w:val="1"/>
          <w:numId w:val="2"/>
        </w:numPr>
        <w:spacing w:lineRule="auto" w:line="271"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Возможность добавления цен вручную;</w:t>
      </w:r>
    </w:p>
    <w:p>
      <w:pPr>
        <w:pStyle w:val="NormalWeb"/>
        <w:numPr>
          <w:ilvl w:val="1"/>
          <w:numId w:val="2"/>
        </w:numPr>
        <w:spacing w:lineRule="auto" w:line="271"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Формирование отчета обоснования НМЦК, сохранение его в формате xlsx и docx;</w:t>
      </w:r>
    </w:p>
    <w:p>
      <w:pPr>
        <w:pStyle w:val="NormalWeb"/>
        <w:numPr>
          <w:ilvl w:val="1"/>
          <w:numId w:val="2"/>
        </w:numPr>
        <w:spacing w:lineRule="auto" w:line="271"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Проверка ТРУ на совместимость (лотирование),  с автоматическим разделением списка на лоты. Выбор закона, по правилам которого  проводится разделение (№ 44-ФЗ/223-ФЗ);</w:t>
      </w:r>
    </w:p>
    <w:p>
      <w:pPr>
        <w:pStyle w:val="NormalWeb"/>
        <w:numPr>
          <w:ilvl w:val="1"/>
          <w:numId w:val="2"/>
        </w:numPr>
        <w:spacing w:lineRule="auto" w:line="271"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Автоматическая загрузка позиций из файла (excel);</w:t>
      </w:r>
    </w:p>
    <w:p>
      <w:pPr>
        <w:pStyle w:val="NormalWeb"/>
        <w:numPr>
          <w:ilvl w:val="1"/>
          <w:numId w:val="2"/>
        </w:numPr>
        <w:spacing w:lineRule="auto" w:line="271"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Расчет НМЦК для закупок с неопределенным объемом (ч. 24 ст. 22 Закона № 44-ФЗ);</w:t>
      </w:r>
    </w:p>
    <w:p>
      <w:pPr>
        <w:pStyle w:val="NormalWeb"/>
        <w:numPr>
          <w:ilvl w:val="1"/>
          <w:numId w:val="2"/>
        </w:numPr>
        <w:spacing w:lineRule="auto" w:line="271"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Выбор способа расчета (по минимальной или средней цене);</w:t>
      </w:r>
    </w:p>
    <w:p>
      <w:pPr>
        <w:pStyle w:val="NormalWeb"/>
        <w:numPr>
          <w:ilvl w:val="1"/>
          <w:numId w:val="2"/>
        </w:numPr>
        <w:spacing w:lineRule="auto" w:line="271"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Сохранение истории расчетов с возможностью их последующего редактирования, копирования, удаления, возможность поиска сохраненного расчета по наименованию;</w:t>
      </w:r>
    </w:p>
    <w:p>
      <w:pPr>
        <w:pStyle w:val="NormalWeb"/>
        <w:numPr>
          <w:ilvl w:val="1"/>
          <w:numId w:val="2"/>
        </w:numPr>
        <w:spacing w:lineRule="auto" w:line="271"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Возможность указать наименование расчета, ответственное лицо и его должность.</w:t>
      </w:r>
    </w:p>
    <w:p>
      <w:pPr>
        <w:pStyle w:val="NormalWeb"/>
        <w:spacing w:lineRule="auto" w:line="271" w:beforeAutospacing="0" w:before="0" w:afterAutospacing="0" w:after="0"/>
        <w:ind w:left="360" w:hanging="0"/>
        <w:jc w:val="both"/>
        <w:rPr/>
      </w:pPr>
      <w:r>
        <w:rPr/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> </w:t>
      </w:r>
      <w:r>
        <w:rPr>
          <w:b/>
          <w:bCs/>
          <w:color w:val="000000"/>
          <w:sz w:val="20"/>
          <w:szCs w:val="20"/>
        </w:rPr>
        <w:t>4. Калькулятор расчета НМЦК для лекарственных препаратов по Приказу Минздрава РФ от 19.12.2019 №1064н со следующими возможностями:</w:t>
      </w:r>
    </w:p>
    <w:p>
      <w:pPr>
        <w:pStyle w:val="NormalWeb"/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4.1. Расчет цены контракта методом сопоставимых рыночных цен (анализа рынка) с возможностью поиска цен среди исполненных контрактов в ЕИС по МНН, лекарственной форме, дозировке,  региону, дате исполнения, единице измерения и выбором минимального значения в расчет;</w:t>
      </w:r>
    </w:p>
    <w:p>
      <w:pPr>
        <w:pStyle w:val="NormalWeb"/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4.2. Добавление цен вручную;</w:t>
      </w:r>
    </w:p>
    <w:p>
      <w:pPr>
        <w:pStyle w:val="NormalWeb"/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4.3. Подбор предельной цены из реестра ГРЛС (тарифный метод) с возможностью поиска цен с учетом параметров - МНН, ТН, лек.форма, дозировка, номер РУ, владелец РУ, штрихкод, с автоматической подстановкой цены в расчет;</w:t>
      </w:r>
    </w:p>
    <w:p>
      <w:pPr>
        <w:pStyle w:val="NormalWeb"/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4.4. Выгрузки таблицы с предельными ценами по препарату;</w:t>
      </w:r>
    </w:p>
    <w:p>
      <w:pPr>
        <w:pStyle w:val="NormalWeb"/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4.5. Проверка на наличие в гражданском обороте;</w:t>
      </w:r>
    </w:p>
    <w:p>
      <w:pPr>
        <w:pStyle w:val="NormalWeb"/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4.6. Автоподстановка оптовой надбавки в соответствии с регионом заказчика;</w:t>
      </w:r>
    </w:p>
    <w:p>
      <w:pPr>
        <w:pStyle w:val="NormalWeb"/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4.7. Возможность выбора нескольких предельных цен;</w:t>
      </w:r>
    </w:p>
    <w:p>
      <w:pPr>
        <w:pStyle w:val="NormalWeb"/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4.8. Возможность выбора эквивалентных форм ЛП;</w:t>
      </w:r>
    </w:p>
    <w:p>
      <w:pPr>
        <w:pStyle w:val="NormalWeb"/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4.9. Возможность увидеть МНН, лекарственную форму, дозировку из ГРЛС;</w:t>
      </w:r>
    </w:p>
    <w:p>
      <w:pPr>
        <w:pStyle w:val="NormalWeb"/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4.10. Возможность выгрузить описание объекта закупки – лекарственного препарата на основе расчета НМЦК;</w:t>
      </w:r>
    </w:p>
    <w:p>
      <w:pPr>
        <w:pStyle w:val="NormalWeb"/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4.11. Подбор референтной цены с автоматической подстановкой в расчет (пункт действует после появления данных о референтных ценах в ЕИС);</w:t>
      </w:r>
    </w:p>
    <w:p>
      <w:pPr>
        <w:pStyle w:val="NormalWeb"/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4.12. Расчет средневзвешенной цены по исполненным контрактам заказчика, контракты подгружаются автоматически из ЕИС;</w:t>
      </w:r>
    </w:p>
    <w:p>
      <w:pPr>
        <w:pStyle w:val="NormalWeb"/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4.13. Предусмотрена очистка цены от оптовой надбавки и ндс, возможность пересчета цены за единицу лекарственной формы и дозировки (на каждом этапе расчета);</w:t>
      </w:r>
    </w:p>
    <w:p>
      <w:pPr>
        <w:pStyle w:val="NormalWeb"/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4.14. Загрузка лекарств из файла в формате xlsx;</w:t>
      </w:r>
    </w:p>
    <w:p>
      <w:pPr>
        <w:pStyle w:val="NormalWeb"/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4.15. Формирование отчета обоснования НМЦК, сохранение его в формате xlsx;</w:t>
      </w:r>
    </w:p>
    <w:p>
      <w:pPr>
        <w:pStyle w:val="NormalWeb"/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4.16. Сохранение истории расчетов с возможностью их последующего редактирования, копирования, удаления, возможность поиска сохраненного расчета по наименованию;</w:t>
      </w:r>
    </w:p>
    <w:p>
      <w:pPr>
        <w:pStyle w:val="NormalWeb"/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4.17. Создание повторного расчета;</w:t>
      </w:r>
    </w:p>
    <w:p>
      <w:pPr>
        <w:pStyle w:val="NormalWeb"/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4.18. Проверка на совместимость лекарственных препаратов с указанием группы (ЖНВЛП, СЗЛС, радиофармацевтическое ЛП, наркотическое или психотропное ЛП), с автоматической разбивкой списка на лоты;</w:t>
      </w:r>
    </w:p>
    <w:p>
      <w:pPr>
        <w:pStyle w:val="NormalWeb"/>
        <w:spacing w:beforeAutospacing="0" w:before="0" w:afterAutospacing="0" w:after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4.19. Контроль непревышения максимального размера НМЦК для применения оптовых надбавок при закупке ЖНВЛП;</w:t>
      </w:r>
    </w:p>
    <w:p>
      <w:pPr>
        <w:pStyle w:val="NormalWeb"/>
        <w:spacing w:beforeAutospacing="0" w:before="0" w:afterAutospacing="0" w:after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4.20. Возможность выбора способа округления цены в расчете: округление до копеек или точный расчет;</w:t>
      </w:r>
    </w:p>
    <w:p>
      <w:pPr>
        <w:pStyle w:val="NormalWeb"/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4.21. Возможность указать наименование расчета и ответственное лицо.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> </w:t>
      </w:r>
    </w:p>
    <w:p>
      <w:pPr>
        <w:pStyle w:val="NormalWeb"/>
        <w:spacing w:beforeAutospacing="0" w:before="0" w:afterAutospacing="0" w:after="0"/>
        <w:jc w:val="both"/>
        <w:rPr/>
      </w:pPr>
      <w:r>
        <w:rPr>
          <w:b/>
          <w:bCs/>
          <w:color w:val="000000"/>
          <w:sz w:val="20"/>
          <w:szCs w:val="20"/>
        </w:rPr>
        <w:t>5. Калькулятор расчета НМЦК для медицинских изделий по Приказу Минздрава РФ от 15.05.2020  450н со следующими возможностями:</w:t>
      </w:r>
    </w:p>
    <w:p>
      <w:pPr>
        <w:pStyle w:val="NormalWeb"/>
        <w:numPr>
          <w:ilvl w:val="1"/>
          <w:numId w:val="3"/>
        </w:numPr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Расчет цены контракта методом сопоставимых рыночных цен (анализа рынка)  с возможностью поиска цен среди исполненных контрактов в ЕИС;</w:t>
      </w:r>
    </w:p>
    <w:p>
      <w:pPr>
        <w:pStyle w:val="NormalWeb"/>
        <w:numPr>
          <w:ilvl w:val="1"/>
          <w:numId w:val="3"/>
        </w:numPr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Поиск цен в ЕИС осуществляется по коду КТРУ/ОКПД2 и(или) наименованию товара, работы, услуги среди контрактов, которые исполнены и по которым не взыскивались неустойки (штрафы, пени) в связи с неисполнением или ненадлежащим исполнением, с фильтрами по региону, цене товара, работы, услуги, дате заключения контракта, сроку исполнения, способу закупки, единице измерения, поставленному количеству. Возможность выбрать товары, произведенные в РФ/ЕАЭС.  Возможность уточнить характеристики товаров в исполненных контрактах;</w:t>
      </w:r>
    </w:p>
    <w:p>
      <w:pPr>
        <w:pStyle w:val="NormalWeb"/>
        <w:numPr>
          <w:ilvl w:val="1"/>
          <w:numId w:val="3"/>
        </w:numPr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Добавление цен вручную;</w:t>
      </w:r>
    </w:p>
    <w:p>
      <w:pPr>
        <w:pStyle w:val="NormalWeb"/>
        <w:numPr>
          <w:ilvl w:val="1"/>
          <w:numId w:val="3"/>
        </w:numPr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Автоматическая подстановка кода вида НКМИ по позиции КТРУ;</w:t>
      </w:r>
    </w:p>
    <w:p>
      <w:pPr>
        <w:pStyle w:val="NormalWeb"/>
        <w:numPr>
          <w:ilvl w:val="1"/>
          <w:numId w:val="3"/>
        </w:numPr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Возможность загрузки позиций из файла в формате xlsx;</w:t>
      </w:r>
    </w:p>
    <w:p>
      <w:pPr>
        <w:pStyle w:val="NormalWeb"/>
        <w:numPr>
          <w:ilvl w:val="1"/>
          <w:numId w:val="3"/>
        </w:numPr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Сохранение истории расчетов с возможностью их последующего редактирования, копирования, удаления, возможность поиска сохраненного расчета по наименованию;</w:t>
      </w:r>
    </w:p>
    <w:p>
      <w:pPr>
        <w:pStyle w:val="NormalWeb"/>
        <w:numPr>
          <w:ilvl w:val="1"/>
          <w:numId w:val="3"/>
        </w:numPr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Формирование отчета обоснования НМЦК, сохранение его в формате xlsx и docx;</w:t>
      </w:r>
    </w:p>
    <w:p>
      <w:pPr>
        <w:pStyle w:val="NormalWeb"/>
        <w:numPr>
          <w:ilvl w:val="1"/>
          <w:numId w:val="3"/>
        </w:numPr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Проверка на совместимость (лотирование), с автоматическим разделением списка на лоты;</w:t>
      </w:r>
    </w:p>
    <w:p>
      <w:pPr>
        <w:pStyle w:val="NormalWeb"/>
        <w:numPr>
          <w:ilvl w:val="1"/>
          <w:numId w:val="3"/>
        </w:numPr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Проверка на Постановление 620 от 19.04.2021;</w:t>
      </w:r>
    </w:p>
    <w:p>
      <w:pPr>
        <w:pStyle w:val="NormalWeb"/>
        <w:numPr>
          <w:ilvl w:val="1"/>
          <w:numId w:val="3"/>
        </w:numPr>
        <w:tabs>
          <w:tab w:val="clear" w:pos="708"/>
          <w:tab w:val="left" w:pos="426" w:leader="none"/>
        </w:tabs>
        <w:spacing w:lineRule="auto" w:line="271"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Выбор способа расчета (по средней, минимальной или средневзвешенной цене);</w:t>
      </w:r>
    </w:p>
    <w:p>
      <w:pPr>
        <w:pStyle w:val="NormalWeb"/>
        <w:numPr>
          <w:ilvl w:val="1"/>
          <w:numId w:val="3"/>
        </w:numPr>
        <w:tabs>
          <w:tab w:val="clear" w:pos="708"/>
          <w:tab w:val="left" w:pos="426" w:leader="none"/>
        </w:tabs>
        <w:spacing w:lineRule="auto" w:line="271"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Возможность указать наименование расчета и ответственное лицо.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> </w:t>
      </w:r>
    </w:p>
    <w:p>
      <w:pPr>
        <w:pStyle w:val="NormalWeb"/>
        <w:numPr>
          <w:ilvl w:val="0"/>
          <w:numId w:val="3"/>
        </w:numPr>
        <w:spacing w:beforeAutospacing="0" w:before="0" w:afterAutospacing="0" w:after="0"/>
        <w:jc w:val="both"/>
        <w:rPr>
          <w:b/>
          <w:b/>
        </w:rPr>
      </w:pPr>
      <w:r>
        <w:rPr>
          <w:b/>
          <w:bCs/>
          <w:color w:val="000000"/>
          <w:sz w:val="20"/>
          <w:szCs w:val="20"/>
        </w:rPr>
        <w:t>Калькулятор расчета НМЦК согласно 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охранных услуг, утвержденного приказом Федеральной службы войск национальной гвардии РФ от 15 февраля 2021 г. N 45 (далее – Порядок) для осуществления закупок охранных услуг частных охранных организаций со следующими возможностями:</w:t>
      </w:r>
    </w:p>
    <w:p>
      <w:pPr>
        <w:pStyle w:val="NormalWeb"/>
        <w:numPr>
          <w:ilvl w:val="1"/>
          <w:numId w:val="3"/>
        </w:numPr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Расчет НМЦК по формуле, указанной в п. 2 Порядка;</w:t>
      </w:r>
    </w:p>
    <w:p>
      <w:pPr>
        <w:pStyle w:val="NormalWeb"/>
        <w:numPr>
          <w:ilvl w:val="1"/>
          <w:numId w:val="3"/>
        </w:numPr>
        <w:spacing w:lineRule="auto" w:line="271" w:beforeAutospacing="0" w:before="0" w:afterAutospacing="0" w:after="0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Возможность выбора следующих вариантов работы поста охраны: </w:t>
      </w:r>
    </w:p>
    <w:p>
      <w:pPr>
        <w:pStyle w:val="NormalWeb"/>
        <w:numPr>
          <w:ilvl w:val="2"/>
          <w:numId w:val="3"/>
        </w:numPr>
        <w:spacing w:beforeAutospacing="0" w:before="0" w:afterAutospacing="0" w:after="0"/>
        <w:textAlignment w:val="baseline"/>
        <w:rPr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Пост работает в календарные дни (ежедневно);</w:t>
      </w:r>
    </w:p>
    <w:p>
      <w:pPr>
        <w:pStyle w:val="NormalWeb"/>
        <w:numPr>
          <w:ilvl w:val="2"/>
          <w:numId w:val="3"/>
        </w:numPr>
        <w:spacing w:beforeAutospacing="0" w:before="0" w:afterAutospacing="0" w:after="0"/>
        <w:textAlignment w:val="baseline"/>
        <w:rPr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Пост работает в рабочие дни (пн по пт);</w:t>
      </w:r>
    </w:p>
    <w:p>
      <w:pPr>
        <w:pStyle w:val="NormalWeb"/>
        <w:numPr>
          <w:ilvl w:val="2"/>
          <w:numId w:val="3"/>
        </w:numPr>
        <w:spacing w:beforeAutospacing="0" w:before="0" w:afterAutospacing="0" w:after="0"/>
        <w:textAlignment w:val="baseline"/>
        <w:rPr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Пост работает только в выходные и праздничные дни;</w:t>
      </w:r>
    </w:p>
    <w:p>
      <w:pPr>
        <w:pStyle w:val="NormalWeb"/>
        <w:numPr>
          <w:ilvl w:val="2"/>
          <w:numId w:val="3"/>
        </w:numPr>
        <w:spacing w:beforeAutospacing="0" w:before="0" w:afterAutospacing="0" w:after="0"/>
        <w:textAlignment w:val="baseline"/>
        <w:rPr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Пост работает в рабочие дни (пн по сб);</w:t>
      </w:r>
    </w:p>
    <w:p>
      <w:pPr>
        <w:pStyle w:val="NormalWeb"/>
        <w:numPr>
          <w:ilvl w:val="2"/>
          <w:numId w:val="3"/>
        </w:numPr>
        <w:spacing w:lineRule="auto" w:line="271" w:beforeAutospacing="0" w:before="0" w:afterAutospacing="0" w:after="0"/>
        <w:jc w:val="both"/>
        <w:textAlignment w:val="baseline"/>
        <w:rPr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Другой график работы поста (</w:t>
      </w:r>
      <w:r>
        <w:rPr>
          <w:color w:val="000000"/>
          <w:sz w:val="20"/>
          <w:szCs w:val="20"/>
        </w:rPr>
        <w:t xml:space="preserve"> пост работает в дни недели, выбранные пользователем).</w:t>
      </w:r>
    </w:p>
    <w:p>
      <w:pPr>
        <w:pStyle w:val="NormalWeb"/>
        <w:numPr>
          <w:ilvl w:val="1"/>
          <w:numId w:val="3"/>
        </w:numPr>
        <w:spacing w:lineRule="auto" w:line="271" w:beforeAutospacing="0" w:before="0" w:afterAutospacing="0" w:after="0"/>
        <w:jc w:val="both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Возможность изменения часов работы поста (в т.ч. ночных) и количества постов.</w:t>
      </w:r>
    </w:p>
    <w:p>
      <w:pPr>
        <w:pStyle w:val="NormalWeb"/>
        <w:numPr>
          <w:ilvl w:val="1"/>
          <w:numId w:val="3"/>
        </w:numPr>
        <w:spacing w:lineRule="auto" w:line="271"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Автоматический расчет количества дней и часов оказания услуг на основании информации из производственного календаря;</w:t>
      </w:r>
    </w:p>
    <w:p>
      <w:pPr>
        <w:pStyle w:val="NormalWeb"/>
        <w:numPr>
          <w:ilvl w:val="1"/>
          <w:numId w:val="3"/>
        </w:numPr>
        <w:spacing w:lineRule="auto" w:line="271" w:beforeAutospacing="0" w:before="0" w:afterAutospacing="0" w:after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Возможность составления единого расчета для нескольких постов, как с одинаковым, так и с разным режимом работы;</w:t>
      </w:r>
    </w:p>
    <w:p>
      <w:pPr>
        <w:pStyle w:val="NormalWeb"/>
        <w:numPr>
          <w:ilvl w:val="1"/>
          <w:numId w:val="3"/>
        </w:numPr>
        <w:spacing w:lineRule="auto" w:line="271" w:beforeAutospacing="0" w:before="0" w:afterAutospacing="0" w:after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Возможность выбора и применения дополнительных коэффициентов;</w:t>
      </w:r>
    </w:p>
    <w:p>
      <w:pPr>
        <w:pStyle w:val="NormalWeb"/>
        <w:numPr>
          <w:ilvl w:val="1"/>
          <w:numId w:val="3"/>
        </w:numPr>
        <w:spacing w:lineRule="auto" w:line="271" w:beforeAutospacing="0" w:before="0" w:afterAutospacing="0" w:after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Возможность включения в расчет дополнительных услуг (СТСО, СЗЖ)</w:t>
      </w:r>
    </w:p>
    <w:p>
      <w:pPr>
        <w:pStyle w:val="NormalWeb"/>
        <w:numPr>
          <w:ilvl w:val="1"/>
          <w:numId w:val="3"/>
        </w:numPr>
        <w:spacing w:lineRule="auto" w:line="271"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Формирование отчета обоснования НМЦК, сохранение его в формате xlsx;</w:t>
      </w:r>
    </w:p>
    <w:p>
      <w:pPr>
        <w:pStyle w:val="NormalWeb"/>
        <w:numPr>
          <w:ilvl w:val="1"/>
          <w:numId w:val="3"/>
        </w:numPr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Сохранение истории расчетов с возможностью их последующего редактирования, копирования, удаления, возможность поиска сохраненного расчета по наименованию;</w:t>
      </w:r>
    </w:p>
    <w:p>
      <w:pPr>
        <w:pStyle w:val="NormalWeb"/>
        <w:numPr>
          <w:ilvl w:val="1"/>
          <w:numId w:val="3"/>
        </w:numPr>
        <w:tabs>
          <w:tab w:val="clear" w:pos="708"/>
          <w:tab w:val="left" w:pos="426" w:leader="none"/>
        </w:tabs>
        <w:spacing w:lineRule="auto" w:line="271"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Возможность указать наименование расчета.</w:t>
      </w:r>
    </w:p>
    <w:p>
      <w:pPr>
        <w:pStyle w:val="NormalWeb"/>
        <w:tabs>
          <w:tab w:val="clear" w:pos="708"/>
          <w:tab w:val="left" w:pos="426" w:leader="none"/>
        </w:tabs>
        <w:spacing w:lineRule="auto" w:line="271" w:beforeAutospacing="0" w:before="0" w:afterAutospacing="0" w:after="0"/>
        <w:ind w:left="360" w:hanging="0"/>
        <w:jc w:val="both"/>
        <w:rPr/>
      </w:pPr>
      <w:r>
        <w:rPr/>
      </w:r>
    </w:p>
    <w:p>
      <w:pPr>
        <w:pStyle w:val="NormalWeb"/>
        <w:numPr>
          <w:ilvl w:val="0"/>
          <w:numId w:val="3"/>
        </w:numPr>
        <w:tabs>
          <w:tab w:val="clear" w:pos="708"/>
          <w:tab w:val="left" w:pos="426" w:leader="none"/>
        </w:tabs>
        <w:spacing w:lineRule="auto" w:line="271" w:beforeAutospacing="0" w:before="0" w:afterAutospacing="0" w:after="0"/>
        <w:jc w:val="both"/>
        <w:rPr>
          <w:b/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Калькулятор расчета НМЦК согласно п. 6 – 11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 работы услуги при осуществлении закупок топлива моторного, включая автомобильный и авиационный бензин, утвержденного приказом ФАС России от 22 ноября 2024 г. № 894/24 со следующими возможностями:</w:t>
      </w:r>
    </w:p>
    <w:p>
      <w:pPr>
        <w:pStyle w:val="NormalWeb"/>
        <w:numPr>
          <w:ilvl w:val="1"/>
          <w:numId w:val="3"/>
        </w:numPr>
        <w:tabs>
          <w:tab w:val="clear" w:pos="708"/>
          <w:tab w:val="left" w:pos="426" w:leader="none"/>
        </w:tabs>
        <w:spacing w:lineRule="auto" w:line="271" w:beforeAutospacing="0" w:before="0" w:afterAutospacing="0" w:after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Возможность выбора вида топлива (бензин автомобильный, бензин автомобильный АИ-92, бензин автомобильный АИ-95, бензин автомобильный АИ-98 и выше, дизельное топливо);</w:t>
      </w:r>
    </w:p>
    <w:p>
      <w:pPr>
        <w:pStyle w:val="NormalWeb"/>
        <w:numPr>
          <w:ilvl w:val="1"/>
          <w:numId w:val="3"/>
        </w:numPr>
        <w:tabs>
          <w:tab w:val="clear" w:pos="708"/>
          <w:tab w:val="left" w:pos="426" w:leader="none"/>
        </w:tabs>
        <w:spacing w:lineRule="auto" w:line="271" w:beforeAutospacing="0" w:before="0" w:afterAutospacing="0" w:after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Возможность выбора региона поставки товара; </w:t>
      </w:r>
    </w:p>
    <w:p>
      <w:pPr>
        <w:pStyle w:val="NormalWeb"/>
        <w:numPr>
          <w:ilvl w:val="1"/>
          <w:numId w:val="3"/>
        </w:numPr>
        <w:tabs>
          <w:tab w:val="clear" w:pos="708"/>
          <w:tab w:val="left" w:pos="426" w:leader="none"/>
        </w:tabs>
        <w:spacing w:lineRule="auto" w:line="271" w:beforeAutospacing="0" w:before="0" w:afterAutospacing="0" w:after="0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Автоматическая загрузка цен на нефтепродукты, опубликованных на сайте </w:t>
      </w:r>
      <w:hyperlink r:id="rId2">
        <w:r>
          <w:rPr>
            <w:rStyle w:val="Style14"/>
            <w:i/>
            <w:iCs/>
            <w:color w:val="1155CC"/>
            <w:sz w:val="20"/>
            <w:szCs w:val="20"/>
          </w:rPr>
          <w:t>https://rosstat.gov.ru</w:t>
        </w:r>
      </w:hyperlink>
      <w:r>
        <w:rPr>
          <w:sz w:val="20"/>
          <w:szCs w:val="20"/>
        </w:rPr>
        <w:t xml:space="preserve">  за последний из имеющихся периодов по видам топлива и региону поставки;</w:t>
      </w:r>
    </w:p>
    <w:p>
      <w:pPr>
        <w:pStyle w:val="NormalWeb"/>
        <w:numPr>
          <w:ilvl w:val="1"/>
          <w:numId w:val="3"/>
        </w:numPr>
        <w:tabs>
          <w:tab w:val="clear" w:pos="708"/>
          <w:tab w:val="left" w:pos="426" w:leader="none"/>
        </w:tabs>
        <w:spacing w:lineRule="auto" w:line="271" w:beforeAutospacing="0" w:before="0" w:afterAutospacing="0"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Возможность самостоятельного выбора пользователем коэффициентов, которые будут применяться в расчете:  индекса потребительских цен (ИПЦ), коэффициента стоимости отвлечения  денежных средств (Кодс) и коэффициента перехода на сезонный вид продукции (Ксез). </w:t>
      </w:r>
    </w:p>
    <w:p>
      <w:pPr>
        <w:pStyle w:val="NormalWeb"/>
        <w:numPr>
          <w:ilvl w:val="1"/>
          <w:numId w:val="3"/>
        </w:numPr>
        <w:tabs>
          <w:tab w:val="clear" w:pos="708"/>
          <w:tab w:val="left" w:pos="426" w:leader="none"/>
        </w:tabs>
        <w:spacing w:lineRule="auto" w:line="271" w:beforeAutospacing="0" w:before="0" w:afterAutospacing="0"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Автоматический расчет коэффициента ИПЦ (Кипц), позволяющего проиндексировать цену, полученную из источника статистических данных (рыночный индикатор), с применением ИПЦ на период поставки товара.   </w:t>
      </w:r>
    </w:p>
    <w:p>
      <w:pPr>
        <w:pStyle w:val="NormalWeb"/>
        <w:numPr>
          <w:ilvl w:val="1"/>
          <w:numId w:val="3"/>
        </w:numPr>
        <w:tabs>
          <w:tab w:val="clear" w:pos="708"/>
          <w:tab w:val="left" w:pos="426" w:leader="none"/>
        </w:tabs>
        <w:spacing w:lineRule="auto" w:line="271" w:beforeAutospacing="0" w:before="0" w:afterAutospacing="0"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Автоматический расчет Кодс в зависимости от количества дней отсрочки платежа, указанных пользователем. </w:t>
      </w:r>
    </w:p>
    <w:p>
      <w:pPr>
        <w:pStyle w:val="NormalWeb"/>
        <w:numPr>
          <w:ilvl w:val="1"/>
          <w:numId w:val="3"/>
        </w:numPr>
        <w:tabs>
          <w:tab w:val="clear" w:pos="708"/>
          <w:tab w:val="left" w:pos="426" w:leader="none"/>
        </w:tabs>
        <w:spacing w:lineRule="auto" w:line="271" w:beforeAutospacing="0" w:before="0" w:afterAutospacing="0"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Автоматический расчет НМЦК, цены единицы топлива с учетом Кипц, Кодс, Ксез. </w:t>
      </w:r>
    </w:p>
    <w:p>
      <w:pPr>
        <w:pStyle w:val="NormalWeb"/>
        <w:numPr>
          <w:ilvl w:val="1"/>
          <w:numId w:val="3"/>
        </w:numPr>
        <w:spacing w:lineRule="auto" w:line="271"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Расчет НМЦЕ для закупок с неопределенным объемом (ч. 24 ст. 22 Закона № 44-ФЗ);</w:t>
      </w:r>
    </w:p>
    <w:p>
      <w:pPr>
        <w:pStyle w:val="NormalWeb"/>
        <w:numPr>
          <w:ilvl w:val="1"/>
          <w:numId w:val="3"/>
        </w:numPr>
        <w:spacing w:lineRule="auto" w:line="271"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Сохранение истории расчетов с возможностью их последующего редактирования, копирования, удаления, возможность поиска сохраненного расчета по наименованию;</w:t>
      </w:r>
    </w:p>
    <w:p>
      <w:pPr>
        <w:pStyle w:val="NormalWeb"/>
        <w:numPr>
          <w:ilvl w:val="1"/>
          <w:numId w:val="3"/>
        </w:numPr>
        <w:spacing w:lineRule="auto" w:line="271"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Возможность указать наименование расчета, ответственное лицо и его должность.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> </w:t>
      </w:r>
    </w:p>
    <w:p>
      <w:pPr>
        <w:pStyle w:val="NormalWeb"/>
        <w:numPr>
          <w:ilvl w:val="0"/>
          <w:numId w:val="3"/>
        </w:numPr>
        <w:spacing w:beforeAutospacing="0" w:before="0" w:afterAutospacing="0" w:after="0"/>
        <w:jc w:val="both"/>
        <w:rPr>
          <w:b/>
          <w:b/>
        </w:rPr>
      </w:pPr>
      <w:r>
        <w:rPr>
          <w:b/>
          <w:bCs/>
          <w:color w:val="000000"/>
          <w:sz w:val="20"/>
          <w:szCs w:val="20"/>
        </w:rPr>
        <w:t>Инструмент «Поиск документации»</w:t>
      </w:r>
    </w:p>
    <w:p>
      <w:pPr>
        <w:pStyle w:val="NormalWeb"/>
        <w:numPr>
          <w:ilvl w:val="1"/>
          <w:numId w:val="3"/>
        </w:numPr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Возможность поиска документации среди размещенных закупок в ЕИС по коду КТРУ/ОКПД2 и (или) наименованию товара, работы, услуги; </w:t>
      </w:r>
    </w:p>
    <w:p>
      <w:pPr>
        <w:pStyle w:val="NormalWeb"/>
        <w:numPr>
          <w:ilvl w:val="1"/>
          <w:numId w:val="3"/>
        </w:numPr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Возможность учитывать регион и дату публикации;</w:t>
      </w:r>
    </w:p>
    <w:p>
      <w:pPr>
        <w:pStyle w:val="NormalWeb"/>
        <w:numPr>
          <w:ilvl w:val="1"/>
          <w:numId w:val="3"/>
        </w:numPr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Возможность искать документацию выбранного заказчика;</w:t>
      </w:r>
    </w:p>
    <w:p>
      <w:pPr>
        <w:pStyle w:val="NormalWeb"/>
        <w:numPr>
          <w:ilvl w:val="1"/>
          <w:numId w:val="3"/>
        </w:numPr>
        <w:spacing w:lineRule="auto" w:line="271"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Возможность найти документацию для закупок с неопределенным объемом (ч. 24 ст. 22 Закона № 44-ФЗ)</w:t>
      </w:r>
    </w:p>
    <w:p>
      <w:pPr>
        <w:pStyle w:val="NormalWeb"/>
        <w:numPr>
          <w:ilvl w:val="1"/>
          <w:numId w:val="3"/>
        </w:numPr>
        <w:spacing w:lineRule="auto" w:line="271"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Информация о наличии / отсутствии жалоб в ФАС по выбранной документации; </w:t>
      </w:r>
    </w:p>
    <w:p>
      <w:pPr>
        <w:pStyle w:val="NormalWeb"/>
        <w:numPr>
          <w:ilvl w:val="1"/>
          <w:numId w:val="3"/>
        </w:numPr>
        <w:spacing w:lineRule="auto" w:line="271"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Вывод характеристик ТРУ, даты публикации, цены за единицу, способа закупки, наименования заказчика;</w:t>
      </w:r>
    </w:p>
    <w:p>
      <w:pPr>
        <w:pStyle w:val="NormalWeb"/>
        <w:numPr>
          <w:ilvl w:val="1"/>
          <w:numId w:val="3"/>
        </w:numPr>
        <w:spacing w:lineRule="auto" w:line="271"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 xml:space="preserve">Вывод установленных в закупке запретов/ограничений/преимуществ по Постановлению Правительства РФ № 1875 от 23 декабря 2024 г., преимуществ по распоряжению Правительства РФ № 3500-р от 8 декабря 2021 г. и преимуществ по ч. 3 ст. 30 Закона № 44-ФЗ. </w:t>
      </w:r>
    </w:p>
    <w:p>
      <w:pPr>
        <w:pStyle w:val="NormalWeb"/>
        <w:numPr>
          <w:ilvl w:val="1"/>
          <w:numId w:val="3"/>
        </w:numPr>
        <w:spacing w:lineRule="auto" w:line="271"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Возможность скачать документацию, перейти из результатов поиска на карточку закупки в ЕИС.</w:t>
      </w:r>
    </w:p>
    <w:p>
      <w:pPr>
        <w:pStyle w:val="NormalWeb"/>
        <w:spacing w:beforeAutospacing="0" w:before="0" w:afterAutospacing="0" w:after="0"/>
        <w:ind w:left="360" w:hanging="0"/>
        <w:jc w:val="both"/>
        <w:rPr/>
      </w:pPr>
      <w:r>
        <w:rPr/>
        <w:t> </w:t>
      </w:r>
    </w:p>
    <w:p>
      <w:pPr>
        <w:pStyle w:val="NormalWeb"/>
        <w:numPr>
          <w:ilvl w:val="0"/>
          <w:numId w:val="3"/>
        </w:numPr>
        <w:spacing w:beforeAutospacing="0" w:before="0" w:afterAutospacing="0" w:after="0"/>
        <w:jc w:val="both"/>
        <w:rPr>
          <w:b/>
          <w:b/>
        </w:rPr>
      </w:pPr>
      <w:r>
        <w:rPr>
          <w:b/>
          <w:bCs/>
          <w:color w:val="000000"/>
          <w:sz w:val="20"/>
          <w:szCs w:val="20"/>
        </w:rPr>
        <w:t>Инструмент «Проверка контрагента» для проверки информации об участниках закупки и поставщиках (подрядчиках, исполнителях)</w:t>
      </w:r>
    </w:p>
    <w:p>
      <w:pPr>
        <w:pStyle w:val="NormalWeb"/>
        <w:numPr>
          <w:ilvl w:val="1"/>
          <w:numId w:val="3"/>
        </w:numPr>
        <w:spacing w:lineRule="auto" w:line="271" w:beforeAutospacing="0" w:before="0" w:afterAutospacing="0" w:after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Автоматическая проверка на наличие  информации в РНП по 44-ФЗ и по 223-ФЗ;</w:t>
      </w:r>
    </w:p>
    <w:p>
      <w:pPr>
        <w:pStyle w:val="NormalWeb"/>
        <w:numPr>
          <w:ilvl w:val="1"/>
          <w:numId w:val="3"/>
        </w:numPr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Наличие сведений о лицензиях;</w:t>
      </w:r>
    </w:p>
    <w:p>
      <w:pPr>
        <w:pStyle w:val="NormalWeb"/>
        <w:numPr>
          <w:ilvl w:val="1"/>
          <w:numId w:val="3"/>
        </w:numPr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Наличие сведений о членстве в СРО;</w:t>
      </w:r>
    </w:p>
    <w:p>
      <w:pPr>
        <w:pStyle w:val="NormalWeb"/>
        <w:numPr>
          <w:ilvl w:val="1"/>
          <w:numId w:val="3"/>
        </w:numPr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Наличие сведений об обязательной аккредитации;</w:t>
      </w:r>
    </w:p>
    <w:p>
      <w:pPr>
        <w:pStyle w:val="NormalWeb"/>
        <w:numPr>
          <w:ilvl w:val="1"/>
          <w:numId w:val="3"/>
        </w:numPr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Автоматическая поверка на привлечение к административной ответственности по ст.19.28 КоАП РФ;</w:t>
      </w:r>
    </w:p>
    <w:p>
      <w:pPr>
        <w:pStyle w:val="NormalWeb"/>
        <w:numPr>
          <w:ilvl w:val="1"/>
          <w:numId w:val="3"/>
        </w:numPr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Проверка на наличие сведений в перечне иностранных агентов;</w:t>
      </w:r>
    </w:p>
    <w:p>
      <w:pPr>
        <w:pStyle w:val="NormalWeb"/>
        <w:numPr>
          <w:ilvl w:val="1"/>
          <w:numId w:val="3"/>
        </w:numPr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Проверка на наличие информации в подсанкционном списке по Указу Президента РФ от 03.05.2022 №252;</w:t>
      </w:r>
    </w:p>
    <w:p>
      <w:pPr>
        <w:pStyle w:val="NormalWeb"/>
        <w:numPr>
          <w:ilvl w:val="1"/>
          <w:numId w:val="3"/>
        </w:numPr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Проверка на наличие информации о банкротстве;</w:t>
      </w:r>
    </w:p>
    <w:p>
      <w:pPr>
        <w:pStyle w:val="NormalWeb"/>
        <w:numPr>
          <w:ilvl w:val="1"/>
          <w:numId w:val="3"/>
        </w:numPr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Проверка информации о наличии конкурсного производства;</w:t>
      </w:r>
    </w:p>
    <w:p>
      <w:pPr>
        <w:pStyle w:val="NormalWeb"/>
        <w:numPr>
          <w:ilvl w:val="1"/>
          <w:numId w:val="3"/>
        </w:numPr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Проверка информации об имеющихся исполнительных производствах;</w:t>
      </w:r>
    </w:p>
    <w:p>
      <w:pPr>
        <w:pStyle w:val="NormalWeb"/>
        <w:numPr>
          <w:ilvl w:val="1"/>
          <w:numId w:val="3"/>
        </w:numPr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Проверка на наличие недоимок, задолженности по уплате налогов и сборов;</w:t>
      </w:r>
    </w:p>
    <w:p>
      <w:pPr>
        <w:pStyle w:val="NormalWeb"/>
        <w:numPr>
          <w:ilvl w:val="1"/>
          <w:numId w:val="3"/>
        </w:numPr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Проверка информации о наличии судимости за преступления в сфере экономики (ст.158-204 УК РФ), преступления по статьям 289, 290, 291, 291.1 УК РФ;</w:t>
      </w:r>
    </w:p>
    <w:p>
      <w:pPr>
        <w:pStyle w:val="NormalWeb"/>
        <w:numPr>
          <w:ilvl w:val="1"/>
          <w:numId w:val="3"/>
        </w:numPr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Проверка на наличие информации о дисквалификации;</w:t>
      </w:r>
    </w:p>
    <w:p>
      <w:pPr>
        <w:pStyle w:val="NormalWeb"/>
        <w:numPr>
          <w:ilvl w:val="1"/>
          <w:numId w:val="3"/>
        </w:numPr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Проверка на наличие сведений об организации в списке офшорных компаний</w:t>
      </w:r>
    </w:p>
    <w:p>
      <w:pPr>
        <w:pStyle w:val="NormalWeb"/>
        <w:numPr>
          <w:ilvl w:val="1"/>
          <w:numId w:val="3"/>
        </w:numPr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Проверка информации о статусе СМП и СОНО у организации;</w:t>
      </w:r>
    </w:p>
    <w:p>
      <w:pPr>
        <w:pStyle w:val="NormalWeb"/>
        <w:numPr>
          <w:ilvl w:val="1"/>
          <w:numId w:val="3"/>
        </w:numPr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Проверка физического лица на наличие статуса плательщика налога на профессиональный доход;</w:t>
      </w:r>
    </w:p>
    <w:p>
      <w:pPr>
        <w:pStyle w:val="NormalWeb"/>
        <w:numPr>
          <w:ilvl w:val="1"/>
          <w:numId w:val="3"/>
        </w:numPr>
        <w:spacing w:beforeAutospacing="0" w:before="0" w:afterAutospacing="0" w:after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Возможность индивидуальной настройки необходимых критериев проверки;</w:t>
      </w:r>
    </w:p>
    <w:p>
      <w:pPr>
        <w:pStyle w:val="NormalWeb"/>
        <w:numPr>
          <w:ilvl w:val="1"/>
          <w:numId w:val="3"/>
        </w:numPr>
        <w:spacing w:beforeAutospacing="0" w:before="0" w:afterAutospacing="0" w:after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Вывод подсказки для пользователей об обязательности отдельных критериев проверки (право или обязанность) с указанием нормы закона;</w:t>
      </w:r>
    </w:p>
    <w:p>
      <w:pPr>
        <w:pStyle w:val="NormalWeb"/>
        <w:numPr>
          <w:ilvl w:val="1"/>
          <w:numId w:val="3"/>
        </w:numPr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Сохранение в файл формата xlsx результатов проверки.</w:t>
      </w:r>
    </w:p>
    <w:p>
      <w:pPr>
        <w:pStyle w:val="NormalWeb"/>
        <w:spacing w:beforeAutospacing="0" w:before="0" w:afterAutospacing="0" w:after="0"/>
        <w:ind w:left="360" w:hanging="0"/>
        <w:jc w:val="both"/>
        <w:rPr/>
      </w:pPr>
      <w:r>
        <w:rPr/>
        <w:t> </w:t>
      </w:r>
    </w:p>
    <w:p>
      <w:pPr>
        <w:pStyle w:val="NormalWeb"/>
        <w:numPr>
          <w:ilvl w:val="0"/>
          <w:numId w:val="3"/>
        </w:numPr>
        <w:spacing w:lineRule="auto" w:line="271" w:beforeAutospacing="0" w:before="0" w:afterAutospacing="0" w:after="0"/>
        <w:jc w:val="both"/>
        <w:rPr>
          <w:b/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Инструмент «ИИ эксперт по закону» </w:t>
      </w:r>
    </w:p>
    <w:p>
      <w:pPr>
        <w:pStyle w:val="NormalWeb"/>
        <w:numPr>
          <w:ilvl w:val="1"/>
          <w:numId w:val="3"/>
        </w:numPr>
        <w:spacing w:lineRule="auto" w:line="271" w:beforeAutospacing="0" w:before="0" w:afterAutospacing="0" w:after="0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О</w:t>
      </w:r>
      <w:r>
        <w:rPr>
          <w:sz w:val="20"/>
          <w:szCs w:val="20"/>
        </w:rPr>
        <w:t>перативные консультации пользователей по применению 44-ФЗ и иных нормативных правовых актов, регулирующих закупочную деятельность, на основе искусственного интеллекта. Пользователь задаёт вопрос о закупках, а ИИ анализирует законодательство, разъяснения контролирующих органов и формирует понятный и структурированный ответ.</w:t>
      </w:r>
    </w:p>
    <w:p>
      <w:pPr>
        <w:pStyle w:val="NormalWeb"/>
        <w:numPr>
          <w:ilvl w:val="1"/>
          <w:numId w:val="3"/>
        </w:numPr>
        <w:spacing w:lineRule="auto" w:line="271" w:beforeAutospacing="0" w:before="0" w:afterAutospacing="0" w:after="0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Сохранение истории запросов.</w:t>
      </w:r>
    </w:p>
    <w:p>
      <w:pPr>
        <w:pStyle w:val="NormalWeb"/>
        <w:spacing w:beforeAutospacing="0" w:before="0" w:afterAutospacing="0" w:after="0"/>
        <w:ind w:left="360" w:hanging="0"/>
        <w:jc w:val="both"/>
        <w:rPr/>
      </w:pPr>
      <w:r>
        <w:rPr/>
      </w:r>
    </w:p>
    <w:p>
      <w:pPr>
        <w:pStyle w:val="NormalWeb"/>
        <w:numPr>
          <w:ilvl w:val="0"/>
          <w:numId w:val="3"/>
        </w:numPr>
        <w:spacing w:beforeAutospacing="0" w:before="0" w:afterAutospacing="0" w:after="0"/>
        <w:jc w:val="both"/>
        <w:rPr>
          <w:b/>
          <w:b/>
        </w:rPr>
      </w:pPr>
      <w:r>
        <w:rPr>
          <w:b/>
          <w:bCs/>
          <w:color w:val="000000"/>
          <w:sz w:val="20"/>
          <w:szCs w:val="20"/>
        </w:rPr>
        <w:t>Сервис «Текущие закупки» для отслеживания событий по закупкам:</w:t>
      </w:r>
    </w:p>
    <w:p>
      <w:pPr>
        <w:pStyle w:val="NormalWeb"/>
        <w:numPr>
          <w:ilvl w:val="1"/>
          <w:numId w:val="3"/>
        </w:numPr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Блок «Запланированы на текущий год» - данные из Плана-графика, с указанием  наименование объекта закупки, ИКЗ, объема фин. обеспечения на текущий год, и остатка средств по позициям плана-графика;</w:t>
      </w:r>
    </w:p>
    <w:p>
      <w:pPr>
        <w:pStyle w:val="NormalWeb"/>
        <w:numPr>
          <w:ilvl w:val="2"/>
          <w:numId w:val="3"/>
        </w:numPr>
        <w:spacing w:beforeAutospacing="0" w:before="0" w:afterAutospacing="0" w:after="0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 xml:space="preserve">возможность просмотра связанных с позицией плана графика закупок и контрактов; </w:t>
      </w:r>
    </w:p>
    <w:p>
      <w:pPr>
        <w:pStyle w:val="NormalWeb"/>
        <w:numPr>
          <w:ilvl w:val="2"/>
          <w:numId w:val="3"/>
        </w:numPr>
        <w:spacing w:beforeAutospacing="0" w:before="0" w:afterAutospacing="0" w:after="0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возможность перехода в карточки закупки, контракта или плана-графика на ЕИС при нажатии на номер закупки, контракта или ИКЗ;</w:t>
      </w:r>
    </w:p>
    <w:p>
      <w:pPr>
        <w:pStyle w:val="NormalWeb"/>
        <w:numPr>
          <w:ilvl w:val="2"/>
          <w:numId w:val="3"/>
        </w:numPr>
        <w:spacing w:beforeAutospacing="0" w:before="0" w:afterAutospacing="0" w:after="0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возможность поиска закупок по наименованию;</w:t>
      </w:r>
    </w:p>
    <w:p>
      <w:pPr>
        <w:pStyle w:val="NormalWeb"/>
        <w:numPr>
          <w:ilvl w:val="1"/>
          <w:numId w:val="3"/>
        </w:numPr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Блок  «Проводятся» - закупки, находящиеся в процессе проведения с указанием приближающихся этапов проведения и сроков по ним;</w:t>
      </w:r>
    </w:p>
    <w:p>
      <w:pPr>
        <w:pStyle w:val="NormalWeb"/>
        <w:numPr>
          <w:ilvl w:val="2"/>
          <w:numId w:val="3"/>
        </w:numPr>
        <w:spacing w:beforeAutospacing="0" w:before="0" w:afterAutospacing="0" w:after="0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возможность перехода в карточку закупки на ЕИС при нажатии на название закупки;</w:t>
      </w:r>
    </w:p>
    <w:p>
      <w:pPr>
        <w:pStyle w:val="NormalWeb"/>
        <w:numPr>
          <w:ilvl w:val="1"/>
          <w:numId w:val="3"/>
        </w:numPr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Блок «Контракты на исполнении» - список находящихся на стадии исполнения контрактов (отдельных этапов контрактов) с информацией о произведенных оплатах;</w:t>
      </w:r>
    </w:p>
    <w:p>
      <w:pPr>
        <w:pStyle w:val="NormalWeb"/>
        <w:numPr>
          <w:ilvl w:val="2"/>
          <w:numId w:val="3"/>
        </w:numPr>
        <w:spacing w:beforeAutospacing="0" w:before="0" w:afterAutospacing="0" w:after="0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возможность перехода в карточку контракта на ЕИС при нажатии на название закупки.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> </w:t>
      </w:r>
    </w:p>
    <w:p>
      <w:pPr>
        <w:pStyle w:val="NormalWeb"/>
        <w:numPr>
          <w:ilvl w:val="0"/>
          <w:numId w:val="3"/>
        </w:numPr>
        <w:spacing w:beforeAutospacing="0" w:before="0" w:afterAutospacing="0" w:after="0"/>
        <w:jc w:val="both"/>
        <w:rPr>
          <w:b/>
          <w:b/>
        </w:rPr>
      </w:pPr>
      <w:r>
        <w:rPr>
          <w:b/>
          <w:bCs/>
          <w:color w:val="000000"/>
          <w:sz w:val="20"/>
          <w:szCs w:val="20"/>
        </w:rPr>
        <w:t>Сервис «Реестр закупок»:</w:t>
      </w:r>
    </w:p>
    <w:p>
      <w:pPr>
        <w:pStyle w:val="NormalWeb"/>
        <w:numPr>
          <w:ilvl w:val="1"/>
          <w:numId w:val="3"/>
        </w:numPr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Подгружаются все контакты по 44-ФЗ из ЕИС, с возможностью фильтрации по дате, способу закупки, цене контракта, статусу на ЕИС;</w:t>
      </w:r>
    </w:p>
    <w:p>
      <w:pPr>
        <w:pStyle w:val="NormalWeb"/>
        <w:numPr>
          <w:ilvl w:val="1"/>
          <w:numId w:val="3"/>
        </w:numPr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Возможность формирования отчета об объеме закупок у СМП за выбранный год;</w:t>
      </w:r>
    </w:p>
    <w:p>
      <w:pPr>
        <w:pStyle w:val="NormalWeb"/>
        <w:numPr>
          <w:ilvl w:val="1"/>
          <w:numId w:val="3"/>
        </w:numPr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Возможность загрузки прямых договоров по п.4, п.5 ч.1 ст. 93 44-ФЗ (из файла excel) и возможность ручного внесения прямых договоров;</w:t>
      </w:r>
    </w:p>
    <w:p>
      <w:pPr>
        <w:pStyle w:val="NormalWeb"/>
        <w:numPr>
          <w:ilvl w:val="1"/>
          <w:numId w:val="3"/>
        </w:numPr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Возможность выгрузки данных в excel - таблицу;</w:t>
      </w:r>
    </w:p>
    <w:p>
      <w:pPr>
        <w:pStyle w:val="NormalWeb"/>
        <w:numPr>
          <w:ilvl w:val="1"/>
          <w:numId w:val="3"/>
        </w:numPr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Расчет пеней, начисляемых поставщику.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> </w:t>
      </w:r>
    </w:p>
    <w:p>
      <w:pPr>
        <w:pStyle w:val="NormalWeb"/>
        <w:numPr>
          <w:ilvl w:val="0"/>
          <w:numId w:val="3"/>
        </w:numPr>
        <w:spacing w:lineRule="auto" w:line="271" w:beforeAutospacing="0" w:before="0" w:afterAutospacing="0" w:after="0"/>
        <w:jc w:val="both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Сервис «Планирование закупки»</w:t>
      </w:r>
    </w:p>
    <w:p>
      <w:pPr>
        <w:pStyle w:val="NormalWeb"/>
        <w:numPr>
          <w:ilvl w:val="1"/>
          <w:numId w:val="3"/>
        </w:numPr>
        <w:spacing w:lineRule="auto" w:line="271" w:beforeAutospacing="0" w:before="0" w:afterAutospacing="0" w:after="0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Создание заявки на закупку с возможностью заполнения следующих данных и их редактирования в дальнейшем: номер заявки, статус заявки, дата заявки, источник финансирования, наименование подразделения и наименование ТРУ, ответственное лицо, сумма по заявке, срок поставки, а так же возможность добавления и редактирования дополнительных полей с индивидуальной доп. информацией по заявке;</w:t>
      </w:r>
    </w:p>
    <w:p>
      <w:pPr>
        <w:pStyle w:val="NormalWeb"/>
        <w:numPr>
          <w:ilvl w:val="1"/>
          <w:numId w:val="3"/>
        </w:numPr>
        <w:spacing w:lineRule="auto" w:line="271" w:beforeAutospacing="0" w:before="0" w:afterAutospacing="0"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Подготовка описания объекта закупки: </w:t>
      </w:r>
    </w:p>
    <w:p>
      <w:pPr>
        <w:pStyle w:val="NormalWeb"/>
        <w:spacing w:lineRule="auto" w:line="271" w:beforeAutospacing="0" w:before="0" w:afterAutospacing="0" w:after="0"/>
        <w:ind w:left="360" w:hang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подбор кода ОКПД2/КТРУ, </w:t>
      </w:r>
    </w:p>
    <w:p>
      <w:pPr>
        <w:pStyle w:val="NormalWeb"/>
        <w:spacing w:lineRule="auto" w:line="271" w:beforeAutospacing="0" w:before="0" w:afterAutospacing="0" w:after="0"/>
        <w:ind w:left="360" w:hang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возможность выбора характеристик, предусмотренных позицией КТРУ, </w:t>
      </w:r>
    </w:p>
    <w:p>
      <w:pPr>
        <w:pStyle w:val="NormalWeb"/>
        <w:spacing w:lineRule="auto" w:line="271" w:beforeAutospacing="0" w:before="0" w:afterAutospacing="0" w:after="0"/>
        <w:ind w:left="360" w:hanging="0"/>
        <w:jc w:val="both"/>
        <w:rPr>
          <w:sz w:val="20"/>
          <w:szCs w:val="20"/>
        </w:rPr>
      </w:pPr>
      <w:r>
        <w:rPr>
          <w:sz w:val="20"/>
          <w:szCs w:val="20"/>
        </w:rPr>
        <w:t>- возможность указания дополнительных характеристик, не предусмотренных позицией КТРУ, в разрешенных законом случаях и обоснования их применения;</w:t>
      </w:r>
    </w:p>
    <w:p>
      <w:pPr>
        <w:pStyle w:val="NormalWeb"/>
        <w:spacing w:lineRule="auto" w:line="271" w:beforeAutospacing="0" w:before="0" w:afterAutospacing="0" w:after="0"/>
        <w:ind w:left="360" w:hanging="0"/>
        <w:jc w:val="both"/>
        <w:rPr>
          <w:sz w:val="20"/>
          <w:szCs w:val="20"/>
        </w:rPr>
      </w:pPr>
      <w:r>
        <w:rPr>
          <w:sz w:val="20"/>
          <w:szCs w:val="20"/>
        </w:rPr>
        <w:t>- возможность указаниях характеристик, если в закупке  используется не позиция КТРУ, а код ОКПД2;</w:t>
      </w:r>
    </w:p>
    <w:p>
      <w:pPr>
        <w:pStyle w:val="NormalWeb"/>
        <w:spacing w:lineRule="auto" w:line="271" w:beforeAutospacing="0" w:before="0" w:afterAutospacing="0" w:after="0"/>
        <w:ind w:left="360" w:hang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выбор инструкций по заполнению структурированной заявки участником закупки; </w:t>
      </w:r>
    </w:p>
    <w:p>
      <w:pPr>
        <w:pStyle w:val="NormalWeb"/>
        <w:spacing w:lineRule="auto" w:line="271" w:beforeAutospacing="0" w:before="0" w:afterAutospacing="0" w:after="0"/>
        <w:ind w:left="360" w:hang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возможность загрузить позиции из файла формата </w:t>
      </w:r>
      <w:r>
        <w:rPr>
          <w:sz w:val="20"/>
          <w:szCs w:val="20"/>
          <w:lang w:val="en-US"/>
        </w:rPr>
        <w:t>xlsx</w:t>
      </w:r>
      <w:r>
        <w:rPr>
          <w:sz w:val="20"/>
          <w:szCs w:val="20"/>
        </w:rPr>
        <w:t>;</w:t>
      </w:r>
    </w:p>
    <w:p>
      <w:pPr>
        <w:pStyle w:val="NormalWeb"/>
        <w:spacing w:lineRule="auto" w:line="271" w:beforeAutospacing="0" w:before="0" w:afterAutospacing="0" w:after="0"/>
        <w:ind w:left="360" w:hanging="0"/>
        <w:jc w:val="both"/>
        <w:rPr>
          <w:sz w:val="20"/>
          <w:szCs w:val="20"/>
        </w:rPr>
      </w:pPr>
      <w:r>
        <w:rPr>
          <w:sz w:val="20"/>
          <w:szCs w:val="20"/>
        </w:rPr>
        <w:t>- возможность скопировать в новую закупку выбранные позиции;</w:t>
      </w:r>
    </w:p>
    <w:p>
      <w:pPr>
        <w:pStyle w:val="NormalWeb"/>
        <w:spacing w:lineRule="auto" w:line="271" w:beforeAutospacing="0" w:before="0" w:afterAutospacing="0" w:after="0"/>
        <w:ind w:left="360" w:hanging="0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- </w:t>
      </w:r>
      <w:r>
        <w:rPr>
          <w:sz w:val="20"/>
          <w:szCs w:val="20"/>
        </w:rPr>
        <w:t xml:space="preserve"> формирование файла «Описание объекта закупки» в формате </w:t>
      </w:r>
      <w:r>
        <w:rPr>
          <w:sz w:val="20"/>
          <w:szCs w:val="20"/>
          <w:lang w:val="en-US"/>
        </w:rPr>
        <w:t>Word</w:t>
      </w:r>
      <w:r>
        <w:rPr>
          <w:sz w:val="20"/>
          <w:szCs w:val="20"/>
        </w:rPr>
        <w:t xml:space="preserve"> или </w:t>
      </w:r>
      <w:r>
        <w:rPr>
          <w:sz w:val="20"/>
          <w:szCs w:val="20"/>
          <w:lang w:val="en-US"/>
        </w:rPr>
        <w:t>Excel</w:t>
      </w:r>
      <w:r>
        <w:rPr>
          <w:sz w:val="20"/>
          <w:szCs w:val="20"/>
        </w:rPr>
        <w:t>;</w:t>
      </w:r>
    </w:p>
    <w:p>
      <w:pPr>
        <w:pStyle w:val="NormalWeb"/>
        <w:numPr>
          <w:ilvl w:val="1"/>
          <w:numId w:val="3"/>
        </w:numPr>
        <w:spacing w:lineRule="auto" w:line="271" w:beforeAutospacing="0" w:before="0" w:afterAutospacing="0" w:after="0"/>
        <w:jc w:val="both"/>
        <w:rPr>
          <w:sz w:val="20"/>
          <w:szCs w:val="20"/>
        </w:rPr>
      </w:pPr>
      <w:r>
        <w:rPr>
          <w:sz w:val="20"/>
          <w:szCs w:val="20"/>
        </w:rPr>
        <w:t>Проверка ТРУ, включенных в описание объекта закупки, на совместимость (лотирование), с автоматическим разделением списка на лоты. Выбор закона, по правилам которого  проводится разделение (№ 44-ФЗ/223-ФЗ);</w:t>
      </w:r>
    </w:p>
    <w:p>
      <w:pPr>
        <w:pStyle w:val="NormalWeb"/>
        <w:numPr>
          <w:ilvl w:val="1"/>
          <w:numId w:val="3"/>
        </w:numPr>
        <w:spacing w:lineRule="auto" w:line="271" w:beforeAutospacing="0" w:before="0" w:afterAutospacing="0" w:after="0"/>
        <w:jc w:val="both"/>
        <w:rPr>
          <w:sz w:val="20"/>
          <w:szCs w:val="20"/>
        </w:rPr>
      </w:pPr>
      <w:r>
        <w:rPr>
          <w:sz w:val="20"/>
          <w:szCs w:val="20"/>
        </w:rPr>
        <w:t>Поиск в реестре контрактов поставщиков не включенных в РНП, для ТРУ, включенных в описание объекта закупки, с фильтрами по региону поставщика, дате заключения, принадлежности к СМП, наличию исполненных без неустоек контрактов. Вывод контактных данных поставщиков (телефон, email). Возможность просмотреть количество исполненных контрактов у поставщика. Возможность запросить коммерческие предложения  по списку выбранных поставщиков и скопировать отмеченные электронные адреса;</w:t>
      </w:r>
    </w:p>
    <w:p>
      <w:pPr>
        <w:pStyle w:val="NormalWeb"/>
        <w:numPr>
          <w:ilvl w:val="1"/>
          <w:numId w:val="3"/>
        </w:numPr>
        <w:spacing w:lineRule="auto" w:line="271" w:beforeAutospacing="0" w:before="0" w:afterAutospacing="0" w:after="0"/>
        <w:jc w:val="both"/>
        <w:rPr>
          <w:sz w:val="20"/>
          <w:szCs w:val="20"/>
        </w:rPr>
      </w:pPr>
      <w:r>
        <w:rPr>
          <w:bCs/>
          <w:color w:val="000000"/>
          <w:sz w:val="20"/>
          <w:szCs w:val="20"/>
        </w:rPr>
        <w:t>Расчет НМЦК для ТРУ, включенных в описание объекта закупки, по методу сопоставимых рыночных цен (анализ рынка) согласно методическим рекомендациям Минэкономразвития РФ (Приказ от 2 октября 2013 г. N 567):</w:t>
      </w:r>
    </w:p>
    <w:p>
      <w:pPr>
        <w:pStyle w:val="NormalWeb"/>
        <w:spacing w:lineRule="auto" w:line="271" w:beforeAutospacing="0" w:before="0" w:afterAutospacing="0" w:after="0"/>
        <w:ind w:left="360" w:hang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поиск цен в ЕИС по коду ОКПД2/КТРУ и(или) наименованию товара, работы, услуги среди контрактов, которые исполнены и по которым не взыскивались неустойки (штрафы, пени) в связи с неисполнением или ненадлежащим исполнением, с фильтрами по региону, цене товара (работы, услуги) дате заключения контракта, сроку исполнения, способу закупки, единице измерения, поставленному количеству. Возможность выбрать товары, произведенные в РФ/ЕАЭС. Возможность автоматически применить повышающие  коэффициенты к ценам (по способу и по периоду). Возможность уточнить характеристики товаров в исполненных контрактах;</w:t>
      </w:r>
    </w:p>
    <w:p>
      <w:pPr>
        <w:pStyle w:val="NormalWeb"/>
        <w:spacing w:lineRule="auto" w:line="271" w:beforeAutospacing="0" w:before="0" w:afterAutospacing="0" w:after="0"/>
        <w:ind w:left="360" w:hang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автоматический расчет и контроль непревышения коэффициента вариации;</w:t>
      </w:r>
    </w:p>
    <w:p>
      <w:pPr>
        <w:pStyle w:val="NormalWeb"/>
        <w:spacing w:lineRule="auto" w:line="271" w:beforeAutospacing="0" w:before="0" w:afterAutospacing="0" w:after="0"/>
        <w:ind w:firstLine="360"/>
        <w:jc w:val="both"/>
        <w:rPr>
          <w:color w:val="000000"/>
          <w:sz w:val="20"/>
          <w:szCs w:val="20"/>
        </w:rPr>
      </w:pPr>
      <w:r>
        <w:rPr/>
        <w:t xml:space="preserve">- </w:t>
      </w:r>
      <w:r>
        <w:rPr>
          <w:color w:val="000000"/>
          <w:sz w:val="20"/>
          <w:szCs w:val="20"/>
        </w:rPr>
        <w:t>возможность добавления цен вручную;</w:t>
      </w:r>
    </w:p>
    <w:p>
      <w:pPr>
        <w:pStyle w:val="NormalWeb"/>
        <w:spacing w:lineRule="auto" w:line="271" w:beforeAutospacing="0" w:before="0" w:afterAutospacing="0" w:after="0"/>
        <w:ind w:firstLine="360"/>
        <w:jc w:val="both"/>
        <w:rPr/>
      </w:pPr>
      <w:r>
        <w:rPr/>
        <w:t>- ф</w:t>
      </w:r>
      <w:r>
        <w:rPr>
          <w:color w:val="000000"/>
          <w:sz w:val="20"/>
          <w:szCs w:val="20"/>
        </w:rPr>
        <w:t>ормирование отчета обоснования НМЦК, сохранение его в формате xlsx и docx.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</w:r>
    </w:p>
    <w:p>
      <w:pPr>
        <w:pStyle w:val="NormalWeb"/>
        <w:numPr>
          <w:ilvl w:val="0"/>
          <w:numId w:val="3"/>
        </w:numPr>
        <w:spacing w:beforeAutospacing="0" w:before="0" w:afterAutospacing="0" w:after="0"/>
        <w:jc w:val="both"/>
        <w:rPr>
          <w:b/>
          <w:b/>
        </w:rPr>
      </w:pPr>
      <w:r>
        <w:rPr>
          <w:b/>
          <w:bCs/>
          <w:color w:val="000000"/>
          <w:sz w:val="20"/>
          <w:szCs w:val="20"/>
        </w:rPr>
        <w:t>Раздел «Новости»:</w:t>
      </w:r>
    </w:p>
    <w:p>
      <w:pPr>
        <w:pStyle w:val="NormalWeb"/>
        <w:spacing w:beforeAutospacing="0" w:before="0" w:afterAutospacing="0" w:after="0"/>
        <w:ind w:left="360" w:hang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Ежедневные новости по законодательству о гос.закупках.</w:t>
      </w:r>
    </w:p>
    <w:p>
      <w:pPr>
        <w:pStyle w:val="NormalWeb"/>
        <w:spacing w:beforeAutospacing="0" w:before="0" w:afterAutospacing="0" w:after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Web"/>
        <w:numPr>
          <w:ilvl w:val="0"/>
          <w:numId w:val="3"/>
        </w:numPr>
        <w:spacing w:beforeAutospacing="0" w:before="0" w:afterAutospacing="0" w:after="0"/>
        <w:jc w:val="both"/>
        <w:rPr>
          <w:b/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Раздел «Полезные материалы» </w:t>
      </w:r>
    </w:p>
    <w:p>
      <w:pPr>
        <w:pStyle w:val="NormalWeb"/>
        <w:spacing w:beforeAutospacing="0" w:before="0" w:afterAutospacing="0" w:after="0"/>
        <w:ind w:left="360" w:hanging="0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Статьи и памятки, вебинары, вопросы эксперту, шаблоны документов по госзакупкам.</w:t>
      </w:r>
    </w:p>
    <w:p>
      <w:pPr>
        <w:pStyle w:val="NormalWeb"/>
        <w:spacing w:beforeAutospacing="0" w:before="0" w:afterAutospacing="0" w:after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Web"/>
        <w:spacing w:lineRule="auto" w:line="271" w:beforeAutospacing="0" w:before="0" w:afterAutospacing="0" w:after="0"/>
        <w:ind w:left="360" w:hanging="0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</w:r>
    </w:p>
    <w:p>
      <w:pPr>
        <w:pStyle w:val="NormalWeb"/>
        <w:numPr>
          <w:ilvl w:val="0"/>
          <w:numId w:val="3"/>
        </w:numPr>
        <w:spacing w:beforeAutospacing="0" w:before="0" w:afterAutospacing="0" w:after="0"/>
        <w:jc w:val="both"/>
        <w:rPr>
          <w:b/>
          <w:b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Технические требования: </w:t>
      </w:r>
    </w:p>
    <w:p>
      <w:pPr>
        <w:pStyle w:val="NormalWeb"/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Сервис должен поддерживать стабильную работу в следующих браузерах: Chrome,  Яндекс, Firefox, Opera.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> </w:t>
      </w:r>
    </w:p>
    <w:p>
      <w:pPr>
        <w:pStyle w:val="NormalWeb"/>
        <w:numPr>
          <w:ilvl w:val="0"/>
          <w:numId w:val="3"/>
        </w:numPr>
        <w:spacing w:beforeAutospacing="0" w:before="0" w:afterAutospacing="0" w:after="0"/>
        <w:jc w:val="both"/>
        <w:rPr>
          <w:b/>
          <w:b/>
        </w:rPr>
      </w:pPr>
      <w:r>
        <w:rPr>
          <w:b/>
          <w:bCs/>
          <w:color w:val="000000"/>
          <w:sz w:val="20"/>
          <w:szCs w:val="20"/>
        </w:rPr>
        <w:t>Требования к оказываемым услугам сопровождения программного обеспечения</w:t>
      </w:r>
    </w:p>
    <w:p>
      <w:pPr>
        <w:pStyle w:val="NormalWeb"/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 xml:space="preserve">Пользователям должна оказываться </w:t>
      </w:r>
      <w:r>
        <w:rPr>
          <w:b/>
          <w:bCs/>
          <w:color w:val="000000"/>
          <w:sz w:val="20"/>
          <w:szCs w:val="20"/>
        </w:rPr>
        <w:t>техническая и консультативная поддержка</w:t>
      </w:r>
      <w:r>
        <w:rPr>
          <w:color w:val="000000"/>
          <w:sz w:val="20"/>
          <w:szCs w:val="20"/>
        </w:rPr>
        <w:t xml:space="preserve"> по работе с  программным продуктом посредством телефонной связи и электронной почты.</w:t>
      </w:r>
      <w:bookmarkStart w:id="0" w:name="_GoBack"/>
      <w:bookmarkEnd w:id="0"/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sz w:val="2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sz w:val="2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sz w:val="20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sz w:val="20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sz w:val="20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sz w:val="20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sz w:val="20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sz w:val="20"/>
        <w:color w:val="000000"/>
      </w:rPr>
    </w:lvl>
  </w:abstractNum>
  <w:abstractNum w:abstractNumId="3"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sz w:val="2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sz w:val="2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sz w:val="20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sz w:val="20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sz w:val="20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sz w:val="20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sz w:val="20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sz w:val="20"/>
        <w:color w:val="000000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index heading" w:uiPriority="99"/>
    <w:lsdException w:name="caption" w:uiPriority="35" w:qFormat="1"/>
    <w:lsdException w:name="table of figures" w:uiPriority="99"/>
    <w:lsdException w:name="envelope address" w:uiPriority="99"/>
    <w:lsdException w:name="envelope return" w:uiPriority="99"/>
    <w:lsdException w:name="footnote reference" w:uiPriority="99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99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10" w:semiHidden="0" w:unhideWhenUsed="0" w:qFormat="1"/>
    <w:lsdException w:name="Closing" w:uiPriority="99"/>
    <w:lsdException w:name="Signature" w:uiPriority="99"/>
    <w:lsdException w:name="Default Paragraph Font" w:uiPriority="1"/>
    <w:lsdException w:name="Body Text" w:uiPriority="99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 w:qFormat="1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99" w:semiHidden="0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59" w:semiHidden="0" w:unhideWhenUsed="0"/>
    <w:lsdException w:name="Table Theme" w:uiPriority="99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Hyperlink"/>
    <w:basedOn w:val="DefaultParagraphFont"/>
    <w:uiPriority w:val="99"/>
    <w:semiHidden/>
    <w:unhideWhenUsed/>
    <w:qFormat/>
    <w:rPr>
      <w:color w:val="0000FF"/>
      <w:u w:val="singl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DejaVu Sans" w:cs="FreeSans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Free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FreeSans"/>
    </w:rPr>
  </w:style>
  <w:style w:type="paragraph" w:styleId="NormalWeb">
    <w:name w:val="Normal (Web)"/>
    <w:basedOn w:val="Normal"/>
    <w:uiPriority w:val="99"/>
    <w:unhideWhenUsed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Docdata" w:customStyle="1">
    <w:name w:val="docdata"/>
    <w:basedOn w:val="Normal"/>
    <w:uiPriority w:val="0"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default="1" w:styleId="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rosstat.gov.ru/storage/mediabank/139_10-09-2025.html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LibreOffice/7.4.7.2$Linux_X86_64 LibreOffice_project/40$Build-2</Application>
  <AppVersion>15.0000</AppVersion>
  <Pages>6</Pages>
  <Words>2946</Words>
  <Characters>19471</Characters>
  <CharactersWithSpaces>22175</CharactersWithSpaces>
  <Paragraphs>219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2025-01-20T13:08:00Z</dcterms:created>
  <dc:creator>USER</dc:creator>
  <dc:description/>
  <dc:language>ru-RU</dc:language>
  <cp:lastModifiedBy/>
  <cp:lastPrinted>2026-08-11T16:50:17Z</cp:lastPrinted>
  <dcterms:modified xsi:type="dcterms:W3CDTF">2026-08-11T16:52:11Z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DFF46FA9C64A4291BA631619D8769F4C_12</vt:lpwstr>
  </property>
  <property fmtid="{D5CDD505-2E9C-101B-9397-08002B2CF9AE}" pid="3" name="KSOProductBuildVer">
    <vt:lpwstr>1049-12.2.0.23155</vt:lpwstr>
  </property>
</Properties>
</file>