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46" w:rsidRPr="00117E46" w:rsidRDefault="00117E46" w:rsidP="00117E46">
      <w:pPr>
        <w:autoSpaceDE/>
        <w:jc w:val="center"/>
        <w:rPr>
          <w:b/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ОБОСНОВАНИЕ НАЧАЛЬНОЙ (МАКСИМАЛЬНОЙ) ЦЕНЫ ДОГОВОРА</w:t>
      </w:r>
    </w:p>
    <w:p w:rsidR="00117E46" w:rsidRPr="00117E46" w:rsidRDefault="00117E46" w:rsidP="00117E46">
      <w:pPr>
        <w:tabs>
          <w:tab w:val="left" w:pos="3744"/>
        </w:tabs>
        <w:autoSpaceDE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ab/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1. Наименование государственного заказчика (арендатора):</w:t>
      </w:r>
      <w:r w:rsidRPr="00117E46">
        <w:rPr>
          <w:color w:val="00000A"/>
          <w:sz w:val="24"/>
          <w:szCs w:val="24"/>
          <w:lang w:eastAsia="ru-RU"/>
        </w:rPr>
        <w:t xml:space="preserve"> Территориальный орган Федеральной службы государственной статистики по Новосибирской области (сокращенное наименование – Новосибирскстат)</w:t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>Место нахождения: Российская Федерация, Новосибирская область, г. Новосибирск</w:t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>Почтовый адрес: 630007, г. Новосибирск, ул. Каинская, д.6</w:t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p w:rsidR="00117E46" w:rsidRPr="00117E46" w:rsidRDefault="00117E46" w:rsidP="00117E46">
      <w:pPr>
        <w:autoSpaceDE/>
        <w:jc w:val="both"/>
        <w:rPr>
          <w:b/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2. Наименование, краткие характеристики и объем закупки:</w:t>
      </w:r>
    </w:p>
    <w:p w:rsid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 xml:space="preserve">Осуществление закупки у единственного исполнителя на право заключения государственного контракта (договора) </w:t>
      </w:r>
      <w:r>
        <w:rPr>
          <w:color w:val="00000A"/>
          <w:sz w:val="24"/>
          <w:szCs w:val="24"/>
          <w:lang w:eastAsia="ru-RU"/>
        </w:rPr>
        <w:t xml:space="preserve">на </w:t>
      </w:r>
      <w:r w:rsidR="00E31EAE">
        <w:rPr>
          <w:color w:val="00000A"/>
          <w:sz w:val="24"/>
          <w:szCs w:val="24"/>
          <w:lang w:eastAsia="ru-RU"/>
        </w:rPr>
        <w:t xml:space="preserve">поставку </w:t>
      </w:r>
      <w:r w:rsidR="00B66B7B">
        <w:rPr>
          <w:color w:val="00000A"/>
          <w:sz w:val="24"/>
          <w:szCs w:val="24"/>
          <w:lang w:eastAsia="ru-RU"/>
        </w:rPr>
        <w:t>хозяйственных товаров</w:t>
      </w:r>
      <w:r w:rsidRPr="00117E46">
        <w:rPr>
          <w:color w:val="00000A"/>
          <w:sz w:val="24"/>
          <w:szCs w:val="24"/>
          <w:lang w:eastAsia="ru-RU"/>
        </w:rPr>
        <w:t>.</w:t>
      </w:r>
    </w:p>
    <w:p w:rsidR="00EE4466" w:rsidRPr="00117E46" w:rsidRDefault="00EE4466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4" w:tblpY="112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345"/>
        <w:gridCol w:w="1627"/>
        <w:gridCol w:w="2301"/>
        <w:gridCol w:w="2203"/>
      </w:tblGrid>
      <w:tr w:rsidR="007C0845" w:rsidRPr="00117E46" w:rsidTr="00EE4466">
        <w:trPr>
          <w:trHeight w:val="701"/>
        </w:trPr>
        <w:tc>
          <w:tcPr>
            <w:tcW w:w="2090" w:type="dxa"/>
            <w:vMerge w:val="restart"/>
            <w:shd w:val="clear" w:color="auto" w:fill="auto"/>
            <w:vAlign w:val="center"/>
          </w:tcPr>
          <w:p w:rsidR="007C0845" w:rsidRPr="00117E46" w:rsidRDefault="007C0845" w:rsidP="00433FEA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117E46">
              <w:rPr>
                <w:color w:val="00000A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6273" w:type="dxa"/>
            <w:gridSpan w:val="3"/>
            <w:shd w:val="clear" w:color="auto" w:fill="auto"/>
            <w:vAlign w:val="center"/>
          </w:tcPr>
          <w:p w:rsidR="007C0845" w:rsidRPr="00117E46" w:rsidRDefault="007C0845" w:rsidP="00B66B7B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117E46">
              <w:rPr>
                <w:color w:val="00000A"/>
                <w:sz w:val="22"/>
                <w:szCs w:val="22"/>
                <w:lang w:eastAsia="ru-RU"/>
              </w:rPr>
              <w:t xml:space="preserve">Информация о стоимости </w:t>
            </w:r>
            <w:r w:rsidR="00B66B7B">
              <w:rPr>
                <w:color w:val="00000A"/>
                <w:sz w:val="22"/>
                <w:szCs w:val="22"/>
                <w:lang w:eastAsia="ru-RU"/>
              </w:rPr>
              <w:t>хозяйственных товаров</w:t>
            </w:r>
            <w:r>
              <w:rPr>
                <w:color w:val="00000A"/>
                <w:sz w:val="22"/>
                <w:szCs w:val="22"/>
                <w:lang w:eastAsia="ru-RU"/>
              </w:rPr>
              <w:t xml:space="preserve">, руб. 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7C0845" w:rsidRPr="00117E46" w:rsidRDefault="007C0845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117E46">
              <w:rPr>
                <w:color w:val="00000A"/>
                <w:sz w:val="22"/>
                <w:szCs w:val="22"/>
                <w:lang w:eastAsia="ru-RU"/>
              </w:rPr>
              <w:t>Среднее значение стоимости</w:t>
            </w:r>
            <w:r w:rsidR="00433FEA" w:rsidRPr="00F608BD">
              <w:rPr>
                <w:color w:val="00000A"/>
                <w:sz w:val="22"/>
                <w:szCs w:val="22"/>
                <w:lang w:eastAsia="ru-RU"/>
              </w:rPr>
              <w:t>, руб.</w:t>
            </w:r>
          </w:p>
        </w:tc>
      </w:tr>
      <w:tr w:rsidR="007C0845" w:rsidRPr="00117E46" w:rsidTr="00B66B7B">
        <w:trPr>
          <w:trHeight w:val="596"/>
        </w:trPr>
        <w:tc>
          <w:tcPr>
            <w:tcW w:w="2090" w:type="dxa"/>
            <w:vMerge/>
            <w:shd w:val="clear" w:color="auto" w:fill="auto"/>
            <w:vAlign w:val="center"/>
          </w:tcPr>
          <w:p w:rsidR="007C0845" w:rsidRPr="00117E46" w:rsidRDefault="007C0845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7C0845" w:rsidRPr="00117E46" w:rsidRDefault="00B66B7B" w:rsidP="00646B08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Коммерческое предложение №1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C0845" w:rsidRPr="00117E46" w:rsidRDefault="00B66B7B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Коммерческое предложение №2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C0845" w:rsidRPr="00117E46" w:rsidRDefault="00B66B7B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Коммерческое предложение №3</w:t>
            </w: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7C0845" w:rsidRPr="00117E46" w:rsidRDefault="007C0845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7C0845" w:rsidRPr="00117E46" w:rsidTr="00B66B7B">
        <w:trPr>
          <w:trHeight w:val="897"/>
        </w:trPr>
        <w:tc>
          <w:tcPr>
            <w:tcW w:w="2090" w:type="dxa"/>
            <w:shd w:val="clear" w:color="auto" w:fill="auto"/>
            <w:vAlign w:val="center"/>
          </w:tcPr>
          <w:p w:rsidR="007C0845" w:rsidRPr="00117E46" w:rsidRDefault="00B66B7B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Хозяйственные товары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C0845" w:rsidRPr="00117E46" w:rsidRDefault="00B66B7B" w:rsidP="007F30FE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59 997,40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C0845" w:rsidRPr="00117E46" w:rsidRDefault="00B66B7B" w:rsidP="007F30FE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78 294,64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C0845" w:rsidRPr="00117E46" w:rsidRDefault="00B66B7B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62 997,30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C0845" w:rsidRPr="00117E46" w:rsidRDefault="00B66B7B" w:rsidP="00675569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67 096,45</w:t>
            </w:r>
          </w:p>
        </w:tc>
      </w:tr>
    </w:tbl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p w:rsid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 xml:space="preserve">На основании письма Минфина России от 25 февраля 2020 г. № 24-01-08/132269,  а также в соответствии с ч. 2 ст. 72 Бюджетного кодекса Российской Федерации государственные контракты заключаются и оплачиваются в пределах лимитов бюджетных обязательств доведенных </w:t>
      </w:r>
      <w:r w:rsidR="00EF7FA2">
        <w:rPr>
          <w:color w:val="00000A"/>
          <w:sz w:val="24"/>
          <w:szCs w:val="24"/>
          <w:lang w:eastAsia="ru-RU"/>
        </w:rPr>
        <w:t>Заказчику</w:t>
      </w:r>
      <w:r w:rsidRPr="00117E46">
        <w:rPr>
          <w:color w:val="00000A"/>
          <w:sz w:val="24"/>
          <w:szCs w:val="24"/>
          <w:lang w:eastAsia="ru-RU"/>
        </w:rPr>
        <w:t xml:space="preserve">. В связи с этим </w:t>
      </w:r>
      <w:r w:rsidR="00EF7FA2">
        <w:rPr>
          <w:color w:val="00000A"/>
          <w:sz w:val="24"/>
          <w:szCs w:val="24"/>
          <w:lang w:eastAsia="ru-RU"/>
        </w:rPr>
        <w:t>Заказчик</w:t>
      </w:r>
      <w:r w:rsidRPr="00117E46">
        <w:rPr>
          <w:color w:val="00000A"/>
          <w:sz w:val="24"/>
          <w:szCs w:val="24"/>
          <w:lang w:eastAsia="ru-RU"/>
        </w:rPr>
        <w:t xml:space="preserve"> проводит расчет цены контракта по минимальному ценовому предложению и исходя из выделенных лимитов бюджетных обязательств. </w:t>
      </w:r>
    </w:p>
    <w:p w:rsidR="00A30756" w:rsidRPr="00117E46" w:rsidRDefault="00A30756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870"/>
      </w:tblGrid>
      <w:tr w:rsidR="00EF7FA2" w:rsidRPr="00117E46" w:rsidTr="00EF7FA2">
        <w:trPr>
          <w:trHeight w:val="569"/>
        </w:trPr>
        <w:tc>
          <w:tcPr>
            <w:tcW w:w="3794" w:type="dxa"/>
            <w:shd w:val="clear" w:color="auto" w:fill="auto"/>
            <w:vAlign w:val="center"/>
          </w:tcPr>
          <w:p w:rsidR="00EF7FA2" w:rsidRPr="00117E46" w:rsidRDefault="00EF7FA2" w:rsidP="00433FEA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 w:rsidRPr="00117E46">
              <w:rPr>
                <w:rFonts w:eastAsia="Calibri"/>
                <w:color w:val="00000A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7FA2" w:rsidRPr="00117E46" w:rsidRDefault="00EF7FA2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 w:rsidRPr="00117E46">
              <w:rPr>
                <w:rFonts w:eastAsia="Calibri"/>
                <w:color w:val="00000A"/>
                <w:sz w:val="24"/>
                <w:szCs w:val="24"/>
                <w:lang w:eastAsia="ru-RU"/>
              </w:rPr>
              <w:t>Количество</w:t>
            </w:r>
            <w:r w:rsidR="00433FEA">
              <w:rPr>
                <w:rFonts w:eastAsia="Calibri"/>
                <w:color w:val="00000A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EF7FA2" w:rsidRPr="00117E46" w:rsidRDefault="00433FEA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EF7FA2" w:rsidRPr="00117E46" w:rsidTr="00A30756">
        <w:trPr>
          <w:trHeight w:val="773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FA2" w:rsidRPr="00117E46" w:rsidRDefault="00B66B7B" w:rsidP="00A30756">
            <w:pPr>
              <w:autoSpaceDE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Коммерческое предложение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FA2" w:rsidRPr="00E31EAE" w:rsidRDefault="00363022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EF7FA2" w:rsidRPr="00117E46" w:rsidRDefault="00B66B7B" w:rsidP="00EF7FA2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59 997,40</w:t>
            </w:r>
          </w:p>
        </w:tc>
      </w:tr>
      <w:tr w:rsidR="00A30756" w:rsidRPr="00117E46" w:rsidTr="00A30756">
        <w:trPr>
          <w:trHeight w:val="7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56" w:rsidRPr="00117E46" w:rsidRDefault="00A30756" w:rsidP="00A30756">
            <w:pPr>
              <w:autoSpaceDE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56" w:rsidRPr="00E31EAE" w:rsidRDefault="00363022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56" w:rsidRPr="001523BC" w:rsidRDefault="00436C0C" w:rsidP="00363022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59997,40</w:t>
            </w:r>
            <w:bookmarkStart w:id="0" w:name="_GoBack"/>
            <w:bookmarkEnd w:id="0"/>
          </w:p>
        </w:tc>
      </w:tr>
    </w:tbl>
    <w:p w:rsidR="00117E46" w:rsidRP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A30756" w:rsidRDefault="00A3075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A30756" w:rsidRDefault="00A3075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94464F" w:rsidRDefault="0094464F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94464F" w:rsidRDefault="0094464F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94464F" w:rsidRDefault="0094464F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Начальная (максимальная) цена договора</w:t>
      </w:r>
      <w:r w:rsidRPr="00117E46">
        <w:rPr>
          <w:color w:val="00000A"/>
          <w:sz w:val="24"/>
          <w:szCs w:val="24"/>
          <w:lang w:eastAsia="ru-RU"/>
        </w:rPr>
        <w:t xml:space="preserve">: </w:t>
      </w:r>
      <w:r w:rsidR="00B66B7B">
        <w:rPr>
          <w:color w:val="00000A"/>
          <w:sz w:val="24"/>
          <w:szCs w:val="24"/>
          <w:lang w:eastAsia="ru-RU"/>
        </w:rPr>
        <w:t>59 997</w:t>
      </w:r>
      <w:r w:rsidR="00A30756" w:rsidRPr="00A30756">
        <w:rPr>
          <w:color w:val="00000A"/>
          <w:sz w:val="24"/>
          <w:szCs w:val="24"/>
          <w:lang w:eastAsia="ru-RU"/>
        </w:rPr>
        <w:t xml:space="preserve"> (</w:t>
      </w:r>
      <w:r w:rsidR="00B66B7B">
        <w:rPr>
          <w:color w:val="00000A"/>
          <w:sz w:val="24"/>
          <w:szCs w:val="24"/>
          <w:lang w:eastAsia="ru-RU"/>
        </w:rPr>
        <w:t xml:space="preserve">Пятьдесят девять </w:t>
      </w:r>
      <w:r w:rsidR="00363022">
        <w:rPr>
          <w:color w:val="00000A"/>
          <w:sz w:val="24"/>
          <w:szCs w:val="24"/>
          <w:lang w:eastAsia="ru-RU"/>
        </w:rPr>
        <w:t xml:space="preserve">тысяч </w:t>
      </w:r>
      <w:r w:rsidR="00B66B7B">
        <w:rPr>
          <w:color w:val="00000A"/>
          <w:sz w:val="24"/>
          <w:szCs w:val="24"/>
          <w:lang w:eastAsia="ru-RU"/>
        </w:rPr>
        <w:t>девятьсот девяносто семь</w:t>
      </w:r>
      <w:r w:rsidR="00A30756" w:rsidRPr="00E31EAE">
        <w:rPr>
          <w:color w:val="00000A"/>
          <w:sz w:val="24"/>
          <w:szCs w:val="24"/>
          <w:lang w:eastAsia="ru-RU"/>
        </w:rPr>
        <w:t>) рубл</w:t>
      </w:r>
      <w:r w:rsidR="007F30FE" w:rsidRPr="00E31EAE">
        <w:rPr>
          <w:color w:val="00000A"/>
          <w:sz w:val="24"/>
          <w:szCs w:val="24"/>
          <w:lang w:eastAsia="ru-RU"/>
        </w:rPr>
        <w:t>ей</w:t>
      </w:r>
      <w:r w:rsidR="00A30756" w:rsidRPr="00E31EAE">
        <w:rPr>
          <w:color w:val="00000A"/>
          <w:sz w:val="24"/>
          <w:szCs w:val="24"/>
          <w:lang w:eastAsia="ru-RU"/>
        </w:rPr>
        <w:t xml:space="preserve"> </w:t>
      </w:r>
      <w:r w:rsidR="00B66B7B">
        <w:rPr>
          <w:color w:val="00000A"/>
          <w:sz w:val="24"/>
          <w:szCs w:val="24"/>
          <w:lang w:eastAsia="ru-RU"/>
        </w:rPr>
        <w:t>4</w:t>
      </w:r>
      <w:r w:rsidR="00A30756" w:rsidRPr="00E31EAE">
        <w:rPr>
          <w:color w:val="00000A"/>
          <w:sz w:val="24"/>
          <w:szCs w:val="24"/>
          <w:lang w:eastAsia="ru-RU"/>
        </w:rPr>
        <w:t>0 копеек, НДС</w:t>
      </w:r>
      <w:r w:rsidR="0025365D" w:rsidRPr="00E31EAE">
        <w:rPr>
          <w:color w:val="00000A"/>
          <w:sz w:val="24"/>
          <w:szCs w:val="24"/>
          <w:lang w:eastAsia="ru-RU"/>
        </w:rPr>
        <w:t xml:space="preserve"> при наличии</w:t>
      </w:r>
      <w:r w:rsidR="00A30756" w:rsidRPr="00E31EAE">
        <w:rPr>
          <w:color w:val="00000A"/>
          <w:sz w:val="24"/>
          <w:szCs w:val="24"/>
          <w:lang w:eastAsia="ru-RU"/>
        </w:rPr>
        <w:t xml:space="preserve"> </w:t>
      </w:r>
      <w:r w:rsidR="0025365D" w:rsidRPr="00E31EAE">
        <w:rPr>
          <w:color w:val="00000A"/>
          <w:sz w:val="24"/>
          <w:szCs w:val="24"/>
          <w:lang w:eastAsia="ru-RU"/>
        </w:rPr>
        <w:t xml:space="preserve">либо НДС </w:t>
      </w:r>
      <w:r w:rsidR="00A30756" w:rsidRPr="00E31EAE">
        <w:rPr>
          <w:color w:val="00000A"/>
          <w:sz w:val="24"/>
          <w:szCs w:val="24"/>
          <w:lang w:eastAsia="ru-RU"/>
        </w:rPr>
        <w:t>не облагается на основании ст. 346.11 главы 26.2 НК РФ.</w:t>
      </w:r>
    </w:p>
    <w:sectPr w:rsidR="00117E46" w:rsidSect="009411B1">
      <w:footerReference w:type="default" r:id="rId7"/>
      <w:pgSz w:w="11906" w:h="16838"/>
      <w:pgMar w:top="1134" w:right="567" w:bottom="1134" w:left="85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123" w:rsidRDefault="00A60123" w:rsidP="008E083C">
      <w:r>
        <w:separator/>
      </w:r>
    </w:p>
  </w:endnote>
  <w:endnote w:type="continuationSeparator" w:id="0">
    <w:p w:rsidR="00A60123" w:rsidRDefault="00A60123" w:rsidP="008E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3C" w:rsidRDefault="008E08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123" w:rsidRDefault="00A60123" w:rsidP="008E083C">
      <w:r>
        <w:separator/>
      </w:r>
    </w:p>
  </w:footnote>
  <w:footnote w:type="continuationSeparator" w:id="0">
    <w:p w:rsidR="00A60123" w:rsidRDefault="00A60123" w:rsidP="008E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94"/>
    <w:rsid w:val="0003115F"/>
    <w:rsid w:val="0004468F"/>
    <w:rsid w:val="00117E46"/>
    <w:rsid w:val="001315A2"/>
    <w:rsid w:val="00145C2D"/>
    <w:rsid w:val="001523BC"/>
    <w:rsid w:val="0025365D"/>
    <w:rsid w:val="002755B7"/>
    <w:rsid w:val="002C4BC3"/>
    <w:rsid w:val="002F7949"/>
    <w:rsid w:val="00363022"/>
    <w:rsid w:val="00425E47"/>
    <w:rsid w:val="00433FEA"/>
    <w:rsid w:val="00435108"/>
    <w:rsid w:val="00436C0C"/>
    <w:rsid w:val="004B2E77"/>
    <w:rsid w:val="00510B63"/>
    <w:rsid w:val="005D04ED"/>
    <w:rsid w:val="005D2A86"/>
    <w:rsid w:val="00642C61"/>
    <w:rsid w:val="00646B08"/>
    <w:rsid w:val="00675569"/>
    <w:rsid w:val="00690544"/>
    <w:rsid w:val="007655B5"/>
    <w:rsid w:val="007C0845"/>
    <w:rsid w:val="007F30FE"/>
    <w:rsid w:val="008B3629"/>
    <w:rsid w:val="008E083C"/>
    <w:rsid w:val="00915BA8"/>
    <w:rsid w:val="009411B1"/>
    <w:rsid w:val="0094464F"/>
    <w:rsid w:val="009A51F0"/>
    <w:rsid w:val="009B1D80"/>
    <w:rsid w:val="009B5971"/>
    <w:rsid w:val="00A30756"/>
    <w:rsid w:val="00A60123"/>
    <w:rsid w:val="00AA3F66"/>
    <w:rsid w:val="00AE1839"/>
    <w:rsid w:val="00AF1B25"/>
    <w:rsid w:val="00B049BA"/>
    <w:rsid w:val="00B0508E"/>
    <w:rsid w:val="00B300EF"/>
    <w:rsid w:val="00B54126"/>
    <w:rsid w:val="00B55B8D"/>
    <w:rsid w:val="00B66B7B"/>
    <w:rsid w:val="00C2132A"/>
    <w:rsid w:val="00C62A94"/>
    <w:rsid w:val="00C657C7"/>
    <w:rsid w:val="00CC5AD9"/>
    <w:rsid w:val="00CE1D22"/>
    <w:rsid w:val="00D02792"/>
    <w:rsid w:val="00D15051"/>
    <w:rsid w:val="00D8637B"/>
    <w:rsid w:val="00E31EAE"/>
    <w:rsid w:val="00E32C28"/>
    <w:rsid w:val="00E96ADC"/>
    <w:rsid w:val="00E979DB"/>
    <w:rsid w:val="00EC3746"/>
    <w:rsid w:val="00EE4466"/>
    <w:rsid w:val="00EF344B"/>
    <w:rsid w:val="00EF7FA2"/>
    <w:rsid w:val="00F608BD"/>
    <w:rsid w:val="00F72188"/>
    <w:rsid w:val="00F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7F538-7E35-434C-83DB-D15D058D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5E4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25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4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8E0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08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8E0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083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1819-A493-42DF-AEBB-AC436762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Карина Игоревна</dc:creator>
  <cp:lastModifiedBy>Учетная запись Майкрософт</cp:lastModifiedBy>
  <cp:revision>11</cp:revision>
  <cp:lastPrinted>2025-08-14T03:22:00Z</cp:lastPrinted>
  <dcterms:created xsi:type="dcterms:W3CDTF">2025-08-14T03:23:00Z</dcterms:created>
  <dcterms:modified xsi:type="dcterms:W3CDTF">2026-07-02T04:56:00Z</dcterms:modified>
</cp:coreProperties>
</file>