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MS Mincho"/>
          <w:b/>
          <w:spacing w:val="-6"/>
          <w:sz w:val="22"/>
          <w:szCs w:val="22"/>
        </w:rPr>
      </w:pPr>
      <w:r>
        <w:rPr>
          <w:rFonts w:eastAsia="MS Mincho"/>
          <w:b/>
          <w:spacing w:val="-6"/>
          <w:sz w:val="22"/>
          <w:szCs w:val="22"/>
        </w:rPr>
        <w:t xml:space="preserve"> </w:t>
      </w:r>
      <w:r>
        <w:rPr>
          <w:rFonts w:eastAsia="MS Mincho"/>
          <w:b/>
          <w:spacing w:val="-6"/>
          <w:sz w:val="22"/>
          <w:szCs w:val="22"/>
        </w:rPr>
        <w:t xml:space="preserve">Приложение закупочной сессии</w:t>
      </w:r>
      <w:r>
        <w:rPr>
          <w:rFonts w:eastAsia="MS Mincho"/>
          <w:b/>
          <w:spacing w:val="-6"/>
          <w:sz w:val="22"/>
          <w:szCs w:val="22"/>
        </w:rPr>
      </w:r>
      <w:r>
        <w:rPr>
          <w:rFonts w:eastAsia="MS Mincho"/>
          <w:b/>
          <w:spacing w:val="-6"/>
          <w:sz w:val="22"/>
          <w:szCs w:val="22"/>
        </w:rPr>
      </w:r>
    </w:p>
    <w:p>
      <w:pPr>
        <w:jc w:val="center"/>
        <w:shd w:val="clear" w:color="ffffff" w:fill="ffffff"/>
        <w:rPr>
          <w:rFonts w:eastAsia="Arial"/>
          <w:b/>
          <w:bCs/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bookmarkStart w:id="0" w:name="Par688"/>
      <w:r/>
      <w:bookmarkEnd w:id="0"/>
      <w:r>
        <w:rPr>
          <w:rFonts w:eastAsia="Tahoma"/>
          <w:b/>
          <w:bCs/>
          <w:color w:val="000000"/>
          <w:sz w:val="22"/>
          <w:szCs w:val="22"/>
          <w:lang w:eastAsia="en-US"/>
        </w:rPr>
        <w:t xml:space="preserve">ИКЗ </w:t>
      </w:r>
      <w:r>
        <w:rPr>
          <w:rFonts w:eastAsia="Tahoma"/>
          <w:b/>
          <w:bCs/>
          <w:color w:val="000000"/>
          <w:sz w:val="22"/>
          <w:szCs w:val="22"/>
          <w:lang w:eastAsia="en-US"/>
        </w:rPr>
        <w:t xml:space="preserve">261773301215177330100100280000000244</w:t>
      </w:r>
      <w:r>
        <w:rPr>
          <w:rFonts w:eastAsia="Arial"/>
          <w:b/>
          <w:bCs/>
          <w:sz w:val="22"/>
          <w:szCs w:val="22"/>
          <w:lang w:eastAsia="en-US"/>
        </w:rPr>
      </w:r>
      <w:r>
        <w:rPr>
          <w:rFonts w:eastAsia="Arial"/>
          <w:b/>
          <w:bCs/>
          <w:sz w:val="22"/>
          <w:szCs w:val="22"/>
          <w:lang w:eastAsia="en-US"/>
        </w:rPr>
      </w:r>
    </w:p>
    <w:p>
      <w:pPr>
        <w:jc w:val="center"/>
        <w:shd w:val="clear" w:color="auto" w:fill="ffffff"/>
        <w:rPr>
          <w:color w:val="1a1a1a"/>
          <w:sz w:val="22"/>
          <w:szCs w:val="22"/>
        </w:rPr>
      </w:pPr>
      <w:r>
        <w:rPr>
          <w:color w:val="1a1a1a"/>
          <w:sz w:val="22"/>
          <w:szCs w:val="22"/>
        </w:rPr>
      </w:r>
      <w:r>
        <w:rPr>
          <w:color w:val="1a1a1a"/>
          <w:sz w:val="22"/>
          <w:szCs w:val="22"/>
        </w:rPr>
      </w:r>
      <w:r>
        <w:rPr>
          <w:color w:val="1a1a1a"/>
          <w:sz w:val="22"/>
          <w:szCs w:val="22"/>
        </w:rPr>
      </w:r>
    </w:p>
    <w:p>
      <w:pPr>
        <w:jc w:val="center"/>
        <w:widowControl w:val="off"/>
        <w:tabs>
          <w:tab w:val="left" w:pos="284" w:leader="none"/>
        </w:tabs>
        <w:rPr>
          <w:b/>
          <w:sz w:val="22"/>
          <w:szCs w:val="22"/>
        </w:rPr>
        <w:outlineLvl w:val="1"/>
      </w:pPr>
      <w:r>
        <w:rPr>
          <w:b/>
          <w:sz w:val="22"/>
          <w:szCs w:val="22"/>
        </w:rPr>
        <w:t xml:space="preserve">1.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Предмет </w:t>
      </w:r>
      <w:r>
        <w:rPr>
          <w:b/>
          <w:sz w:val="22"/>
          <w:szCs w:val="22"/>
        </w:rPr>
        <w:t xml:space="preserve">закупки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425"/>
        <w:jc w:val="both"/>
        <w:rPr>
          <w:rFonts w:ascii="Times New Roman" w:hAnsi="Times New Roman" w:cs="Times New Roman"/>
          <w:b/>
          <w:bCs/>
        </w:rPr>
      </w:pPr>
      <w:r/>
      <w:bookmarkStart w:id="1" w:name="Par690"/>
      <w:r/>
      <w:bookmarkEnd w:id="1"/>
      <w:r>
        <w:rPr>
          <w:b/>
          <w:bCs/>
          <w:sz w:val="22"/>
          <w:szCs w:val="22"/>
        </w:rPr>
        <w:t xml:space="preserve">             </w:t>
      </w:r>
      <w:r>
        <w:rPr>
          <w:b w:val="0"/>
          <w:bCs w:val="0"/>
          <w:sz w:val="22"/>
          <w:szCs w:val="22"/>
        </w:rPr>
        <w:t xml:space="preserve">1.1.  </w:t>
      </w:r>
      <w:r>
        <w:rPr>
          <w:b w:val="0"/>
          <w:bCs w:val="0"/>
          <w:sz w:val="22"/>
          <w:szCs w:val="22"/>
        </w:rPr>
        <w:t xml:space="preserve">Поставщик</w:t>
      </w:r>
      <w:r>
        <w:rPr>
          <w:b w:val="0"/>
          <w:bCs w:val="0"/>
          <w:sz w:val="22"/>
          <w:szCs w:val="22"/>
        </w:rPr>
        <w:t xml:space="preserve"> обязуется </w:t>
      </w:r>
      <w:r>
        <w:rPr>
          <w:b w:val="0"/>
          <w:bCs w:val="0"/>
          <w:sz w:val="22"/>
          <w:szCs w:val="22"/>
        </w:rPr>
        <w:t xml:space="preserve"> поставить у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гловой ротор для конических пробирок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и принадлежности к нему с полной совместимостью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центрифугой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val="en-US" w:eastAsia="ru-RU"/>
        </w:rPr>
        <w:t xml:space="preserve">Digicen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21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val="en-US" w:eastAsia="ru-RU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Orto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Alresa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</w:t>
      </w:r>
      <w:r>
        <w:rPr>
          <w:b/>
          <w:bCs/>
          <w:sz w:val="22"/>
          <w:szCs w:val="22"/>
        </w:rPr>
        <w:t xml:space="preserve">Д</w:t>
      </w:r>
      <w:r>
        <w:rPr>
          <w:b/>
          <w:bCs/>
          <w:sz w:val="22"/>
          <w:szCs w:val="22"/>
        </w:rPr>
        <w:t xml:space="preserve">алее –</w:t>
      </w:r>
      <w:r>
        <w:rPr>
          <w:b/>
          <w:bCs/>
          <w:sz w:val="22"/>
          <w:szCs w:val="22"/>
        </w:rPr>
        <w:t xml:space="preserve">Т</w:t>
      </w:r>
      <w:r>
        <w:rPr>
          <w:b/>
          <w:bCs/>
          <w:sz w:val="22"/>
          <w:szCs w:val="22"/>
        </w:rPr>
        <w:t xml:space="preserve">овар)</w:t>
      </w:r>
      <w:r>
        <w:rPr>
          <w:b/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 принять и оплатить </w:t>
      </w:r>
      <w:r>
        <w:rPr>
          <w:sz w:val="22"/>
          <w:szCs w:val="22"/>
        </w:rPr>
        <w:t xml:space="preserve">товар</w:t>
      </w:r>
      <w:r>
        <w:rPr>
          <w:sz w:val="22"/>
          <w:szCs w:val="22"/>
        </w:rPr>
        <w:t xml:space="preserve"> в порядке и на условиях, предусмотренных </w:t>
      </w:r>
      <w:r>
        <w:rPr>
          <w:sz w:val="22"/>
          <w:szCs w:val="22"/>
        </w:rPr>
        <w:t xml:space="preserve">электронным контрактом</w:t>
      </w:r>
      <w:r>
        <w:rPr>
          <w:sz w:val="22"/>
          <w:szCs w:val="22"/>
        </w:rPr>
        <w:t xml:space="preserve"> и Приложением (Техническое задание -Приложение к ЗС).</w:t>
      </w:r>
      <w:r>
        <w:rPr>
          <w:b/>
          <w:sz w:val="22"/>
          <w:szCs w:val="22"/>
        </w:rPr>
      </w:r>
      <w:r/>
      <w:r>
        <w:rPr>
          <w:rFonts w:ascii="Times New Roman" w:hAnsi="Times New Roman" w:cs="Times New Roman"/>
          <w:b w:val="0"/>
          <w:bCs w:val="0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</w:t>
      </w:r>
      <w:r>
        <w:rPr>
          <w:sz w:val="22"/>
          <w:szCs w:val="22"/>
        </w:rPr>
        <w:t xml:space="preserve">Талице 1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Э</w:t>
      </w:r>
      <w:r>
        <w:rPr>
          <w:sz w:val="22"/>
          <w:szCs w:val="22"/>
        </w:rPr>
        <w:t xml:space="preserve">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/>
      <w:bookmarkStart w:id="2" w:name="Par692"/>
      <w:r/>
      <w:bookmarkEnd w:id="2"/>
      <w:r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Цена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rFonts w:eastAsia="MS Mincho"/>
          <w:sz w:val="22"/>
          <w:szCs w:val="22"/>
        </w:rPr>
        <w:t xml:space="preserve">Цена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 установлена в электронно</w:t>
      </w:r>
      <w:r>
        <w:rPr>
          <w:rFonts w:eastAsia="MS Mincho"/>
          <w:sz w:val="22"/>
          <w:szCs w:val="22"/>
        </w:rPr>
        <w:t xml:space="preserve">м контракте</w:t>
      </w:r>
      <w:r>
        <w:rPr>
          <w:rFonts w:eastAsia="MS Mincho"/>
          <w:sz w:val="22"/>
          <w:szCs w:val="22"/>
        </w:rPr>
        <w:t xml:space="preserve">, в российских рублях и остается неизменной на весь срок исполнения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а.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7"/>
        <w:ind w:firstLine="720"/>
        <w:rPr>
          <w:rFonts w:ascii="Times New Roman" w:hAnsi="Times New Roman" w:eastAsia="MS Minch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</w:t>
      </w:r>
      <w:r>
        <w:rPr>
          <w:rFonts w:ascii="Times New Roman" w:hAnsi="Times New Roman" w:eastAsia="MS Mincho"/>
          <w:sz w:val="22"/>
          <w:szCs w:val="22"/>
        </w:rPr>
        <w:t xml:space="preserve">Цена настоящего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а может быть снижена по соглашению Сторон без изменения, предусмотренного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ом количества товаров и иных условий исполнения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а. </w:t>
      </w:r>
      <w:r>
        <w:rPr>
          <w:rFonts w:ascii="Times New Roman" w:hAnsi="Times New Roman" w:eastAsia="MS Mincho"/>
          <w:sz w:val="22"/>
          <w:szCs w:val="22"/>
        </w:rPr>
      </w:r>
      <w:r>
        <w:rPr>
          <w:rFonts w:ascii="Times New Roman" w:hAnsi="Times New Roman"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rFonts w:eastAsia="MS Mincho"/>
          <w:sz w:val="22"/>
          <w:szCs w:val="22"/>
        </w:rPr>
        <w:t xml:space="preserve"> Сумма, подлежащая уплате заказчиком в соответствии с п. </w:t>
      </w:r>
      <w:r>
        <w:rPr>
          <w:rFonts w:eastAsia="MS Mincho"/>
          <w:sz w:val="22"/>
          <w:szCs w:val="22"/>
        </w:rPr>
        <w:t xml:space="preserve">2</w:t>
      </w:r>
      <w:r>
        <w:rPr>
          <w:rFonts w:eastAsia="MS Mincho"/>
          <w:sz w:val="22"/>
          <w:szCs w:val="22"/>
        </w:rPr>
        <w:t xml:space="preserve">.1 настоящего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</w:t>
      </w:r>
      <w:r>
        <w:rPr>
          <w:rFonts w:eastAsia="MS Mincho"/>
          <w:sz w:val="22"/>
          <w:szCs w:val="22"/>
        </w:rPr>
        <w:t xml:space="preserve">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>
        <w:rPr>
          <w:sz w:val="22"/>
          <w:szCs w:val="22"/>
        </w:rPr>
        <w:t xml:space="preserve">Оплата за поставленный товар осуществляется Заказчиком в течение </w:t>
      </w:r>
      <w:r>
        <w:rPr>
          <w:sz w:val="22"/>
          <w:szCs w:val="22"/>
        </w:rPr>
        <w:t xml:space="preserve">7 (семи</w:t>
      </w:r>
      <w:r>
        <w:rPr>
          <w:sz w:val="22"/>
          <w:szCs w:val="22"/>
        </w:rPr>
        <w:t xml:space="preserve">) рабочих дней с момента подписания Заказчиком документов о приемке</w:t>
      </w:r>
      <w:r>
        <w:rPr>
          <w:sz w:val="22"/>
          <w:szCs w:val="22"/>
        </w:rPr>
        <w:t xml:space="preserve">, на основании выставленного Поставщиком счёта на оплату</w:t>
      </w:r>
      <w:r>
        <w:rPr>
          <w:rFonts w:eastAsia="MS Mincho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2.5. </w:t>
      </w:r>
      <w:r>
        <w:rPr>
          <w:sz w:val="22"/>
          <w:szCs w:val="22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  <w:r>
        <w:rPr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2.6.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2.7. В случае ненадлежащего исполнения Поставщиком обязательств,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том числе нарушения срока поставки Товара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 (этапу), Заказчик вправе произвести оплату поставленного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 (этапу) Товара с учетом вычета рассчитанного в установленном законодательством Российской Федерации порядке размера неустойки (пени, штрафа).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Сроки и порядок поставки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shd w:val="clear" w:color="auto" w:fill="ffffff"/>
        <w:rPr>
          <w:b/>
          <w:bCs/>
          <w:color w:val="1a1a1a"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3.1. </w:t>
      </w:r>
      <w:r>
        <w:rPr>
          <w:b/>
          <w:iCs/>
          <w:sz w:val="22"/>
          <w:szCs w:val="22"/>
        </w:rPr>
        <w:t xml:space="preserve">Товар Заказчику поставляется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в течении </w:t>
      </w:r>
      <w:r>
        <w:rPr>
          <w:b/>
          <w:iCs/>
          <w:sz w:val="22"/>
          <w:szCs w:val="22"/>
        </w:rPr>
        <w:t xml:space="preserve">120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(</w:t>
      </w:r>
      <w:r>
        <w:rPr>
          <w:b/>
          <w:iCs/>
          <w:sz w:val="22"/>
          <w:szCs w:val="22"/>
        </w:rPr>
        <w:t xml:space="preserve">сто двадцать</w:t>
      </w:r>
      <w:r>
        <w:rPr>
          <w:b/>
          <w:iCs/>
          <w:sz w:val="22"/>
          <w:szCs w:val="22"/>
        </w:rPr>
        <w:t xml:space="preserve">) </w:t>
      </w:r>
      <w:r>
        <w:rPr>
          <w:b/>
          <w:iCs/>
          <w:sz w:val="22"/>
          <w:szCs w:val="22"/>
        </w:rPr>
        <w:t xml:space="preserve">календарных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д</w:t>
      </w:r>
      <w:r>
        <w:rPr>
          <w:b/>
          <w:iCs/>
          <w:sz w:val="22"/>
          <w:szCs w:val="22"/>
        </w:rPr>
        <w:t xml:space="preserve">ней</w:t>
      </w:r>
      <w:r>
        <w:rPr>
          <w:b/>
          <w:iCs/>
          <w:sz w:val="22"/>
          <w:szCs w:val="22"/>
        </w:rPr>
        <w:t xml:space="preserve"> с даты</w:t>
      </w:r>
      <w:r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 xml:space="preserve">заключения Контракта</w:t>
      </w:r>
      <w:r>
        <w:rPr>
          <w:b/>
          <w:iCs/>
          <w:sz w:val="22"/>
          <w:szCs w:val="22"/>
        </w:rPr>
        <w:t xml:space="preserve">.</w:t>
      </w:r>
      <w:r>
        <w:rPr>
          <w:b/>
          <w:iCs/>
          <w:sz w:val="22"/>
          <w:szCs w:val="22"/>
        </w:rPr>
        <w:t xml:space="preserve"> </w:t>
      </w:r>
      <w:r>
        <w:rPr>
          <w:b/>
          <w:bCs/>
          <w:color w:val="1a1a1a"/>
          <w:sz w:val="22"/>
          <w:szCs w:val="22"/>
        </w:rPr>
      </w:r>
      <w:r>
        <w:rPr>
          <w:b/>
          <w:bCs/>
          <w:color w:val="1a1a1a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договоренности) с 09:00 до 15:00 часов по адресу: г. Москва, Волоколамское шоссе, д. 80, стр. 1 (далее – место доставки).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3.3. Поставка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Calibri"/>
          <w:color w:val="000000"/>
          <w:sz w:val="22"/>
          <w:szCs w:val="22"/>
          <w:shd w:val="clear" w:color="auto" w:fill="ffffff"/>
          <w:lang w:eastAsia="en-US"/>
          <w14:ligatures w14:val="standardContextual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  <w14:ligatures w14:val="standardContextual"/>
        </w:rPr>
        <w:t xml:space="preserve">Упаковка и маркировка товара должны соответствовать требованиям ГОСТ 17527-2020 «Упаковка»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  <w14:ligatures w14:val="standardContextual"/>
        </w:rPr>
        <w:t xml:space="preserve">.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  <w14:ligatures w14:val="standardContextual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tabs>
          <w:tab w:val="left" w:pos="1006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tabs>
          <w:tab w:val="left" w:pos="1006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Качество товара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4.1. 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4.2. Поставщик гарантирует безопасность Товара в соответствии с требованиями, установленным</w:t>
      </w:r>
      <w:r>
        <w:rPr>
          <w:rFonts w:eastAsia="Calibri"/>
          <w:sz w:val="22"/>
          <w:szCs w:val="22"/>
          <w:lang w:eastAsia="en-US"/>
        </w:rPr>
        <w:t xml:space="preserve">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eastAsia="Calibri"/>
          <w:sz w:val="22"/>
          <w:szCs w:val="22"/>
          <w:lang w:eastAsia="en-US"/>
        </w:rPr>
        <w:t xml:space="preserve">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/>
      <w:bookmarkStart w:id="3" w:name="P1546"/>
      <w:r/>
      <w:bookmarkEnd w:id="3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/>
      <w:bookmarkStart w:id="4" w:name="P1547"/>
      <w:r/>
      <w:bookmarkStart w:id="5" w:name="P1548"/>
      <w:r/>
      <w:bookmarkEnd w:id="4"/>
      <w:r/>
      <w:bookmarkEnd w:id="5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709"/>
        <w:jc w:val="both"/>
        <w:rPr>
          <w:sz w:val="22"/>
          <w:szCs w:val="22"/>
        </w:rPr>
      </w:pPr>
      <w:r/>
      <w:bookmarkStart w:id="6" w:name="Par162"/>
      <w:r/>
      <w:bookmarkEnd w:id="6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color w:val="1a1a1a"/>
          <w:sz w:val="22"/>
          <w:szCs w:val="22"/>
        </w:rPr>
      </w:pPr>
      <w:r>
        <w:rPr>
          <w:sz w:val="22"/>
          <w:szCs w:val="22"/>
        </w:rPr>
        <w:t xml:space="preserve">4.</w:t>
      </w:r>
      <w:r>
        <w:rPr>
          <w:sz w:val="22"/>
          <w:szCs w:val="22"/>
        </w:rPr>
        <w:t xml:space="preserve">10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Наименование и технические характеристики </w:t>
      </w:r>
      <w:r>
        <w:rPr>
          <w:sz w:val="22"/>
          <w:szCs w:val="22"/>
        </w:rPr>
        <w:t xml:space="preserve">поставляемого товара приведен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Таблице 1.</w:t>
      </w:r>
      <w:r>
        <w:rPr>
          <w:sz w:val="22"/>
          <w:szCs w:val="22"/>
        </w:rPr>
      </w:r>
      <w:r>
        <w:rPr>
          <w:color w:val="1a1a1a"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Таблица 1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123"/>
        <w:gridCol w:w="926"/>
        <w:gridCol w:w="777"/>
      </w:tblGrid>
      <w:tr>
        <w:tblPrEx/>
        <w:trPr>
          <w:jc w:val="center"/>
          <w:trHeight w:val="71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65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№ п/п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12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b/>
                <w:bCs/>
                <w:sz w:val="20"/>
                <w:szCs w:val="20"/>
                <w:lang w:bidi="ru-RU"/>
              </w:rPr>
              <w:outlineLvl w:val="1"/>
            </w:pPr>
            <w:r>
              <w:rPr>
                <w:b/>
                <w:bCs/>
                <w:sz w:val="20"/>
                <w:szCs w:val="20"/>
                <w:lang w:bidi="ru-RU"/>
              </w:rPr>
              <w:t xml:space="preserve">Наименование</w:t>
            </w:r>
            <w:r>
              <w:rPr>
                <w:b/>
                <w:bCs/>
                <w:sz w:val="20"/>
                <w:szCs w:val="20"/>
                <w:lang w:bidi="ru-RU"/>
              </w:rPr>
            </w:r>
            <w:r>
              <w:rPr>
                <w:b/>
                <w:bCs/>
                <w:sz w:val="20"/>
                <w:szCs w:val="20"/>
                <w:lang w:bidi="ru-RU"/>
              </w:rPr>
            </w:r>
          </w:p>
          <w:p>
            <w:pPr>
              <w:ind w:left="57" w:right="57"/>
              <w:rPr>
                <w:b/>
                <w:bCs/>
                <w:sz w:val="36"/>
                <w:szCs w:val="36"/>
                <w:lang w:bidi="ru-RU"/>
              </w:rPr>
              <w:outlineLvl w:val="1"/>
            </w:pPr>
            <w:r>
              <w:rPr>
                <w:b/>
                <w:bCs/>
                <w:sz w:val="20"/>
                <w:szCs w:val="20"/>
                <w:lang w:bidi="ru-RU"/>
              </w:rPr>
              <w:t xml:space="preserve">Код ОКПД2 27.51.11 - Холодильники и</w:t>
            </w:r>
            <w:r>
              <w:rPr>
                <w:b/>
                <w:bCs/>
                <w:sz w:val="36"/>
                <w:szCs w:val="36"/>
                <w:lang w:bidi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bidi="ru-RU"/>
              </w:rPr>
              <w:t xml:space="preserve">морозильники бытовые</w:t>
            </w:r>
            <w:r>
              <w:rPr>
                <w:b/>
                <w:bCs/>
                <w:sz w:val="36"/>
                <w:szCs w:val="36"/>
                <w:lang w:bidi="ru-RU"/>
              </w:rPr>
            </w:r>
            <w:r>
              <w:rPr>
                <w:b/>
                <w:bCs/>
                <w:sz w:val="36"/>
                <w:szCs w:val="36"/>
                <w:lang w:bidi="ru-RU"/>
              </w:rPr>
            </w:r>
          </w:p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  <w:lang w:bidi="ru-RU"/>
              </w:rPr>
            </w:pPr>
            <w:r>
              <w:rPr>
                <w:b/>
                <w:iCs/>
                <w:sz w:val="20"/>
                <w:szCs w:val="20"/>
                <w:lang w:bidi="ru-RU"/>
              </w:rPr>
            </w:r>
            <w:r>
              <w:rPr>
                <w:b/>
                <w:iCs/>
                <w:sz w:val="20"/>
                <w:szCs w:val="20"/>
                <w:lang w:bidi="ru-RU"/>
              </w:rPr>
            </w:r>
            <w:r>
              <w:rPr>
                <w:b/>
                <w:iCs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6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Ед.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изм.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77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Кол-во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</w:tr>
      <w:tr>
        <w:tblPrEx/>
        <w:trPr>
          <w:jc w:val="center"/>
          <w:trHeight w:val="51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65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bCs/>
                <w:iCs/>
                <w:sz w:val="20"/>
                <w:szCs w:val="20"/>
                <w:highlight w:val="none"/>
              </w:rPr>
            </w:pPr>
            <w:r>
              <w:rPr>
                <w:b/>
                <w:iCs/>
                <w:sz w:val="20"/>
                <w:szCs w:val="20"/>
              </w:rPr>
              <w:t xml:space="preserve">1.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bCs/>
                <w:iCs/>
                <w:sz w:val="20"/>
                <w:szCs w:val="20"/>
                <w:highlight w:val="none"/>
              </w:rPr>
            </w:r>
          </w:p>
          <w:p>
            <w:pPr>
              <w:ind w:left="57" w:right="57"/>
              <w:jc w:val="center"/>
              <w:widowControl w:val="off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highlight w:val="none"/>
              </w:rPr>
            </w:r>
            <w:r>
              <w:rPr>
                <w:b/>
                <w:iCs/>
                <w:sz w:val="20"/>
                <w:szCs w:val="20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1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отор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гловой</w:t>
            </w:r>
            <w:r/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Угловой тип ротора –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Угол расположения пробирок - не более 30°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Максимальное количество пробирок типа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Фалькон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объемом 50 мл, помещающихся в ротор - Не менее 6 мест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Максимальная скорость вращения – не менее </w:t>
            </w:r>
            <w:r>
              <w:rPr>
                <w:rStyle w:val="1_898"/>
                <w:rFonts w:ascii="Times New Roman" w:hAnsi="Times New Roman" w:cs="Times New Roman"/>
                <w:color w:val="000000"/>
              </w:rPr>
              <w:t xml:space="preserve">9000 об/мин</w:t>
            </w:r>
            <w:r>
              <w:rPr>
                <w:rStyle w:val="1_898"/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Style w:val="1_898"/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Style w:val="1_898"/>
                <w:rFonts w:ascii="Times New Roman" w:hAnsi="Times New Roman" w:cs="Times New Roman"/>
                <w:color w:val="000000"/>
              </w:rPr>
              <w:t xml:space="preserve">Максимальное относительное центробежное ускорение 91</w:t>
            </w:r>
            <w:r>
              <w:rPr>
                <w:rFonts w:ascii="Times New Roman" w:hAnsi="Times New Roman" w:cs="Times New Roman"/>
                <w:color w:val="000000"/>
              </w:rPr>
              <w:t xml:space="preserve">46 ×g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Возможность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автоклавирования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Устойчивость к воздействию дезинфицирующих средств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Возможность многократной установки и снятия без применения специального инструмента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Автоматическая идентификация установленного ротора центрифугой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Возможность установки и эксплуатации адаптеров для пробирок объемом 50 мл, 15 мл 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микропробирок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1,5–2,0 мл без изменения конструкции ротора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Возможность работы с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микропробирками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объемом 0,2/0,4 мл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Герметичная крышка ротора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Полная </w:t>
            </w:r>
            <w:r>
              <w:rPr>
                <w:rFonts w:ascii="Times New Roman" w:hAnsi="Times New Roman" w:cs="Times New Roman"/>
              </w:rPr>
              <w:t xml:space="preserve">конструктивная и функциональная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совместимость с центрифугой 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Digicen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21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находящейся в эксплуатации у Заказчика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)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Гарантийный срок эксплуатации – не менее 12 месяцев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  <w:t xml:space="preserve">Регистрационное удостоверение – наличие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упак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77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</w:tr>
      <w:tr>
        <w:tblPrEx/>
        <w:trPr>
          <w:jc w:val="center"/>
          <w:trHeight w:val="55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65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2.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1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Адаптер</w:t>
            </w:r>
            <w:r>
              <w:rPr>
                <w:rFonts w:ascii="Times New Roman" w:hAnsi="Times New Roman" w:cs="Times New Roman"/>
              </w:rPr>
              <w:t xml:space="preserve"> для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 - Адаптеры для конических пробирок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Полная конструктивная и функциональная совместимость с роторами центрифуг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(для размещения в </w:t>
            </w:r>
            <w:r>
              <w:rPr>
                <w:rFonts w:ascii="Times New Roman" w:hAnsi="Times New Roman" w:cs="Times New Roman"/>
              </w:rPr>
              <w:t xml:space="preserve">бакетах</w:t>
            </w:r>
            <w:r>
              <w:rPr>
                <w:rFonts w:ascii="Times New Roman" w:hAnsi="Times New Roman" w:cs="Times New Roman"/>
              </w:rPr>
              <w:t xml:space="preserve">/гнездах ротора) – наличие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адаптеров в комплекте – не менее 4 шт.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Style w:val="1063"/>
                <w:rFonts w:ascii="Times New Roman" w:hAnsi="Times New Roman" w:cs="Times New Roman"/>
                <w:b w:val="0"/>
              </w:rPr>
              <w:t xml:space="preserve">Тип и объем размещаемых пробирок - </w:t>
            </w:r>
            <w:r>
              <w:rPr>
                <w:rFonts w:ascii="Times New Roman" w:hAnsi="Times New Roman" w:cs="Times New Roman"/>
              </w:rPr>
              <w:t xml:space="preserve">Конические пробирки типа </w:t>
            </w:r>
            <w:r>
              <w:rPr>
                <w:rFonts w:ascii="Times New Roman" w:hAnsi="Times New Roman" w:cs="Times New Roman"/>
              </w:rPr>
              <w:t xml:space="preserve">Фалькон</w:t>
            </w:r>
            <w:r>
              <w:rPr>
                <w:rFonts w:ascii="Times New Roman" w:hAnsi="Times New Roman" w:cs="Times New Roman"/>
              </w:rPr>
              <w:t xml:space="preserve"> объемом </w:t>
            </w:r>
            <w:r>
              <w:rPr>
                <w:rStyle w:val="1063"/>
                <w:rFonts w:ascii="Times New Roman" w:hAnsi="Times New Roman" w:cs="Times New Roman"/>
                <w:b w:val="0"/>
              </w:rPr>
              <w:t xml:space="preserve">15 мл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Times New Roman" w:hAnsi="Times New Roman" w:cs="Times New Roman"/>
              </w:rPr>
              <w:t xml:space="preserve"> 17 × 122 мм)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Количество мест в одном адаптере - 1 место для 1 конической пробирки 15 мл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 - Высокопрочный, химически стойкий пластик, устойчивый к воздействию дезинфицирующих средств.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Способ стерилизации (обработки) - Долж</w:t>
            </w:r>
            <w:r>
              <w:rPr>
                <w:rFonts w:ascii="Times New Roman" w:hAnsi="Times New Roman" w:cs="Times New Roman"/>
              </w:rPr>
              <w:t xml:space="preserve">ны</w:t>
            </w:r>
            <w:r>
              <w:rPr>
                <w:rFonts w:ascii="Times New Roman" w:hAnsi="Times New Roman" w:cs="Times New Roman"/>
              </w:rPr>
              <w:t xml:space="preserve"> выдерживать многократную термическую стерилизацию методом </w:t>
            </w:r>
            <w:r>
              <w:rPr>
                <w:rStyle w:val="1063"/>
                <w:rFonts w:ascii="Times New Roman" w:hAnsi="Times New Roman" w:cs="Times New Roman"/>
                <w:b w:val="0"/>
              </w:rPr>
              <w:t xml:space="preserve">автоклавирования</w:t>
            </w:r>
            <w:r>
              <w:rPr>
                <w:rFonts w:ascii="Times New Roman" w:hAnsi="Times New Roman" w:cs="Times New Roman"/>
              </w:rPr>
              <w:t xml:space="preserve"> при температуре не менее 121 °C.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Безопасность эксплуатации - Полное соответствие весовым и геометрическим параметрам производителя для исключения дисбаланса ротора при максимальных оборотах центрифуги.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  <w:t xml:space="preserve">Регистрационное удостоверение – наличие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6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упак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77" w:type="dxa"/>
            <w:textDirection w:val="lrTb"/>
            <w:noWrap w:val="false"/>
          </w:tcPr>
          <w:p>
            <w:pPr>
              <w:ind w:left="57" w:right="57"/>
              <w:jc w:val="center"/>
              <w:widowControl w:val="off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65" w:type="dxa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3.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12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/>
            <w:r>
              <w:rPr>
                <w:rFonts w:ascii="Times New Roman" w:hAnsi="Times New Roman" w:cs="Times New Roman"/>
              </w:rPr>
              <w:t xml:space="preserve">Адаптер</w:t>
            </w:r>
            <w:r>
              <w:rPr>
                <w:rFonts w:ascii="Times New Roman" w:hAnsi="Times New Roman" w:cs="Times New Roman"/>
              </w:rPr>
              <w:t xml:space="preserve"> для пробирок</w:t>
            </w:r>
            <w:r/>
            <w:r/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  <w:p>
            <w:pPr>
              <w:rPr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 - </w:t>
            </w:r>
            <w:r>
              <w:rPr>
                <w:rFonts w:ascii="Times New Roman" w:hAnsi="Times New Roman" w:cs="Times New Roman"/>
              </w:rPr>
              <w:t xml:space="preserve">Мультиадаптеры</w:t>
            </w:r>
            <w:r>
              <w:rPr>
                <w:rFonts w:ascii="Times New Roman" w:hAnsi="Times New Roman" w:cs="Times New Roman"/>
              </w:rPr>
              <w:t xml:space="preserve"> для конических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совместимость - Полная конструктивная, весовая и функциональная совместимость с </w:t>
            </w:r>
            <w:r>
              <w:rPr>
                <w:rFonts w:ascii="Times New Roman" w:hAnsi="Times New Roman" w:cs="Times New Roman"/>
              </w:rPr>
              <w:t xml:space="preserve">бакетами</w:t>
            </w:r>
            <w:r>
              <w:rPr>
                <w:rFonts w:ascii="Times New Roman" w:hAnsi="Times New Roman" w:cs="Times New Roman"/>
              </w:rPr>
              <w:t xml:space="preserve"> качающихся роторов центрифуг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для одновременного центрифугирования группы пробирок.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адаптеров в комплекте – не менее 4 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Количество мест в одном адаптере – не менее 8 мест</w:t>
            </w:r>
            <w:r>
              <w:rPr>
                <w:rFonts w:ascii="Times New Roman" w:hAnsi="Times New Roman" w:cs="Times New Roman"/>
              </w:rPr>
              <w:t xml:space="preserve"> для одновременного размещения 8 конических пробирок.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Тип и объем размещаемых пробирок - </w:t>
            </w:r>
            <w:r>
              <w:rPr>
                <w:rFonts w:ascii="Times New Roman" w:hAnsi="Times New Roman" w:cs="Times New Roman"/>
              </w:rPr>
              <w:t xml:space="preserve">Конические пробирки типа </w:t>
            </w:r>
            <w:r>
              <w:rPr>
                <w:rFonts w:ascii="Times New Roman" w:hAnsi="Times New Roman" w:cs="Times New Roman"/>
              </w:rPr>
              <w:t xml:space="preserve">Фалькон</w:t>
            </w:r>
            <w:r>
              <w:rPr>
                <w:rFonts w:ascii="Times New Roman" w:hAnsi="Times New Roman" w:cs="Times New Roman"/>
              </w:rPr>
              <w:t xml:space="preserve"> объемом </w:t>
            </w:r>
            <w:r>
              <w:rPr>
                <w:rFonts w:ascii="Times New Roman" w:hAnsi="Times New Roman" w:cs="Times New Roman"/>
                <w:bCs/>
              </w:rPr>
              <w:t xml:space="preserve">15 мл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Times New Roman" w:hAnsi="Times New Roman" w:cs="Times New Roman"/>
              </w:rPr>
              <w:t xml:space="preserve"> 17 × 122 мм).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 - Высокопрочный, химически стойкий пластик, устойчивый к воздействию дезинфицирующих средств.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стерилизации (обработки) - Долж</w:t>
            </w:r>
            <w:r>
              <w:rPr>
                <w:rFonts w:ascii="Times New Roman" w:hAnsi="Times New Roman" w:cs="Times New Roman"/>
              </w:rPr>
              <w:t xml:space="preserve">ны</w:t>
            </w:r>
            <w:r>
              <w:rPr>
                <w:rFonts w:ascii="Times New Roman" w:hAnsi="Times New Roman" w:cs="Times New Roman"/>
              </w:rPr>
              <w:t xml:space="preserve"> выдерживать многократную термическую стерилизацию методом </w:t>
            </w:r>
            <w:r>
              <w:rPr>
                <w:rFonts w:ascii="Times New Roman" w:hAnsi="Times New Roman" w:cs="Times New Roman"/>
                <w:bCs/>
              </w:rPr>
              <w:t xml:space="preserve">автоклавирования</w:t>
            </w:r>
            <w:r>
              <w:rPr>
                <w:rFonts w:ascii="Times New Roman" w:hAnsi="Times New Roman" w:cs="Times New Roman"/>
              </w:rPr>
              <w:t xml:space="preserve"> при температуре не менее 121 °C.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Безопасность эксплуатации - Полное соответствие весовым и геометрическим параметрам производителя для исключения дисбаланса ротора при максимальных оборотах центрифуги.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26" w:type="dxa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упак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777" w:type="dxa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1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trHeight w:val="2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65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4.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12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Адаптер</w:t>
            </w:r>
            <w:r>
              <w:rPr>
                <w:rFonts w:ascii="Times New Roman" w:hAnsi="Times New Roman" w:cs="Times New Roman"/>
              </w:rPr>
              <w:t xml:space="preserve"> для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 - </w:t>
            </w:r>
            <w:r>
              <w:rPr>
                <w:rFonts w:ascii="Times New Roman" w:hAnsi="Times New Roman" w:cs="Times New Roman"/>
              </w:rPr>
              <w:t xml:space="preserve">Мультиадаптеры</w:t>
            </w:r>
            <w:r>
              <w:rPr>
                <w:rFonts w:ascii="Times New Roman" w:hAnsi="Times New Roman" w:cs="Times New Roman"/>
              </w:rPr>
              <w:t xml:space="preserve"> для лабораторных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совместимость - Полная конструктивная, весовая и функциональная совместимость с </w:t>
            </w:r>
            <w:r>
              <w:rPr>
                <w:rFonts w:ascii="Times New Roman" w:hAnsi="Times New Roman" w:cs="Times New Roman"/>
              </w:rPr>
              <w:t xml:space="preserve">бакетами</w:t>
            </w:r>
            <w:r>
              <w:rPr>
                <w:rFonts w:ascii="Times New Roman" w:hAnsi="Times New Roman" w:cs="Times New Roman"/>
              </w:rPr>
              <w:t xml:space="preserve"> качающихся роторов центрифуг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для одновременного центрифугирования группы пробирок.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адаптеров в комплекте – не менее 4 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мест в одном адаптере – </w:t>
            </w:r>
            <w:r>
              <w:rPr>
                <w:rFonts w:ascii="Times New Roman" w:hAnsi="Times New Roman" w:cs="Times New Roman"/>
                <w:bCs/>
              </w:rPr>
              <w:t xml:space="preserve">4 места</w:t>
            </w:r>
            <w:r>
              <w:rPr>
                <w:rFonts w:ascii="Times New Roman" w:hAnsi="Times New Roman" w:cs="Times New Roman"/>
              </w:rPr>
              <w:t xml:space="preserve"> под пробирки в одном вкладыше (обеспечивает суммарную вместимость ротора до </w:t>
            </w:r>
            <w:r>
              <w:rPr>
                <w:rFonts w:ascii="Times New Roman" w:hAnsi="Times New Roman" w:cs="Times New Roman"/>
                <w:bCs/>
              </w:rPr>
              <w:t xml:space="preserve">16 пробирок</w:t>
            </w:r>
            <w:r>
              <w:rPr>
                <w:rFonts w:ascii="Times New Roman" w:hAnsi="Times New Roman" w:cs="Times New Roman"/>
              </w:rPr>
              <w:t xml:space="preserve"> за один цикл за счет 4 адаптеров в комплекте).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и объем размещаемых пробирок - Пробирки объемом 10 мл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 х 80 мм, 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 х 107 мм) и Пробирки объемом 15 мл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 х 100 мм).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 - Высокопрочный, химически стойкий пластик, устойчивый к воздействию дезинфицирующих средств.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стерилизации (обработки) - Долж</w:t>
            </w:r>
            <w:r>
              <w:rPr>
                <w:rFonts w:ascii="Times New Roman" w:hAnsi="Times New Roman" w:cs="Times New Roman"/>
              </w:rPr>
              <w:t xml:space="preserve">ны</w:t>
            </w:r>
            <w:r>
              <w:rPr>
                <w:rFonts w:ascii="Times New Roman" w:hAnsi="Times New Roman" w:cs="Times New Roman"/>
              </w:rPr>
              <w:t xml:space="preserve"> выдерживать многократную термическую стерилизацию методом </w:t>
            </w:r>
            <w:r>
              <w:rPr>
                <w:rFonts w:ascii="Times New Roman" w:hAnsi="Times New Roman" w:cs="Times New Roman"/>
              </w:rPr>
              <w:t xml:space="preserve">автоклавирования</w:t>
            </w:r>
            <w:r>
              <w:rPr>
                <w:rFonts w:ascii="Times New Roman" w:hAnsi="Times New Roman" w:cs="Times New Roman"/>
              </w:rPr>
              <w:t xml:space="preserve"> при температуре не менее 121 °C.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Безопасность эксплуатации - Полное соответствие весовым и геометрическим параметрам производителя для исключения дисбаланса ротора при максимальных оборотах центрифуги.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/>
            <w:r/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  <w:t xml:space="preserve">Регистрационное удостоверение – наличие</w:t>
            </w:r>
            <w:r/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6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 упак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7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1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trHeight w:val="2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65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5.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12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Адаптер</w:t>
            </w:r>
            <w:r>
              <w:rPr>
                <w:rFonts w:ascii="Times New Roman" w:hAnsi="Times New Roman" w:cs="Times New Roman"/>
              </w:rPr>
              <w:t xml:space="preserve"> для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/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 - </w:t>
            </w:r>
            <w:r>
              <w:rPr>
                <w:rFonts w:ascii="Times New Roman" w:hAnsi="Times New Roman" w:cs="Times New Roman"/>
              </w:rPr>
              <w:t xml:space="preserve">Мультиадаптеры</w:t>
            </w:r>
            <w:r>
              <w:rPr>
                <w:rFonts w:ascii="Times New Roman" w:hAnsi="Times New Roman" w:cs="Times New Roman"/>
              </w:rPr>
              <w:t xml:space="preserve"> для лабораторных и вакуумных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совместимость - Полная конструктивная, весовая и функциональная совместимость с </w:t>
            </w:r>
            <w:r>
              <w:rPr>
                <w:rFonts w:ascii="Times New Roman" w:hAnsi="Times New Roman" w:cs="Times New Roman"/>
              </w:rPr>
              <w:t xml:space="preserve">бакетами</w:t>
            </w:r>
            <w:r>
              <w:rPr>
                <w:rFonts w:ascii="Times New Roman" w:hAnsi="Times New Roman" w:cs="Times New Roman"/>
              </w:rPr>
              <w:t xml:space="preserve"> качающихся роторов центрифуг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для одновременного центрифугирования группы пробирок.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адаптеров в комплекте – не менее </w:t>
            </w:r>
            <w:r>
              <w:rPr>
                <w:rFonts w:ascii="Times New Roman" w:hAnsi="Times New Roman" w:cs="Times New Roman"/>
                <w:bCs/>
              </w:rPr>
              <w:t xml:space="preserve">6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мест в одном адаптере – </w:t>
            </w:r>
            <w:r>
              <w:rPr>
                <w:rFonts w:ascii="Times New Roman" w:hAnsi="Times New Roman" w:cs="Times New Roman"/>
                <w:bCs/>
              </w:rPr>
              <w:t xml:space="preserve">1 место</w:t>
            </w:r>
            <w:r>
              <w:rPr>
                <w:rFonts w:ascii="Times New Roman" w:hAnsi="Times New Roman" w:cs="Times New Roman"/>
              </w:rPr>
              <w:t xml:space="preserve"> под пробирку в одном вкладыше (обеспечивает суммарную загрузку ротора до </w:t>
            </w:r>
            <w:r>
              <w:rPr>
                <w:rFonts w:ascii="Times New Roman" w:hAnsi="Times New Roman" w:cs="Times New Roman"/>
                <w:bCs/>
              </w:rPr>
              <w:t xml:space="preserve">6 пробирок</w:t>
            </w:r>
            <w:r>
              <w:rPr>
                <w:rFonts w:ascii="Times New Roman" w:hAnsi="Times New Roman" w:cs="Times New Roman"/>
              </w:rPr>
              <w:t xml:space="preserve"> за один цикл за счет 6 адаптеров в комплекте).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и объем размещаемых пробирок - Вакуумные пробирки объемом 10 мл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 х 107 мм) и Цилиндрические пробирки объемом 15 мл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 х 100 мм) и Конические</w:t>
            </w:r>
            <w:r>
              <w:rPr>
                <w:rFonts w:ascii="Times New Roman" w:hAnsi="Times New Roman" w:cs="Times New Roman"/>
              </w:rPr>
              <w:t xml:space="preserve"> пробирки типа </w:t>
            </w:r>
            <w:r>
              <w:rPr>
                <w:rFonts w:ascii="Times New Roman" w:hAnsi="Times New Roman" w:cs="Times New Roman"/>
              </w:rPr>
              <w:t xml:space="preserve">Фалькон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объемом 15 мл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17 х 122 мм).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 - Высокопрочный, химически стойкий пластик, устойчивый к воздействию дезинфицирующих средств.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стерилизации (обработки) - Долж</w:t>
            </w:r>
            <w:r>
              <w:rPr>
                <w:rFonts w:ascii="Times New Roman" w:hAnsi="Times New Roman" w:cs="Times New Roman"/>
              </w:rPr>
              <w:t xml:space="preserve">ны</w:t>
            </w:r>
            <w:r>
              <w:rPr>
                <w:rFonts w:ascii="Times New Roman" w:hAnsi="Times New Roman" w:cs="Times New Roman"/>
              </w:rPr>
              <w:t xml:space="preserve"> выдерживать многократную термическую стерилизацию методом </w:t>
            </w:r>
            <w:r>
              <w:rPr>
                <w:rFonts w:ascii="Times New Roman" w:hAnsi="Times New Roman" w:cs="Times New Roman"/>
              </w:rPr>
              <w:t xml:space="preserve">автоклавирования</w:t>
            </w:r>
            <w:r>
              <w:rPr>
                <w:rFonts w:ascii="Times New Roman" w:hAnsi="Times New Roman" w:cs="Times New Roman"/>
              </w:rPr>
              <w:t xml:space="preserve"> при температуре не менее 121 °C.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Безопасность эксплуатации - Полное соответствие весовым и геометрическим параметрам производителя для исключения дисбаланса ротора при максимальных оборотах центрифуги.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u w:val="single"/>
                <w:lang w:eastAsia="ru-RU"/>
              </w:rPr>
              <w:t xml:space="preserve">Регистрационное удостоверение – наличие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6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упак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7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1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trHeight w:val="2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65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6.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12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Адаптер</w:t>
            </w:r>
            <w:r>
              <w:rPr>
                <w:rFonts w:ascii="Times New Roman" w:hAnsi="Times New Roman" w:cs="Times New Roman"/>
              </w:rPr>
              <w:t xml:space="preserve"> для пробирок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32.50.50.190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 - Адаптеры для конических пробирок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и совместимость - Полная конструктивная, весовая и функциональная совместимость с роторами центрифуг </w:t>
            </w:r>
            <w:r>
              <w:rPr>
                <w:rFonts w:ascii="Times New Roman" w:hAnsi="Times New Roman" w:cs="Times New Roman"/>
              </w:rPr>
              <w:t xml:space="preserve">Orto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Alresa</w:t>
            </w:r>
            <w:r>
              <w:rPr>
                <w:rFonts w:ascii="Times New Roman" w:hAnsi="Times New Roman" w:cs="Times New Roman"/>
              </w:rPr>
              <w:t xml:space="preserve"> для надежного размещения пробирок большого объема.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адаптеров в комплекте – не менее 6 мест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и объем размещаемых пробирок – Конические пробирки типа </w:t>
            </w:r>
            <w:r>
              <w:rPr>
                <w:rFonts w:ascii="Times New Roman" w:hAnsi="Times New Roman" w:cs="Times New Roman"/>
              </w:rPr>
              <w:t xml:space="preserve">Фалькон</w:t>
            </w:r>
            <w:r>
              <w:rPr>
                <w:rFonts w:ascii="Times New Roman" w:hAnsi="Times New Roman" w:cs="Times New Roman"/>
              </w:rPr>
              <w:t xml:space="preserve"> объемом </w:t>
            </w:r>
            <w:r>
              <w:rPr>
                <w:rStyle w:val="1063"/>
                <w:rFonts w:ascii="Times New Roman" w:hAnsi="Times New Roman" w:cs="Times New Roman"/>
                <w:b w:val="0"/>
              </w:rPr>
              <w:t xml:space="preserve">50 мл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Cambria Math" w:hAnsi="Cambria Math" w:cs="Cambria Math"/>
              </w:rPr>
              <w:t xml:space="preserve">∅</w:t>
            </w:r>
            <w:r>
              <w:rPr>
                <w:rFonts w:ascii="Times New Roman" w:hAnsi="Times New Roman" w:cs="Times New Roman"/>
              </w:rPr>
              <w:t xml:space="preserve"> 29 × 117 мм).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 - Высокопрочный, химически стойкий пластик, устойчивый к воздействию дезинфицирующих средств.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стерилизации (обработки) - Должны выдерживать многократную термическую стерилизацию методом </w:t>
            </w:r>
            <w:r>
              <w:rPr>
                <w:rFonts w:ascii="Times New Roman" w:hAnsi="Times New Roman" w:cs="Times New Roman"/>
              </w:rPr>
              <w:t xml:space="preserve">автоклавирования</w:t>
            </w:r>
            <w:r>
              <w:rPr>
                <w:rFonts w:ascii="Times New Roman" w:hAnsi="Times New Roman" w:cs="Times New Roman"/>
              </w:rPr>
              <w:t xml:space="preserve"> при температуре не менее 121 °C.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>
              <w:rPr>
                <w:rFonts w:ascii="Times New Roman" w:hAnsi="Times New Roman" w:cs="Times New Roman"/>
              </w:rPr>
              <w:t xml:space="preserve">Безопасность эксплуатации - Полное соответствие весовым и геометрическим параметрам производителя для исключения дисбаланса ротора при максимальных оборотах центрифуги.</w:t>
            </w:r>
            <w:r/>
            <w:r>
              <w:rPr>
                <w:rFonts w:ascii="Times New Roman" w:hAnsi="Times New Roman" w:cs="Times New Roman"/>
                <w:highlight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6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упак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7" w:type="dxa"/>
            <w:vMerge w:val="restart"/>
            <w:textDirection w:val="lrTb"/>
            <w:noWrap w:val="false"/>
          </w:tcPr>
          <w:p>
            <w:pPr>
              <w:ind w:left="57" w:right="57"/>
              <w:widowControl w:val="off"/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  <w:t xml:space="preserve">1</w:t>
            </w:r>
            <w:r>
              <w:rPr>
                <w:rFonts w:ascii="Arial Unicode MS" w:hAnsi="Arial Unicode MS" w:eastAsia="Arial Unicode MS" w:cs="Arial Unicode MS"/>
                <w:b/>
                <w:color w:val="000000"/>
                <w:sz w:val="20"/>
                <w:szCs w:val="20"/>
                <w:lang w:bidi="ru-RU"/>
              </w:rPr>
            </w:r>
          </w:p>
        </w:tc>
      </w:tr>
    </w:tbl>
    <w:p>
      <w:pPr>
        <w:jc w:val="center"/>
        <w:tabs>
          <w:tab w:val="num" w:pos="0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jc w:val="center"/>
        <w:tabs>
          <w:tab w:val="num" w:pos="0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Порядок приемки товара</w:t>
      </w:r>
      <w:r>
        <w:rPr>
          <w:b/>
          <w:sz w:val="22"/>
          <w:szCs w:val="22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</w:t>
      </w:r>
      <w:r>
        <w:rPr>
          <w:sz w:val="22"/>
          <w:szCs w:val="22"/>
        </w:rPr>
        <w:t xml:space="preserve">УПД,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счета,</w:t>
      </w:r>
      <w:r>
        <w:rPr>
          <w:sz w:val="22"/>
          <w:szCs w:val="22"/>
        </w:rPr>
        <w:t xml:space="preserve"> 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Приемка Товара оформляется Актом приемки</w:t>
      </w:r>
      <w:r>
        <w:rPr>
          <w:sz w:val="22"/>
          <w:szCs w:val="22"/>
        </w:rPr>
        <w:t xml:space="preserve">, УПД, </w:t>
      </w:r>
      <w:r>
        <w:rPr>
          <w:sz w:val="22"/>
          <w:szCs w:val="22"/>
        </w:rPr>
        <w:t xml:space="preserve">а также по форме ОКУД 0510452 (Приказ Минфина от </w:t>
      </w:r>
      <w:r>
        <w:rPr>
          <w:sz w:val="22"/>
          <w:szCs w:val="22"/>
        </w:rPr>
        <w:t xml:space="preserve">15.04.2021 г. № 61н). При этом срок оплаты по настоящему договору исчисляется с даты приемки по Акту приемки по форме ОКУД 0510452. Заказчик вправе подписать Акт приемки по форме ОКУД 0510452 в одностороннем порядке, за исключением случаев выявления качест</w:t>
      </w:r>
      <w:r>
        <w:rPr>
          <w:sz w:val="22"/>
          <w:szCs w:val="22"/>
        </w:rPr>
        <w:t xml:space="preserve">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или количественных расхождений поставленного товара (оказанных услуг, выполненных работ) с условиями догов</w:t>
      </w:r>
      <w:r>
        <w:rPr>
          <w:sz w:val="22"/>
          <w:szCs w:val="22"/>
        </w:rPr>
        <w:t xml:space="preserve">ора, приемка осуществляется с участием представителя Поставщика (Подрядчика, Исполнителя), а при его отсутствии при приемке подписанный со стороны Заказчика Акт приемки по форме ОКУД 0510452 направляется Поставщику (Подрядчику, Исполнителю) на подписание. </w:t>
      </w:r>
      <w:r>
        <w:rPr>
          <w:sz w:val="22"/>
          <w:szCs w:val="22"/>
        </w:rPr>
        <w:t xml:space="preserve">Если Поставщик (Подрядчик, Исполнитель)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Поставщиком (Подрядчиком, Исполнителем).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В документе о приемке, к которому могут прилагаться документы, которые считаются его </w:t>
      </w:r>
      <w:r>
        <w:rPr>
          <w:sz w:val="22"/>
          <w:szCs w:val="22"/>
        </w:rPr>
        <w:t xml:space="preserve">неотъемлемой частью на упаковке, бирках, этикетках Поставщик указывает обозначения и сведения, идентифицирующие товар в системе "Честный знак" в случаях, предусмотренных законодательством, устанавливающим обязательную маркировку для данной товарной группы.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в ходе приемки товара при считывании кода маркировки в системе «Честный знак» будет указано на «Сомнительный </w:t>
      </w:r>
      <w:r>
        <w:rPr>
          <w:sz w:val="22"/>
          <w:szCs w:val="22"/>
        </w:rPr>
        <w:t xml:space="preserve">товар», отсутствие товарного знака, маркировки и иной информации или несоответствии кодов в случаях, предусмотренных законодательством, устанавливающим обязательную маркировку для данной товарной группы, Заказчик вправе отказаться от приемки такого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товарную накладную или</w:t>
      </w:r>
      <w:r>
        <w:rPr>
          <w:sz w:val="22"/>
          <w:szCs w:val="22"/>
        </w:rPr>
        <w:t xml:space="preserve">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</w:t>
      </w:r>
      <w:r>
        <w:rPr>
          <w:sz w:val="22"/>
          <w:szCs w:val="22"/>
        </w:rPr>
        <w:t xml:space="preserve">10 (десяти) </w:t>
      </w:r>
      <w:r>
        <w:rPr>
          <w:sz w:val="22"/>
          <w:szCs w:val="22"/>
        </w:rPr>
        <w:t xml:space="preserve">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случае, если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</w:t>
      </w:r>
      <w:r>
        <w:rPr>
          <w:sz w:val="22"/>
          <w:szCs w:val="22"/>
        </w:rPr>
        <w:t xml:space="preserve">Поставщик обязан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.1.1. </w:t>
      </w:r>
      <w:r>
        <w:rPr>
          <w:sz w:val="22"/>
          <w:szCs w:val="22"/>
        </w:rPr>
        <w:t xml:space="preserve">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.1.2. Поставить товар в соответствии с условиями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.1.3. Передать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документы на товар, предусмотренные пунктами 2.3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7"/>
        <w:ind w:left="0" w:firstLine="709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.1.4. Обеспечить качество поставленного товара в соответствии с требованиями нормативно-технической документации.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7"/>
        <w:ind w:left="0" w:firstLine="709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6.1.5. Передать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для данной товарной группы.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По каждой позиции товара, поставляемого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предоставить документы, удостоверяющие качество такого товара.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Уведомить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в течение двух дней в письменной форме об изменении места нахождения, почтового адреса.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, а также к установленному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сроку обязан предоставить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результаты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в отсутствие представителя Поставщика, с учетом положений раздела 4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6.1.10. Осуществлять в процессе оказания услуг систематическую, а по завершению оказанных услуг, окончательную уборку от мусора. Уборка помещений и выво</w:t>
      </w:r>
      <w:r>
        <w:rPr>
          <w:sz w:val="22"/>
          <w:szCs w:val="22"/>
        </w:rPr>
        <w:t xml:space="preserve">з транспортировочной упаковки/тары (при ее наличии) производятся силами Исполнителя и за его счет в течение не более 1 (одного) дня после дня оказания услуг. Вывоз и уборка строительного мусора (при наличии) производятся также силами и за счет Исполнителя.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6.1.11.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Контракта, в соответствии со статьей 268.1 БК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обязан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6</w:t>
      </w:r>
      <w:r>
        <w:rPr>
          <w:rFonts w:eastAsia="MS Mincho"/>
          <w:sz w:val="22"/>
          <w:szCs w:val="22"/>
        </w:rPr>
        <w:t xml:space="preserve">.2.1.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.2.2. Обеспечить проезд (доступ) транспортного средства Поставщика на территорию, указанную как место поставки для проведения 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Оплатить поставленный товар в соответствии с условиями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Ответственность Сторон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.1. В случае просрочки исполнения, неисполнения или ненадлежащего исполнения своих обязательств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 Стороны несут ответственность в соответствии с действующим законодательством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.2. Сторона, не исполнившая или исполнившая ненадлежащим образом обязательства по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у</w:t>
      </w:r>
      <w:r>
        <w:rPr>
          <w:sz w:val="22"/>
          <w:szCs w:val="22"/>
          <w:lang w:eastAsia="zh-CN"/>
        </w:rPr>
        <w:t xml:space="preserve">,</w:t>
      </w:r>
      <w:r>
        <w:rPr>
          <w:sz w:val="22"/>
          <w:szCs w:val="22"/>
          <w:lang w:eastAsia="zh-CN"/>
        </w:rPr>
        <w:t xml:space="preserve"> обязана </w:t>
      </w:r>
      <w:r>
        <w:rPr>
          <w:sz w:val="22"/>
          <w:szCs w:val="22"/>
          <w:lang w:eastAsia="zh-CN"/>
        </w:rPr>
        <w:t xml:space="preserve">в полном объеме </w:t>
      </w:r>
      <w:r>
        <w:rPr>
          <w:sz w:val="22"/>
          <w:szCs w:val="22"/>
          <w:lang w:eastAsia="zh-CN"/>
        </w:rPr>
        <w:t xml:space="preserve">возместить убытки, возникшие по ее вине.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размер штрафа устанавливается в </w:t>
      </w:r>
      <w:r>
        <w:rPr>
          <w:sz w:val="22"/>
          <w:szCs w:val="22"/>
          <w:lang w:eastAsia="zh-CN"/>
        </w:rPr>
        <w:t xml:space="preserve">следующем порядке: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 xml:space="preserve">10 процентов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(этапа) в случае,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(этапа) не превышает 3 млн. рублей;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.4.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получает право требования уплаты штрафа в следующих случаях неисполнения (ненадлежащего исполнения)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 Поставщик не поставил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</w:t>
      </w:r>
      <w:r>
        <w:rPr>
          <w:sz w:val="22"/>
          <w:szCs w:val="22"/>
        </w:rPr>
        <w:t xml:space="preserve"> полностью или частично</w:t>
      </w:r>
      <w:r>
        <w:rPr>
          <w:sz w:val="22"/>
          <w:szCs w:val="22"/>
        </w:rPr>
        <w:t xml:space="preserve"> товар, являющийся предметом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если Поставщик поставил товар, не соответствующий требования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и не осуществил в течение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 дней замену такого товара на товар, соответствующий требованиям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7</w:t>
      </w:r>
      <w:r>
        <w:rPr>
          <w:iCs/>
          <w:sz w:val="22"/>
          <w:szCs w:val="22"/>
        </w:rPr>
        <w:t xml:space="preserve">.</w:t>
      </w:r>
      <w:r>
        <w:rPr>
          <w:iCs/>
          <w:sz w:val="22"/>
          <w:szCs w:val="22"/>
        </w:rPr>
        <w:t xml:space="preserve">5</w:t>
      </w:r>
      <w:r>
        <w:rPr>
          <w:iCs/>
          <w:sz w:val="22"/>
          <w:szCs w:val="22"/>
        </w:rPr>
        <w:t xml:space="preserve">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</w:t>
      </w:r>
      <w:r>
        <w:rPr>
          <w:iCs/>
          <w:sz w:val="22"/>
          <w:szCs w:val="22"/>
        </w:rPr>
        <w:t xml:space="preserve"> обязательства, предусмотренного </w:t>
      </w:r>
      <w:r>
        <w:rPr>
          <w:iCs/>
          <w:sz w:val="22"/>
          <w:szCs w:val="22"/>
        </w:rPr>
        <w:t xml:space="preserve">Контракт</w:t>
      </w:r>
      <w:r>
        <w:rPr>
          <w:iCs/>
          <w:sz w:val="22"/>
          <w:szCs w:val="22"/>
        </w:rPr>
        <w:t xml:space="preserve">ом</w:t>
      </w:r>
      <w:r>
        <w:rPr>
          <w:iCs/>
          <w:sz w:val="22"/>
          <w:szCs w:val="22"/>
        </w:rPr>
        <w:t xml:space="preserve">, которое не имеет стоимостного выражения, размер штрафа устанавливается в </w:t>
      </w:r>
      <w:r>
        <w:rPr>
          <w:sz w:val="22"/>
          <w:szCs w:val="22"/>
        </w:rPr>
        <w:t xml:space="preserve">следующем порядке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1000 рублей,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6</w:t>
      </w:r>
      <w:r>
        <w:rPr>
          <w:sz w:val="22"/>
          <w:szCs w:val="22"/>
          <w:lang w:eastAsia="zh-CN"/>
        </w:rPr>
        <w:t xml:space="preserve">. </w:t>
      </w:r>
      <w:r>
        <w:rPr>
          <w:sz w:val="22"/>
          <w:szCs w:val="22"/>
          <w:lang w:eastAsia="zh-CN"/>
        </w:rPr>
        <w:t xml:space="preserve">За каждый факт неисполнения </w:t>
      </w:r>
      <w:r>
        <w:rPr>
          <w:sz w:val="22"/>
          <w:szCs w:val="22"/>
          <w:lang w:eastAsia="zh-CN"/>
        </w:rPr>
        <w:t xml:space="preserve">З</w:t>
      </w:r>
      <w:r>
        <w:rPr>
          <w:sz w:val="22"/>
          <w:szCs w:val="22"/>
          <w:lang w:eastAsia="zh-CN"/>
        </w:rPr>
        <w:t xml:space="preserve">аказчиком 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за исключением просрочки исполнения 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размер штрафа </w:t>
      </w:r>
      <w:r>
        <w:rPr>
          <w:sz w:val="22"/>
          <w:szCs w:val="22"/>
        </w:rPr>
        <w:t xml:space="preserve">определяе</w:t>
      </w:r>
      <w:r>
        <w:rPr>
          <w:sz w:val="22"/>
          <w:szCs w:val="22"/>
        </w:rPr>
        <w:t xml:space="preserve">тся</w:t>
      </w:r>
      <w:r>
        <w:rPr>
          <w:sz w:val="22"/>
          <w:szCs w:val="22"/>
        </w:rPr>
        <w:t xml:space="preserve"> в следующем порядке: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1000 рублей,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не превышает 3 млн. рублей (включительно);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8</w:t>
      </w:r>
      <w:r>
        <w:rPr>
          <w:sz w:val="22"/>
          <w:szCs w:val="22"/>
          <w:lang w:eastAsia="zh-CN"/>
        </w:rPr>
        <w:t xml:space="preserve">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ых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штрафов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за ненадлежащее исполнение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ом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, не может превышать цену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.</w:t>
      </w:r>
      <w:r>
        <w:rPr>
          <w:color w:val="000000"/>
          <w:sz w:val="22"/>
          <w:szCs w:val="22"/>
          <w:shd w:val="clear" w:color="auto" w:fill="ffffff"/>
          <w:lang w:eastAsia="zh-CN"/>
        </w:rPr>
      </w:r>
      <w:r>
        <w:rPr>
          <w:color w:val="000000"/>
          <w:sz w:val="22"/>
          <w:szCs w:val="22"/>
          <w:shd w:val="clear" w:color="auto" w:fill="ffffff"/>
          <w:lang w:eastAsia="zh-CN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</w:t>
      </w:r>
      <w:r>
        <w:rPr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sz w:val="22"/>
          <w:szCs w:val="22"/>
          <w:shd w:val="clear" w:color="auto" w:fill="ffffff"/>
          <w:lang w:eastAsia="zh-CN"/>
        </w:rPr>
        <w:t xml:space="preserve">ом</w:t>
      </w:r>
      <w:r>
        <w:rPr>
          <w:sz w:val="22"/>
          <w:szCs w:val="22"/>
          <w:shd w:val="clear" w:color="auto" w:fill="ffffff"/>
          <w:lang w:eastAsia="zh-CN"/>
        </w:rPr>
        <w:t xml:space="preserve">, не может превышать цену </w:t>
      </w:r>
      <w:r>
        <w:rPr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sz w:val="22"/>
          <w:szCs w:val="22"/>
          <w:shd w:val="clear" w:color="auto" w:fill="ffffff"/>
          <w:lang w:eastAsia="zh-CN"/>
        </w:rPr>
        <w:t xml:space="preserve">а</w:t>
      </w:r>
      <w:r>
        <w:rPr>
          <w:sz w:val="22"/>
          <w:szCs w:val="22"/>
          <w:shd w:val="clear" w:color="auto" w:fill="ffffff"/>
          <w:lang w:eastAsia="zh-CN"/>
        </w:rPr>
        <w:t xml:space="preserve">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9</w:t>
      </w:r>
      <w:r>
        <w:rPr>
          <w:sz w:val="22"/>
          <w:szCs w:val="22"/>
          <w:lang w:eastAsia="zh-CN"/>
        </w:rPr>
        <w:t xml:space="preserve">. Уплата штрафных санкций не освобождает стороны от выполнения обязательств по настоящему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у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</w:t>
      </w:r>
      <w:r>
        <w:rPr>
          <w:sz w:val="22"/>
          <w:szCs w:val="22"/>
          <w:shd w:val="clear" w:color="auto" w:fill="ffffff"/>
        </w:rPr>
        <w:t xml:space="preserve">.1</w:t>
      </w:r>
      <w:r>
        <w:rPr>
          <w:sz w:val="22"/>
          <w:szCs w:val="22"/>
          <w:shd w:val="clear" w:color="auto" w:fill="ffffff"/>
        </w:rPr>
        <w:t xml:space="preserve">0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sz w:val="22"/>
          <w:szCs w:val="22"/>
          <w:shd w:val="clear" w:color="auto" w:fill="ffffff"/>
        </w:rPr>
        <w:t xml:space="preserve"> В случае просрочки исполнения З</w:t>
      </w:r>
      <w:r>
        <w:rPr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  <w:shd w:val="clear" w:color="auto" w:fill="ffffff"/>
        </w:rPr>
        <w:t xml:space="preserve">З</w:t>
      </w:r>
      <w:r>
        <w:rPr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ом, П</w:t>
      </w:r>
      <w:r>
        <w:rPr>
          <w:sz w:val="22"/>
          <w:szCs w:val="22"/>
          <w:shd w:val="clear" w:color="auto" w:fill="ffffff"/>
        </w:rPr>
        <w:t xml:space="preserve">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срока исполнения обязательства. Такая пеня устанавливается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</w:t>
      </w:r>
      <w:r>
        <w:rPr>
          <w:sz w:val="22"/>
          <w:szCs w:val="22"/>
          <w:shd w:val="clear" w:color="auto" w:fill="ffffff"/>
        </w:rPr>
        <w:t xml:space="preserve">.1</w:t>
      </w:r>
      <w:r>
        <w:rPr>
          <w:sz w:val="22"/>
          <w:szCs w:val="22"/>
          <w:shd w:val="clear" w:color="auto" w:fill="ffffff"/>
        </w:rPr>
        <w:t xml:space="preserve">1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sz w:val="22"/>
          <w:szCs w:val="22"/>
          <w:shd w:val="clear" w:color="auto" w:fill="ffffff"/>
        </w:rPr>
        <w:t xml:space="preserve"> 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ом, Заказчик направляет П</w:t>
      </w:r>
      <w:r>
        <w:rPr>
          <w:sz w:val="22"/>
          <w:szCs w:val="22"/>
          <w:shd w:val="clear" w:color="auto" w:fill="ffffff"/>
        </w:rPr>
        <w:t xml:space="preserve">оставщику (подрядчику, исполнителю) требование об уплате неустоек (штрафов, пеней).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Пеня начисляется за каждый день просрочки исполнения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 обязательства, предусмотренного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срока исполнения обязательства, и устанавливается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а</w:t>
      </w:r>
      <w:r>
        <w:rPr>
          <w:sz w:val="22"/>
          <w:szCs w:val="22"/>
          <w:shd w:val="clear" w:color="auto" w:fill="ffffff"/>
        </w:rPr>
        <w:t xml:space="preserve">, уменьшенной на сумму, пропорциональную объему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и фактически исполненных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shd w:val="clear" w:color="auto" w:fill="ffffff"/>
        <w:tabs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Действие обстоятельств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10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8</w:t>
      </w:r>
      <w:r>
        <w:rPr>
          <w:rFonts w:eastAsia="MS Mincho"/>
          <w:sz w:val="22"/>
          <w:szCs w:val="22"/>
        </w:rPr>
        <w:t xml:space="preserve"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</w:t>
      </w: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последствий: землетрясение, наводнение, пожар, ураган, смерч, сильные снежные заносы, </w:t>
      </w:r>
      <w:r>
        <w:rPr>
          <w:rFonts w:eastAsia="MS Mincho"/>
          <w:sz w:val="22"/>
          <w:szCs w:val="22"/>
        </w:rPr>
        <w:t xml:space="preserve">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</w:t>
      </w:r>
      <w:r>
        <w:rPr>
          <w:rFonts w:eastAsia="MS Mincho"/>
          <w:sz w:val="22"/>
          <w:szCs w:val="22"/>
        </w:rPr>
        <w:t xml:space="preserve">Стороны </w:t>
      </w:r>
      <w:r>
        <w:rPr>
          <w:rFonts w:eastAsia="MS Mincho"/>
          <w:sz w:val="22"/>
          <w:szCs w:val="22"/>
        </w:rPr>
        <w:t xml:space="preserve">не могли предвидеть или предотвратить.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.2</w:t>
      </w:r>
      <w:r>
        <w:rPr>
          <w:sz w:val="22"/>
          <w:szCs w:val="22"/>
        </w:rPr>
        <w:t xml:space="preserve">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.3</w:t>
      </w:r>
      <w:r>
        <w:rPr>
          <w:sz w:val="22"/>
          <w:szCs w:val="22"/>
        </w:rPr>
        <w:t xml:space="preserve">. </w:t>
      </w:r>
      <w:r>
        <w:rPr>
          <w:rFonts w:eastAsia="MS Mincho"/>
          <w:sz w:val="22"/>
          <w:szCs w:val="22"/>
        </w:rPr>
        <w:t xml:space="preserve">В случае, когда </w:t>
      </w:r>
      <w:r>
        <w:rPr>
          <w:rFonts w:eastAsia="MS Mincho"/>
          <w:sz w:val="22"/>
          <w:szCs w:val="22"/>
        </w:rPr>
        <w:t xml:space="preserve">обстоятельства</w:t>
      </w:r>
      <w:r>
        <w:rPr>
          <w:rFonts w:eastAsia="MS Mincho"/>
          <w:sz w:val="22"/>
          <w:szCs w:val="22"/>
        </w:rPr>
        <w:t xml:space="preserve">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1010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1010"/>
        <w:jc w:val="center"/>
        <w:rPr>
          <w:rFonts w:eastAsia="MS Mincho"/>
          <w:b/>
          <w:bCs/>
          <w:sz w:val="22"/>
          <w:szCs w:val="22"/>
        </w:rPr>
      </w:pPr>
      <w:r/>
      <w:bookmarkStart w:id="7" w:name="Par825"/>
      <w:r/>
      <w:bookmarkEnd w:id="7"/>
      <w:r>
        <w:rPr>
          <w:rFonts w:eastAsia="MS Mincho"/>
          <w:b/>
          <w:bCs/>
          <w:sz w:val="22"/>
          <w:szCs w:val="22"/>
        </w:rPr>
        <w:t xml:space="preserve">9</w:t>
      </w:r>
      <w:r>
        <w:rPr>
          <w:rFonts w:eastAsia="MS Mincho"/>
          <w:b/>
          <w:bCs/>
          <w:sz w:val="22"/>
          <w:szCs w:val="22"/>
        </w:rPr>
        <w:t xml:space="preserve">. Порядок урегулирования споров</w:t>
      </w:r>
      <w:r>
        <w:rPr>
          <w:rFonts w:eastAsia="MS Mincho"/>
          <w:b/>
          <w:bCs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или в связи с ним, были урегулированы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.3. Любые споры, не урегулированные во внесудебном порядке, разрешаются Арбитражным судом </w:t>
      </w:r>
      <w:r>
        <w:rPr>
          <w:sz w:val="22"/>
          <w:szCs w:val="22"/>
        </w:rPr>
        <w:t xml:space="preserve">города Москвы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0</w:t>
      </w:r>
      <w:r>
        <w:rPr>
          <w:b/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1</w:t>
      </w:r>
      <w:r>
        <w:rPr>
          <w:rFonts w:eastAsia="MS Mincho"/>
          <w:sz w:val="22"/>
          <w:szCs w:val="22"/>
        </w:rPr>
        <w:t xml:space="preserve">0</w:t>
      </w:r>
      <w:r>
        <w:rPr>
          <w:rFonts w:eastAsia="MS Mincho"/>
          <w:sz w:val="22"/>
          <w:szCs w:val="22"/>
        </w:rPr>
        <w:t xml:space="preserve">.1.</w:t>
      </w:r>
      <w:r>
        <w:rPr>
          <w:rFonts w:eastAsia="MS Mincho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Расторжение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допускается по соглашению </w:t>
      </w:r>
      <w:r>
        <w:rPr>
          <w:sz w:val="22"/>
          <w:szCs w:val="22"/>
        </w:rPr>
        <w:t xml:space="preserve">Сторон</w:t>
      </w:r>
      <w:r>
        <w:rPr>
          <w:sz w:val="22"/>
          <w:szCs w:val="22"/>
        </w:rPr>
        <w:t xml:space="preserve">, по решению суда, в случае одностороннего отказа </w:t>
      </w:r>
      <w:r>
        <w:rPr>
          <w:sz w:val="22"/>
          <w:szCs w:val="22"/>
        </w:rPr>
        <w:t xml:space="preserve">Стороны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со статьей 450.1. ГК РФ, а также в соответствии с п.п. 8-26 ст.95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.2. Изменение существенных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при его исполнении допускается в следующих случаях: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при снижении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без изменения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товара, качества поставляемого товара и иных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если по предложению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предусмотренное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количество товара увеличивается или уменьшается не более чем на десять процентов. При этом по соглашению Сторон допускается изменение с учетом положений бюджетного законодательства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пропорционально дополнительному количеству товара исходя из установленной в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цены единицы товара, но не более чем на десять процентов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 При уменьшении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товара Стороны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обязаны уменьшить Цену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исходя из цены единицы товара</w:t>
      </w:r>
      <w:r>
        <w:rPr>
          <w:sz w:val="22"/>
          <w:szCs w:val="22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на предусмотренное в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количество такого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в случаях, предусмотренных пунктом 6 статьи 161 Бюджетного кодекса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, при уменьшении ранее доведенных до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как получателя бюджетных средств лимитов бюджетных обязательств. При этом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в ходе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обеспечивает согласование новых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, в том числе цены и (или) сроков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 (или) количества товара, предусмотренного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; изменение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 количества товаров и сокращение количества товаров при уменьшении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осуществляется в соответствии с методикой, утвержденной постановлением Правительства РФ от 28.11.2013 № 1090 «Об утверждении методики сокращения количества товаров, объемов работ или услуг</w:t>
      </w:r>
      <w:r>
        <w:rPr>
          <w:sz w:val="22"/>
          <w:szCs w:val="22"/>
        </w:rPr>
        <w:t xml:space="preserve"> при уменьшении цены контракта»;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если при исполнении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изменяется срок исполнения отдельного этапа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в рамках срока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предусмотренного при его заключении.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 представляет по запросу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</w:t>
      </w:r>
      <w:r>
        <w:rPr>
          <w:sz w:val="22"/>
          <w:szCs w:val="22"/>
        </w:rPr>
        <w:t xml:space="preserve"> в сроки, указанные в таком запросе, информацию о ходе исполнения обязательств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.4</w:t>
      </w:r>
      <w:r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Любые изменения и дополнения к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не противоречащие действующему законодательству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, оформляются дополнительными соглашениями сторон в письменной форме.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Во всем, что не предусмотрено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стороны руководствуются действующим законодательством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Срок действия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устанавливается с момента его подписания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12</w:t>
      </w:r>
      <w:r>
        <w:rPr>
          <w:sz w:val="22"/>
          <w:szCs w:val="22"/>
        </w:rPr>
        <w:t xml:space="preserve">.202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 Окончание срока действия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влечет прекращение обязательств сторон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у, за исключением оплаты за поставленный товар и ответственности сторон за его нарушение.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                11. Порядок обмена документами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11.1. Все уведомления Сторон, связ</w:t>
      </w:r>
      <w:r>
        <w:rPr>
          <w:rFonts w:eastAsia="Calibri"/>
          <w:sz w:val="22"/>
          <w:szCs w:val="22"/>
          <w:lang w:eastAsia="en-US"/>
        </w:rPr>
        <w:t xml:space="preserve">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12 настоящего Договора, или с использованием электронной почты с последующим предоставлением оригинала.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11.1.1.В случае направления уведомлени</w:t>
      </w:r>
      <w:r>
        <w:rPr>
          <w:rFonts w:eastAsia="Calibri"/>
          <w:sz w:val="22"/>
          <w:szCs w:val="22"/>
          <w:lang w:eastAsia="en-US"/>
        </w:rPr>
        <w:t xml:space="preserve">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11.2. Сто</w:t>
      </w:r>
      <w:r>
        <w:rPr>
          <w:sz w:val="22"/>
          <w:szCs w:val="22"/>
          <w:highlight w:val="white"/>
        </w:rPr>
        <w:t xml:space="preserve">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11.3. Стороны соглашаются с возможностью использования в ходе электронного документооборота усиленной квалифицированной электронной подписи.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11.4.   Стороны признают, что усиленная квалифицированная электронная подпись документа признается равнозначной собственноручной</w:t>
      </w:r>
      <w:r>
        <w:rPr>
          <w:sz w:val="22"/>
          <w:szCs w:val="22"/>
          <w:highlight w:val="white"/>
        </w:rPr>
        <w:t xml:space="preserve">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11.5. 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11.6 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– систему СБИС/Контур. Диадок.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11.7 При соблюдении условий, приведенных выше, электронный документ, содержание и порядок обмена которого соответствует треб</w:t>
      </w:r>
      <w:r>
        <w:rPr>
          <w:sz w:val="22"/>
          <w:szCs w:val="22"/>
          <w:highlight w:val="white"/>
        </w:rPr>
        <w:t xml:space="preserve">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7"/>
        <w:jc w:val="center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  <w:t xml:space="preserve">1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2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125367, г. Москва, Волоколамское шоссе, д. 80,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rStyle w:val="1031"/>
          <w:sz w:val="22"/>
          <w:szCs w:val="22"/>
        </w:rPr>
      </w:pPr>
      <w:r>
        <w:rPr>
          <w:sz w:val="22"/>
          <w:szCs w:val="22"/>
        </w:rPr>
        <w:t xml:space="preserve">Заключение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а: </w:t>
      </w:r>
      <w:r>
        <w:rPr>
          <w:sz w:val="22"/>
          <w:szCs w:val="22"/>
        </w:rPr>
        <w:t xml:space="preserve">+7(495)490-22-30 доб. 474</w:t>
      </w:r>
      <w:r>
        <w:rPr>
          <w:rStyle w:val="1031"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Согласование поставки: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Резуненко Наталья Сергеевна (495) 490-20-07</w:t>
      </w:r>
      <w:r>
        <w:rPr>
          <w:sz w:val="22"/>
          <w:szCs w:val="22"/>
        </w:rPr>
        <w:tab/>
        <w:t xml:space="preserve">доб. 578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Покидов Сергей Юрьевич (495) </w:t>
      </w:r>
      <w:r>
        <w:rPr>
          <w:color w:val="000000"/>
          <w:sz w:val="22"/>
          <w:szCs w:val="22"/>
        </w:rPr>
        <w:t xml:space="preserve">490-20-07 доб. 549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ГРН 1027739766812 от 16.04.1993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7733012151, КПП 773301001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01897653, ОКТМО 45368000</w:t>
      </w:r>
      <w:r>
        <w:rPr>
          <w:sz w:val="22"/>
          <w:szCs w:val="22"/>
        </w:rPr>
        <w:t xml:space="preserve">, ОКОПФ 75103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Наименование получателя: УФК по г. Москве 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contextualSpacing/>
        <w:spacing w:after="160" w:line="259" w:lineRule="auto"/>
        <w:rPr>
          <w:rFonts w:eastAsia="Calibri"/>
          <w:sz w:val="22"/>
          <w:szCs w:val="22"/>
          <w:lang w:eastAsia="en-US"/>
          <w14:ligatures w14:val="standardContextual"/>
        </w:rPr>
      </w:pPr>
      <w:r>
        <w:rPr>
          <w:color w:val="000000"/>
          <w:spacing w:val="5"/>
          <w:sz w:val="22"/>
          <w:szCs w:val="22"/>
        </w:rPr>
        <w:t xml:space="preserve">(ФГБНУ РЦНН л/с 20736У94110</w:t>
      </w:r>
      <w:r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r>
        <w:rPr>
          <w:rFonts w:eastAsia="Calibri"/>
          <w:sz w:val="22"/>
          <w:szCs w:val="22"/>
          <w:lang w:eastAsia="en-US"/>
          <w14:ligatures w14:val="standardContextual"/>
        </w:rPr>
      </w:r>
      <w:r>
        <w:rPr>
          <w:rFonts w:eastAsia="Calibri"/>
          <w:sz w:val="22"/>
          <w:szCs w:val="22"/>
          <w:lang w:eastAsia="en-US"/>
          <w14:ligatures w14:val="standardContextual"/>
        </w:rPr>
      </w:r>
    </w:p>
    <w:p>
      <w:pPr>
        <w:contextualSpacing/>
        <w:spacing w:after="160" w:line="259" w:lineRule="auto"/>
        <w:rPr>
          <w:rFonts w:eastAsia="Calibri"/>
          <w:sz w:val="22"/>
          <w:szCs w:val="22"/>
          <w:lang w:eastAsia="en-US"/>
          <w14:ligatures w14:val="standardContextual"/>
        </w:rPr>
      </w:pPr>
      <w:r>
        <w:rPr>
          <w:rFonts w:eastAsia="Calibri"/>
          <w:sz w:val="22"/>
          <w:szCs w:val="22"/>
          <w:lang w:eastAsia="en-US"/>
          <w14:ligatures w14:val="standardContextual"/>
        </w:rPr>
        <w:t xml:space="preserve">21736У94110, 22736У94110) </w:t>
      </w:r>
      <w:r>
        <w:rPr>
          <w:rFonts w:eastAsia="Calibri"/>
          <w:sz w:val="22"/>
          <w:szCs w:val="22"/>
          <w:lang w:eastAsia="en-US"/>
          <w14:ligatures w14:val="standardContextual"/>
        </w:rPr>
      </w:r>
      <w:r>
        <w:rPr>
          <w:rFonts w:eastAsia="Calibri"/>
          <w:sz w:val="22"/>
          <w:szCs w:val="22"/>
          <w:lang w:eastAsia="en-US"/>
          <w14:ligatures w14:val="standardContextual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Единый казначейский счет 40102810545370000003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р/с 03214643000000017300 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Банк получателя: ОКЦ № 1 ГУ БАНКА РОССИИ ПО ЦФО//УФК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ПО Г. МОСКВЕ г. Москва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КБК 00000000000000000130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БИК 004525988   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sectPr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5" w:h="16838" w:orient="portrait"/>
      <w:pgMar w:top="567" w:right="1134" w:bottom="709" w:left="1134" w:header="284" w:footer="13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MS Mincho">
    <w:panose1 w:val="02020503050405090304"/>
  </w:font>
  <w:font w:name="Tahoma">
    <w:panose1 w:val="020B0604030504040204"/>
  </w:font>
  <w:font w:name="Courier New">
    <w:panose1 w:val="02070309020205020404"/>
  </w:font>
  <w:font w:name="Cambria Math">
    <w:panose1 w:val="02040503050406030204"/>
  </w:font>
  <w:font w:name="Liberation Serif">
    <w:panose1 w:val="02020603050405020304"/>
  </w:font>
  <w:font w:name="Calibri Light">
    <w:panose1 w:val="020F03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24722361"/>
      <w:docPartObj>
        <w:docPartGallery w:val="Page Numbers (Bottom of Page)"/>
        <w:docPartUnique w:val="true"/>
      </w:docPartObj>
      <w:rPr/>
    </w:sdtPr>
    <w:sdtContent>
      <w:p>
        <w:pPr>
          <w:pStyle w:val="1012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2</w:t>
        </w:r>
        <w:r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</w:r>
        <w:r>
          <w:rPr>
            <w:sz w:val="22"/>
            <w:szCs w:val="22"/>
          </w:rPr>
        </w:r>
      </w:p>
    </w:sdtContent>
  </w:sdt>
  <w:p>
    <w:pPr>
      <w:pStyle w:val="101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rPr>
        <w:rStyle w:val="1024"/>
      </w:rPr>
      <w:framePr w:wrap="around" w:vAnchor="text" w:hAnchor="margin" w:xAlign="right" w:y="1"/>
    </w:pPr>
    <w:r>
      <w:rPr>
        <w:rStyle w:val="1024"/>
      </w:rPr>
      <w:fldChar w:fldCharType="begin"/>
    </w:r>
    <w:r>
      <w:rPr>
        <w:rStyle w:val="1024"/>
      </w:rPr>
      <w:instrText xml:space="preserve">PAGE  </w:instrText>
    </w:r>
    <w:r>
      <w:rPr>
        <w:rStyle w:val="1024"/>
      </w:rPr>
      <w:fldChar w:fldCharType="end"/>
    </w:r>
    <w:r>
      <w:rPr>
        <w:rStyle w:val="1024"/>
      </w:rPr>
    </w:r>
    <w:r>
      <w:rPr>
        <w:rStyle w:val="1024"/>
      </w:rPr>
    </w:r>
  </w:p>
  <w:p>
    <w:pPr>
      <w:pStyle w:val="1012"/>
      <w:ind w:right="360"/>
    </w:pPr>
    <w:r/>
    <w:r/>
  </w:p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81870593"/>
      <w:docPartObj>
        <w:docPartGallery w:val="Page Numbers (Bottom of Page)"/>
        <w:docPartUnique w:val="true"/>
      </w:docPartObj>
      <w:rPr/>
    </w:sdtPr>
    <w:sdtContent>
      <w:p>
        <w:pPr>
          <w:pStyle w:val="101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10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rPr>
        <w:rStyle w:val="1024"/>
      </w:rPr>
      <w:framePr w:wrap="around" w:vAnchor="text" w:hAnchor="margin" w:xAlign="center" w:y="1"/>
    </w:pPr>
    <w:r>
      <w:rPr>
        <w:rStyle w:val="1024"/>
      </w:rPr>
      <w:fldChar w:fldCharType="begin"/>
    </w:r>
    <w:r>
      <w:rPr>
        <w:rStyle w:val="1024"/>
      </w:rPr>
      <w:instrText xml:space="preserve">PAGE  </w:instrText>
    </w:r>
    <w:r>
      <w:rPr>
        <w:rStyle w:val="1024"/>
      </w:rPr>
      <w:fldChar w:fldCharType="separate"/>
    </w:r>
    <w:r>
      <w:rPr>
        <w:rStyle w:val="1024"/>
      </w:rPr>
      <w:t xml:space="preserve">1</w:t>
    </w:r>
    <w:r>
      <w:rPr>
        <w:rStyle w:val="1024"/>
      </w:rPr>
      <w:fldChar w:fldCharType="end"/>
    </w:r>
    <w:r>
      <w:rPr>
        <w:rStyle w:val="1024"/>
      </w:rPr>
    </w:r>
    <w:r>
      <w:rPr>
        <w:rStyle w:val="1024"/>
      </w:rPr>
    </w:r>
  </w:p>
  <w:p>
    <w:pPr>
      <w:pStyle w:val="1010"/>
    </w:pPr>
    <w:r/>
    <w:r/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jc w:val="right"/>
      <w:rPr>
        <w:i/>
      </w:rPr>
    </w:pPr>
    <w:r>
      <w:rPr>
        <w:i/>
      </w:rPr>
      <w:t xml:space="preserve">Приложение Заказчика к объявлению закупочной сессии</w:t>
    </w:r>
    <w:r>
      <w:rPr>
        <w:i/>
      </w:rPr>
    </w:r>
    <w:r>
      <w:rPr>
        <w:i/>
      </w:rPr>
    </w:r>
  </w:p>
  <w:p>
    <w:pPr>
      <w:pStyle w:val="101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786" w:leader="none"/>
        </w:tabs>
      </w:pPr>
      <w:rPr>
        <w:rFonts w:hint="default"/>
      </w:rPr>
    </w:lvl>
    <w:lvl w:ilvl="1">
      <w:start w:val="1"/>
      <w:numFmt w:val="upperRoman"/>
      <w:isLgl w:val="false"/>
      <w:suff w:val="tab"/>
      <w:lvlText w:val="%2."/>
      <w:lvlJc w:val="left"/>
      <w:pPr>
        <w:ind w:left="1800" w:hanging="720"/>
        <w:tabs>
          <w:tab w:val="num" w:pos="1800" w:leader="none"/>
        </w:tabs>
      </w:pPr>
      <w:rPr>
        <w:rFonts w:hint="default"/>
        <w:sz w:val="24"/>
        <w:szCs w:val="24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16">
    <w:multiLevelType w:val="hybridMultilevel"/>
    <w:styleLink w:val="1062"/>
    <w:lvl w:ilvl="0">
      <w:start w:val="1"/>
      <w:numFmt w:val="bullet"/>
      <w:pStyle w:val="1062"/>
      <w:isLgl w:val="false"/>
      <w:suff w:val="tab"/>
      <w:lvlText w:val="·"/>
      <w:lvlJc w:val="left"/>
      <w:pPr>
        <w:ind w:left="709" w:hanging="360"/>
      </w:p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0" w:hanging="180"/>
      </w:pPr>
    </w:lvl>
  </w:abstractNum>
  <w:abstractNum w:abstractNumId="2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60" w:hanging="720"/>
        <w:tabs>
          <w:tab w:val="num" w:pos="12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2"/>
  </w:num>
  <w:num w:numId="5">
    <w:abstractNumId w:val="27"/>
  </w:num>
  <w:num w:numId="6">
    <w:abstractNumId w:val="18"/>
  </w:num>
  <w:num w:numId="7">
    <w:abstractNumId w:val="23"/>
  </w:num>
  <w:num w:numId="8">
    <w:abstractNumId w:val="11"/>
  </w:num>
  <w:num w:numId="9">
    <w:abstractNumId w:val="8"/>
  </w:num>
  <w:num w:numId="10">
    <w:abstractNumId w:val="4"/>
  </w:num>
  <w:num w:numId="11">
    <w:abstractNumId w:val="30"/>
  </w:num>
  <w:num w:numId="12">
    <w:abstractNumId w:val="5"/>
  </w:num>
  <w:num w:numId="13">
    <w:abstractNumId w:val="1"/>
  </w:num>
  <w:num w:numId="14">
    <w:abstractNumId w:val="21"/>
  </w:num>
  <w:num w:numId="15">
    <w:abstractNumId w:val="10"/>
  </w:num>
  <w:num w:numId="16">
    <w:abstractNumId w:val="20"/>
  </w:num>
  <w:num w:numId="17">
    <w:abstractNumId w:val="2"/>
  </w:num>
  <w:num w:numId="18">
    <w:abstractNumId w:val="12"/>
  </w:num>
  <w:num w:numId="19">
    <w:abstractNumId w:val="17"/>
  </w:num>
  <w:num w:numId="20">
    <w:abstractNumId w:val="13"/>
  </w:num>
  <w:num w:numId="21">
    <w:abstractNumId w:val="3"/>
  </w:num>
  <w:num w:numId="22">
    <w:abstractNumId w:val="32"/>
  </w:num>
  <w:num w:numId="23">
    <w:abstractNumId w:val="33"/>
  </w:num>
  <w:num w:numId="24">
    <w:abstractNumId w:val="29"/>
  </w:num>
  <w:num w:numId="25">
    <w:abstractNumId w:val="25"/>
  </w:num>
  <w:num w:numId="26">
    <w:abstractNumId w:val="9"/>
  </w:num>
  <w:num w:numId="27">
    <w:abstractNumId w:val="14"/>
  </w:num>
  <w:num w:numId="28">
    <w:abstractNumId w:val="16"/>
  </w:num>
  <w:num w:numId="29">
    <w:abstractNumId w:val="31"/>
  </w:num>
  <w:num w:numId="30">
    <w:abstractNumId w:val="6"/>
  </w:num>
  <w:num w:numId="31">
    <w:abstractNumId w:val="26"/>
  </w:num>
  <w:num w:numId="32">
    <w:abstractNumId w:val="19"/>
  </w:num>
  <w:num w:numId="33">
    <w:abstractNumId w:val="1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0">
    <w:name w:val="Heading 1 Char"/>
    <w:basedOn w:val="1000"/>
    <w:link w:val="997"/>
    <w:uiPriority w:val="9"/>
    <w:rPr>
      <w:rFonts w:ascii="Arial" w:hAnsi="Arial" w:eastAsia="Arial" w:cs="Arial"/>
      <w:sz w:val="40"/>
      <w:szCs w:val="40"/>
    </w:rPr>
  </w:style>
  <w:style w:type="character" w:styleId="831">
    <w:name w:val="Heading 2 Char"/>
    <w:basedOn w:val="1000"/>
    <w:link w:val="998"/>
    <w:uiPriority w:val="9"/>
    <w:rPr>
      <w:rFonts w:ascii="Arial" w:hAnsi="Arial" w:eastAsia="Arial" w:cs="Arial"/>
      <w:sz w:val="34"/>
    </w:rPr>
  </w:style>
  <w:style w:type="character" w:styleId="832">
    <w:name w:val="Heading 3 Char"/>
    <w:basedOn w:val="1000"/>
    <w:link w:val="999"/>
    <w:uiPriority w:val="9"/>
    <w:rPr>
      <w:rFonts w:ascii="Arial" w:hAnsi="Arial" w:eastAsia="Arial" w:cs="Arial"/>
      <w:sz w:val="30"/>
      <w:szCs w:val="30"/>
    </w:rPr>
  </w:style>
  <w:style w:type="paragraph" w:styleId="833">
    <w:name w:val="Heading 4"/>
    <w:basedOn w:val="996"/>
    <w:next w:val="996"/>
    <w:link w:val="8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4">
    <w:name w:val="Heading 4 Char"/>
    <w:basedOn w:val="1000"/>
    <w:link w:val="833"/>
    <w:uiPriority w:val="9"/>
    <w:rPr>
      <w:rFonts w:ascii="Arial" w:hAnsi="Arial" w:eastAsia="Arial" w:cs="Arial"/>
      <w:b/>
      <w:bCs/>
      <w:sz w:val="26"/>
      <w:szCs w:val="26"/>
    </w:rPr>
  </w:style>
  <w:style w:type="paragraph" w:styleId="835">
    <w:name w:val="Heading 5"/>
    <w:basedOn w:val="996"/>
    <w:next w:val="996"/>
    <w:link w:val="8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6">
    <w:name w:val="Heading 5 Char"/>
    <w:basedOn w:val="1000"/>
    <w:link w:val="835"/>
    <w:uiPriority w:val="9"/>
    <w:rPr>
      <w:rFonts w:ascii="Arial" w:hAnsi="Arial" w:eastAsia="Arial" w:cs="Arial"/>
      <w:b/>
      <w:bCs/>
      <w:sz w:val="24"/>
      <w:szCs w:val="24"/>
    </w:rPr>
  </w:style>
  <w:style w:type="paragraph" w:styleId="837">
    <w:name w:val="Heading 6"/>
    <w:basedOn w:val="996"/>
    <w:next w:val="996"/>
    <w:link w:val="8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8">
    <w:name w:val="Heading 6 Char"/>
    <w:basedOn w:val="1000"/>
    <w:link w:val="837"/>
    <w:uiPriority w:val="9"/>
    <w:rPr>
      <w:rFonts w:ascii="Arial" w:hAnsi="Arial" w:eastAsia="Arial" w:cs="Arial"/>
      <w:b/>
      <w:bCs/>
      <w:sz w:val="22"/>
      <w:szCs w:val="22"/>
    </w:rPr>
  </w:style>
  <w:style w:type="paragraph" w:styleId="839">
    <w:name w:val="Heading 7"/>
    <w:basedOn w:val="996"/>
    <w:next w:val="996"/>
    <w:link w:val="8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0">
    <w:name w:val="Heading 7 Char"/>
    <w:basedOn w:val="1000"/>
    <w:link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41">
    <w:name w:val="Heading 8"/>
    <w:basedOn w:val="996"/>
    <w:next w:val="996"/>
    <w:link w:val="8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2">
    <w:name w:val="Heading 8 Char"/>
    <w:basedOn w:val="1000"/>
    <w:link w:val="841"/>
    <w:uiPriority w:val="9"/>
    <w:rPr>
      <w:rFonts w:ascii="Arial" w:hAnsi="Arial" w:eastAsia="Arial" w:cs="Arial"/>
      <w:i/>
      <w:iCs/>
      <w:sz w:val="22"/>
      <w:szCs w:val="22"/>
    </w:rPr>
  </w:style>
  <w:style w:type="paragraph" w:styleId="843">
    <w:name w:val="Heading 9"/>
    <w:basedOn w:val="996"/>
    <w:next w:val="996"/>
    <w:link w:val="8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4">
    <w:name w:val="Heading 9 Char"/>
    <w:basedOn w:val="1000"/>
    <w:link w:val="843"/>
    <w:uiPriority w:val="9"/>
    <w:rPr>
      <w:rFonts w:ascii="Arial" w:hAnsi="Arial" w:eastAsia="Arial" w:cs="Arial"/>
      <w:i/>
      <w:iCs/>
      <w:sz w:val="21"/>
      <w:szCs w:val="21"/>
    </w:rPr>
  </w:style>
  <w:style w:type="character" w:styleId="845">
    <w:name w:val="Title Char"/>
    <w:basedOn w:val="1000"/>
    <w:link w:val="1022"/>
    <w:uiPriority w:val="10"/>
    <w:rPr>
      <w:sz w:val="48"/>
      <w:szCs w:val="48"/>
    </w:rPr>
  </w:style>
  <w:style w:type="paragraph" w:styleId="846">
    <w:name w:val="Subtitle"/>
    <w:basedOn w:val="996"/>
    <w:next w:val="996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0"/>
    <w:link w:val="846"/>
    <w:uiPriority w:val="11"/>
    <w:rPr>
      <w:sz w:val="24"/>
      <w:szCs w:val="24"/>
    </w:rPr>
  </w:style>
  <w:style w:type="paragraph" w:styleId="848">
    <w:name w:val="Quote"/>
    <w:basedOn w:val="996"/>
    <w:next w:val="996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996"/>
    <w:next w:val="996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character" w:styleId="852">
    <w:name w:val="Header Char"/>
    <w:basedOn w:val="1000"/>
    <w:link w:val="1010"/>
    <w:uiPriority w:val="99"/>
  </w:style>
  <w:style w:type="character" w:styleId="853">
    <w:name w:val="Footer Char"/>
    <w:basedOn w:val="1000"/>
    <w:link w:val="1012"/>
    <w:uiPriority w:val="99"/>
  </w:style>
  <w:style w:type="paragraph" w:styleId="854">
    <w:name w:val="Caption"/>
    <w:basedOn w:val="996"/>
    <w:next w:val="996"/>
    <w:link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5">
    <w:name w:val="Caption Char"/>
    <w:basedOn w:val="1000"/>
    <w:link w:val="854"/>
    <w:uiPriority w:val="35"/>
    <w:rPr>
      <w:b/>
      <w:bCs/>
      <w:color w:val="4f81bd" w:themeColor="accent1"/>
      <w:sz w:val="18"/>
      <w:szCs w:val="18"/>
    </w:rPr>
  </w:style>
  <w:style w:type="table" w:styleId="856">
    <w:name w:val="Table Grid Light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7">
    <w:name w:val="Plain Table 1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8">
    <w:name w:val="Plain Table 2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9">
    <w:name w:val="Plain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0">
    <w:name w:val="Plain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Plain Table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2">
    <w:name w:val="Grid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4">
    <w:name w:val="Grid Table 4 - Accent 1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5">
    <w:name w:val="Grid Table 4 - Accent 2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Grid Table 4 - Accent 3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7">
    <w:name w:val="Grid Table 4 - Accent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Grid Table 4 - Accent 5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9">
    <w:name w:val="Grid Table 4 - Accent 6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0">
    <w:name w:val="Grid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1">
    <w:name w:val="Grid Table 5 Dark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2">
    <w:name w:val="Grid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4">
    <w:name w:val="Grid Table 5 Dark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6">
    <w:name w:val="Grid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7">
    <w:name w:val="Grid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8">
    <w:name w:val="Grid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9">
    <w:name w:val="Grid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0">
    <w:name w:val="Grid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1">
    <w:name w:val="Grid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2">
    <w:name w:val="Grid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3">
    <w:name w:val="Grid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4">
    <w:name w:val="Grid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9">
    <w:name w:val="List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0">
    <w:name w:val="List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1">
    <w:name w:val="List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2">
    <w:name w:val="List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3">
    <w:name w:val="List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4">
    <w:name w:val="List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5">
    <w:name w:val="List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7">
    <w:name w:val="List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8">
    <w:name w:val="List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9">
    <w:name w:val="List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0">
    <w:name w:val="List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1">
    <w:name w:val="List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2">
    <w:name w:val="List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3">
    <w:name w:val="List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4">
    <w:name w:val="List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5">
    <w:name w:val="List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6">
    <w:name w:val="List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7">
    <w:name w:val="List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8">
    <w:name w:val="List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9">
    <w:name w:val="List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0">
    <w:name w:val="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1">
    <w:name w:val="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2">
    <w:name w:val="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3">
    <w:name w:val="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4">
    <w:name w:val="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5">
    <w:name w:val="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6">
    <w:name w:val="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7">
    <w:name w:val="Bordered &amp; 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8">
    <w:name w:val="Bordered &amp; 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9">
    <w:name w:val="Bordered &amp; 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0">
    <w:name w:val="Bordered &amp; 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1">
    <w:name w:val="Bordered &amp; 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2">
    <w:name w:val="Bordered &amp; 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3">
    <w:name w:val="Bordered &amp; 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4">
    <w:name w:val="Bordered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5">
    <w:name w:val="Bordered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6">
    <w:name w:val="Bordered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7">
    <w:name w:val="Bordered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8">
    <w:name w:val="Bordered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9">
    <w:name w:val="Bordered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0">
    <w:name w:val="Bordered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81">
    <w:name w:val="Footnote Text Char"/>
    <w:link w:val="1042"/>
    <w:uiPriority w:val="99"/>
    <w:rPr>
      <w:sz w:val="18"/>
    </w:rPr>
  </w:style>
  <w:style w:type="paragraph" w:styleId="982">
    <w:name w:val="endnote text"/>
    <w:basedOn w:val="996"/>
    <w:link w:val="983"/>
    <w:uiPriority w:val="99"/>
    <w:semiHidden/>
    <w:unhideWhenUsed/>
    <w:pPr>
      <w:spacing w:after="0" w:line="240" w:lineRule="auto"/>
    </w:pPr>
    <w:rPr>
      <w:sz w:val="20"/>
    </w:rPr>
  </w:style>
  <w:style w:type="character" w:styleId="983">
    <w:name w:val="Endnote Text Char"/>
    <w:link w:val="982"/>
    <w:uiPriority w:val="99"/>
    <w:rPr>
      <w:sz w:val="20"/>
    </w:rPr>
  </w:style>
  <w:style w:type="character" w:styleId="984">
    <w:name w:val="endnote reference"/>
    <w:basedOn w:val="1000"/>
    <w:uiPriority w:val="99"/>
    <w:semiHidden/>
    <w:unhideWhenUsed/>
    <w:rPr>
      <w:vertAlign w:val="superscript"/>
    </w:rPr>
  </w:style>
  <w:style w:type="paragraph" w:styleId="985">
    <w:name w:val="toc 1"/>
    <w:basedOn w:val="996"/>
    <w:next w:val="996"/>
    <w:uiPriority w:val="39"/>
    <w:unhideWhenUsed/>
    <w:pPr>
      <w:ind w:left="0" w:right="0" w:firstLine="0"/>
      <w:spacing w:after="57"/>
    </w:pPr>
  </w:style>
  <w:style w:type="paragraph" w:styleId="986">
    <w:name w:val="toc 2"/>
    <w:basedOn w:val="996"/>
    <w:next w:val="996"/>
    <w:uiPriority w:val="39"/>
    <w:unhideWhenUsed/>
    <w:pPr>
      <w:ind w:left="283" w:right="0" w:firstLine="0"/>
      <w:spacing w:after="57"/>
    </w:pPr>
  </w:style>
  <w:style w:type="paragraph" w:styleId="987">
    <w:name w:val="toc 3"/>
    <w:basedOn w:val="996"/>
    <w:next w:val="996"/>
    <w:uiPriority w:val="39"/>
    <w:unhideWhenUsed/>
    <w:pPr>
      <w:ind w:left="567" w:right="0" w:firstLine="0"/>
      <w:spacing w:after="57"/>
    </w:pPr>
  </w:style>
  <w:style w:type="paragraph" w:styleId="988">
    <w:name w:val="toc 4"/>
    <w:basedOn w:val="996"/>
    <w:next w:val="996"/>
    <w:uiPriority w:val="39"/>
    <w:unhideWhenUsed/>
    <w:pPr>
      <w:ind w:left="850" w:right="0" w:firstLine="0"/>
      <w:spacing w:after="57"/>
    </w:pPr>
  </w:style>
  <w:style w:type="paragraph" w:styleId="989">
    <w:name w:val="toc 5"/>
    <w:basedOn w:val="996"/>
    <w:next w:val="996"/>
    <w:uiPriority w:val="39"/>
    <w:unhideWhenUsed/>
    <w:pPr>
      <w:ind w:left="1134" w:right="0" w:firstLine="0"/>
      <w:spacing w:after="57"/>
    </w:pPr>
  </w:style>
  <w:style w:type="paragraph" w:styleId="990">
    <w:name w:val="toc 6"/>
    <w:basedOn w:val="996"/>
    <w:next w:val="996"/>
    <w:uiPriority w:val="39"/>
    <w:unhideWhenUsed/>
    <w:pPr>
      <w:ind w:left="1417" w:right="0" w:firstLine="0"/>
      <w:spacing w:after="57"/>
    </w:pPr>
  </w:style>
  <w:style w:type="paragraph" w:styleId="991">
    <w:name w:val="toc 7"/>
    <w:basedOn w:val="996"/>
    <w:next w:val="996"/>
    <w:uiPriority w:val="39"/>
    <w:unhideWhenUsed/>
    <w:pPr>
      <w:ind w:left="1701" w:right="0" w:firstLine="0"/>
      <w:spacing w:after="57"/>
    </w:pPr>
  </w:style>
  <w:style w:type="paragraph" w:styleId="992">
    <w:name w:val="toc 8"/>
    <w:basedOn w:val="996"/>
    <w:next w:val="996"/>
    <w:uiPriority w:val="39"/>
    <w:unhideWhenUsed/>
    <w:pPr>
      <w:ind w:left="1984" w:right="0" w:firstLine="0"/>
      <w:spacing w:after="57"/>
    </w:pPr>
  </w:style>
  <w:style w:type="paragraph" w:styleId="993">
    <w:name w:val="toc 9"/>
    <w:basedOn w:val="996"/>
    <w:next w:val="996"/>
    <w:uiPriority w:val="39"/>
    <w:unhideWhenUsed/>
    <w:pPr>
      <w:ind w:left="2268" w:right="0" w:firstLine="0"/>
      <w:spacing w:after="57"/>
    </w:pPr>
  </w:style>
  <w:style w:type="paragraph" w:styleId="994">
    <w:name w:val="TOC Heading"/>
    <w:uiPriority w:val="39"/>
    <w:unhideWhenUsed/>
  </w:style>
  <w:style w:type="paragraph" w:styleId="995">
    <w:name w:val="table of figures"/>
    <w:basedOn w:val="996"/>
    <w:next w:val="996"/>
    <w:uiPriority w:val="99"/>
    <w:unhideWhenUsed/>
    <w:pPr>
      <w:spacing w:after="0" w:afterAutospacing="0"/>
    </w:pPr>
  </w:style>
  <w:style w:type="paragraph" w:styleId="996" w:default="1">
    <w:name w:val="Normal"/>
    <w:qFormat/>
    <w:rPr>
      <w:sz w:val="24"/>
      <w:szCs w:val="24"/>
    </w:rPr>
  </w:style>
  <w:style w:type="paragraph" w:styleId="997">
    <w:name w:val="Heading 1"/>
    <w:basedOn w:val="996"/>
    <w:next w:val="996"/>
    <w:link w:val="1046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998">
    <w:name w:val="Heading 2"/>
    <w:basedOn w:val="996"/>
    <w:next w:val="996"/>
    <w:link w:val="1075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99">
    <w:name w:val="Heading 3"/>
    <w:basedOn w:val="996"/>
    <w:next w:val="996"/>
    <w:link w:val="1015"/>
    <w:qFormat/>
    <w:pPr>
      <w:keepNext/>
      <w:spacing w:before="240" w:after="60"/>
      <w:outlineLvl w:val="2"/>
    </w:pPr>
    <w:rPr>
      <w:rFonts w:ascii="Arial" w:hAnsi="Arial" w:eastAsia="Arial Unicode MS"/>
      <w:b/>
      <w:bCs/>
      <w:sz w:val="26"/>
      <w:szCs w:val="26"/>
    </w:rPr>
  </w:style>
  <w:style w:type="character" w:styleId="1000" w:default="1">
    <w:name w:val="Default Paragraph Font"/>
    <w:uiPriority w:val="1"/>
    <w:semiHidden/>
    <w:unhideWhenUsed/>
  </w:style>
  <w:style w:type="table" w:styleId="10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2" w:default="1">
    <w:name w:val="No List"/>
    <w:uiPriority w:val="99"/>
    <w:semiHidden/>
    <w:unhideWhenUsed/>
  </w:style>
  <w:style w:type="paragraph" w:styleId="1003" w:customStyle="1">
    <w:name w:val="ConsPlusNonformat"/>
    <w:rPr>
      <w:rFonts w:ascii="Courier New" w:hAnsi="Courier New" w:cs="Courier New"/>
    </w:rPr>
  </w:style>
  <w:style w:type="paragraph" w:styleId="1004" w:customStyle="1">
    <w:name w:val="ConsPlusTitle"/>
    <w:uiPriority w:val="99"/>
    <w:rPr>
      <w:b/>
      <w:bCs/>
      <w:sz w:val="28"/>
      <w:szCs w:val="28"/>
    </w:rPr>
  </w:style>
  <w:style w:type="paragraph" w:styleId="1005" w:customStyle="1">
    <w:name w:val="ConsPlusCell"/>
    <w:uiPriority w:val="99"/>
    <w:rPr>
      <w:rFonts w:ascii="Courier New" w:hAnsi="Courier New" w:cs="Courier New"/>
    </w:rPr>
  </w:style>
  <w:style w:type="paragraph" w:styleId="1006" w:customStyle="1">
    <w:name w:val="ConsPlusNormal"/>
    <w:link w:val="1030"/>
    <w:pPr>
      <w:widowControl w:val="off"/>
    </w:pPr>
    <w:rPr>
      <w:sz w:val="24"/>
      <w:szCs w:val="24"/>
    </w:rPr>
  </w:style>
  <w:style w:type="paragraph" w:styleId="1007">
    <w:name w:val="Body Text 3"/>
    <w:basedOn w:val="996"/>
    <w:link w:val="1008"/>
    <w:pPr>
      <w:jc w:val="both"/>
    </w:pPr>
    <w:rPr>
      <w:szCs w:val="20"/>
    </w:rPr>
  </w:style>
  <w:style w:type="character" w:styleId="1008" w:customStyle="1">
    <w:name w:val="Основной текст 3 Знак"/>
    <w:link w:val="1007"/>
    <w:rPr>
      <w:sz w:val="24"/>
      <w:lang w:val="ru-RU" w:eastAsia="ru-RU" w:bidi="ar-SA"/>
    </w:rPr>
  </w:style>
  <w:style w:type="paragraph" w:styleId="1009" w:customStyle="1">
    <w:name w:val="Готовый"/>
    <w:basedOn w:val="996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  <w:szCs w:val="20"/>
    </w:rPr>
  </w:style>
  <w:style w:type="paragraph" w:styleId="1010">
    <w:name w:val="Header"/>
    <w:basedOn w:val="996"/>
    <w:link w:val="1011"/>
    <w:uiPriority w:val="99"/>
    <w:pPr>
      <w:tabs>
        <w:tab w:val="center" w:pos="4677" w:leader="none"/>
        <w:tab w:val="right" w:pos="9355" w:leader="none"/>
      </w:tabs>
    </w:pPr>
  </w:style>
  <w:style w:type="character" w:styleId="1011" w:customStyle="1">
    <w:name w:val="Верхний колонтитул Знак"/>
    <w:link w:val="1010"/>
    <w:uiPriority w:val="99"/>
    <w:rPr>
      <w:sz w:val="24"/>
      <w:szCs w:val="24"/>
    </w:rPr>
  </w:style>
  <w:style w:type="paragraph" w:styleId="1012">
    <w:name w:val="Footer"/>
    <w:basedOn w:val="996"/>
    <w:link w:val="1013"/>
    <w:uiPriority w:val="99"/>
    <w:pPr>
      <w:tabs>
        <w:tab w:val="center" w:pos="4677" w:leader="none"/>
        <w:tab w:val="right" w:pos="9355" w:leader="none"/>
      </w:tabs>
    </w:pPr>
  </w:style>
  <w:style w:type="character" w:styleId="1013" w:customStyle="1">
    <w:name w:val="Нижний колонтитул Знак"/>
    <w:link w:val="1012"/>
    <w:uiPriority w:val="99"/>
    <w:rPr>
      <w:sz w:val="24"/>
      <w:szCs w:val="24"/>
    </w:rPr>
  </w:style>
  <w:style w:type="paragraph" w:styleId="1014">
    <w:name w:val="Balloon Text"/>
    <w:basedOn w:val="996"/>
    <w:semiHidden/>
    <w:rPr>
      <w:rFonts w:ascii="Tahoma" w:hAnsi="Tahoma" w:cs="Tahoma"/>
      <w:sz w:val="16"/>
      <w:szCs w:val="16"/>
    </w:rPr>
  </w:style>
  <w:style w:type="character" w:styleId="1015" w:customStyle="1">
    <w:name w:val="Заголовок 3 Знак"/>
    <w:link w:val="999"/>
    <w:rPr>
      <w:rFonts w:ascii="Arial" w:hAnsi="Arial" w:eastAsia="Arial Unicode MS" w:cs="Arial"/>
      <w:b/>
      <w:bCs/>
      <w:sz w:val="26"/>
      <w:szCs w:val="26"/>
    </w:rPr>
  </w:style>
  <w:style w:type="paragraph" w:styleId="1016" w:customStyle="1">
    <w:name w:val="Table Paragraph"/>
    <w:basedOn w:val="996"/>
    <w:uiPriority w:val="1"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</w:style>
  <w:style w:type="paragraph" w:styleId="1017">
    <w:name w:val="Plain Text"/>
    <w:basedOn w:val="996"/>
    <w:link w:val="1019"/>
    <w:uiPriority w:val="99"/>
    <w:pPr>
      <w:jc w:val="both"/>
    </w:pPr>
    <w:rPr>
      <w:rFonts w:ascii="Courier New" w:hAnsi="Courier New"/>
      <w:sz w:val="20"/>
      <w:szCs w:val="20"/>
    </w:rPr>
  </w:style>
  <w:style w:type="character" w:styleId="1018" w:customStyle="1">
    <w:name w:val="Текст Знак"/>
    <w:rPr>
      <w:rFonts w:ascii="Courier New" w:hAnsi="Courier New" w:cs="Courier New"/>
    </w:rPr>
  </w:style>
  <w:style w:type="character" w:styleId="1019" w:customStyle="1">
    <w:name w:val="Текст Знак3"/>
    <w:link w:val="1017"/>
    <w:uiPriority w:val="99"/>
    <w:rPr>
      <w:rFonts w:ascii="Courier New" w:hAnsi="Courier New" w:cs="Courier New"/>
    </w:rPr>
  </w:style>
  <w:style w:type="paragraph" w:styleId="1020">
    <w:name w:val="Body Text Indent"/>
    <w:basedOn w:val="996"/>
    <w:link w:val="1021"/>
    <w:pPr>
      <w:ind w:left="283"/>
      <w:spacing w:after="120"/>
    </w:pPr>
  </w:style>
  <w:style w:type="character" w:styleId="1021" w:customStyle="1">
    <w:name w:val="Основной текст с отступом Знак"/>
    <w:link w:val="1020"/>
    <w:rPr>
      <w:sz w:val="24"/>
      <w:szCs w:val="24"/>
    </w:rPr>
  </w:style>
  <w:style w:type="paragraph" w:styleId="1022">
    <w:name w:val="Title"/>
    <w:basedOn w:val="996"/>
    <w:link w:val="1023"/>
    <w:qFormat/>
    <w:pPr>
      <w:jc w:val="center"/>
    </w:pPr>
    <w:rPr>
      <w:b/>
      <w:sz w:val="28"/>
      <w:szCs w:val="20"/>
    </w:rPr>
  </w:style>
  <w:style w:type="character" w:styleId="1023" w:customStyle="1">
    <w:name w:val="Заголовок Знак"/>
    <w:link w:val="1022"/>
    <w:rPr>
      <w:b/>
      <w:sz w:val="28"/>
    </w:rPr>
  </w:style>
  <w:style w:type="character" w:styleId="1024">
    <w:name w:val="page number"/>
  </w:style>
  <w:style w:type="table" w:styleId="1025">
    <w:name w:val="Table Grid"/>
    <w:basedOn w:val="1001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26">
    <w:name w:val="List Paragraph"/>
    <w:basedOn w:val="99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27">
    <w:name w:val="Body Text Indent 2"/>
    <w:basedOn w:val="996"/>
    <w:link w:val="1028"/>
    <w:pPr>
      <w:ind w:left="283"/>
      <w:jc w:val="both"/>
      <w:spacing w:after="120" w:line="480" w:lineRule="auto"/>
    </w:pPr>
  </w:style>
  <w:style w:type="character" w:styleId="1028" w:customStyle="1">
    <w:name w:val="Основной текст с отступом 2 Знак"/>
    <w:link w:val="1027"/>
    <w:rPr>
      <w:sz w:val="24"/>
      <w:szCs w:val="24"/>
    </w:rPr>
  </w:style>
  <w:style w:type="character" w:styleId="1029" w:customStyle="1">
    <w:name w:val="apple-converted-space"/>
  </w:style>
  <w:style w:type="character" w:styleId="1030" w:customStyle="1">
    <w:name w:val="ConsPlusNormal Знак"/>
    <w:link w:val="1006"/>
    <w:rPr>
      <w:sz w:val="24"/>
      <w:szCs w:val="24"/>
      <w:lang w:bidi="ar-SA"/>
    </w:rPr>
  </w:style>
  <w:style w:type="character" w:styleId="1031">
    <w:name w:val="Hyperlink"/>
    <w:unhideWhenUsed/>
    <w:rPr>
      <w:color w:val="0000ff"/>
      <w:u w:val="single"/>
    </w:rPr>
  </w:style>
  <w:style w:type="character" w:styleId="1032" w:customStyle="1">
    <w:name w:val="Font Style16"/>
    <w:rPr>
      <w:rFonts w:ascii="Times New Roman" w:hAnsi="Times New Roman" w:eastAsia="Times New Roman" w:cs="Times New Roman"/>
      <w:sz w:val="20"/>
      <w:szCs w:val="20"/>
    </w:rPr>
  </w:style>
  <w:style w:type="table" w:styleId="1033" w:customStyle="1">
    <w:name w:val="Сетка таблицы1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4" w:customStyle="1">
    <w:name w:val="OTR11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5" w:customStyle="1">
    <w:name w:val="OTR111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36">
    <w:name w:val="annotation reference"/>
    <w:rPr>
      <w:sz w:val="16"/>
      <w:szCs w:val="16"/>
    </w:rPr>
  </w:style>
  <w:style w:type="paragraph" w:styleId="1037">
    <w:name w:val="annotation text"/>
    <w:basedOn w:val="996"/>
    <w:link w:val="1038"/>
    <w:rPr>
      <w:sz w:val="20"/>
      <w:szCs w:val="20"/>
    </w:rPr>
  </w:style>
  <w:style w:type="character" w:styleId="1038" w:customStyle="1">
    <w:name w:val="Текст примечания Знак"/>
    <w:basedOn w:val="1000"/>
    <w:link w:val="1037"/>
  </w:style>
  <w:style w:type="paragraph" w:styleId="1039">
    <w:name w:val="annotation subject"/>
    <w:basedOn w:val="1037"/>
    <w:next w:val="1037"/>
    <w:link w:val="1040"/>
    <w:rPr>
      <w:b/>
      <w:bCs/>
    </w:rPr>
  </w:style>
  <w:style w:type="character" w:styleId="1040" w:customStyle="1">
    <w:name w:val="Тема примечания Знак"/>
    <w:link w:val="1039"/>
    <w:rPr>
      <w:b/>
      <w:bCs/>
    </w:rPr>
  </w:style>
  <w:style w:type="paragraph" w:styleId="1041">
    <w:name w:val="Normal (Web)"/>
    <w:basedOn w:val="996"/>
    <w:uiPriority w:val="99"/>
    <w:unhideWhenUsed/>
    <w:pPr>
      <w:spacing w:before="100" w:beforeAutospacing="1" w:after="100" w:afterAutospacing="1"/>
    </w:pPr>
  </w:style>
  <w:style w:type="paragraph" w:styleId="1042">
    <w:name w:val="footnote text"/>
    <w:basedOn w:val="996"/>
    <w:link w:val="1043"/>
    <w:uiPriority w:val="99"/>
    <w:unhideWhenUsed/>
    <w:rPr>
      <w:rFonts w:ascii="Calibri" w:hAnsi="Calibri" w:eastAsia="Calibri"/>
      <w:sz w:val="20"/>
      <w:szCs w:val="20"/>
      <w:lang w:eastAsia="en-US"/>
    </w:rPr>
  </w:style>
  <w:style w:type="character" w:styleId="1043" w:customStyle="1">
    <w:name w:val="Текст сноски Знак"/>
    <w:link w:val="1042"/>
    <w:uiPriority w:val="99"/>
    <w:rPr>
      <w:rFonts w:ascii="Calibri" w:hAnsi="Calibri" w:eastAsia="Calibri"/>
      <w:lang w:eastAsia="en-US"/>
    </w:rPr>
  </w:style>
  <w:style w:type="character" w:styleId="1044">
    <w:name w:val="footnote reference"/>
    <w:uiPriority w:val="99"/>
    <w:unhideWhenUsed/>
    <w:rPr>
      <w:vertAlign w:val="superscript"/>
    </w:rPr>
  </w:style>
  <w:style w:type="paragraph" w:styleId="1045">
    <w:name w:val="Revision"/>
    <w:hidden/>
    <w:uiPriority w:val="99"/>
    <w:semiHidden/>
    <w:rPr>
      <w:sz w:val="24"/>
      <w:szCs w:val="24"/>
    </w:rPr>
  </w:style>
  <w:style w:type="character" w:styleId="1046" w:customStyle="1">
    <w:name w:val="Заголовок 1 Знак"/>
    <w:link w:val="997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1047">
    <w:name w:val="Emphasis"/>
    <w:basedOn w:val="1000"/>
    <w:uiPriority w:val="20"/>
    <w:qFormat/>
    <w:rPr>
      <w:i/>
      <w:iCs/>
    </w:rPr>
  </w:style>
  <w:style w:type="character" w:styleId="1048" w:customStyle="1">
    <w:name w:val="wmi-callto"/>
    <w:basedOn w:val="1000"/>
  </w:style>
  <w:style w:type="paragraph" w:styleId="1049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table" w:styleId="1050" w:customStyle="1">
    <w:name w:val="Сетка таблицы2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1" w:customStyle="1">
    <w:name w:val="Сетка таблицы3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2" w:customStyle="1">
    <w:name w:val="Сетка таблицы4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3" w:customStyle="1">
    <w:name w:val="Сетка таблицы5"/>
    <w:basedOn w:val="1001"/>
    <w:next w:val="10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4" w:customStyle="1">
    <w:name w:val="Сетка таблицы6"/>
    <w:basedOn w:val="1001"/>
    <w:next w:val="102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5">
    <w:name w:val="Unresolved Mention"/>
    <w:basedOn w:val="1000"/>
    <w:uiPriority w:val="99"/>
    <w:semiHidden/>
    <w:unhideWhenUsed/>
    <w:rPr>
      <w:color w:val="605e5c"/>
      <w:shd w:val="clear" w:color="auto" w:fill="e1dfdd"/>
    </w:rPr>
  </w:style>
  <w:style w:type="table" w:styleId="1056" w:customStyle="1">
    <w:name w:val="Сетка таблицы7"/>
    <w:basedOn w:val="1001"/>
    <w:next w:val="102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7" w:customStyle="1">
    <w:name w:val="Сетка таблицы8"/>
    <w:basedOn w:val="1001"/>
    <w:next w:val="102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58">
    <w:name w:val="Body Text 2"/>
    <w:basedOn w:val="996"/>
    <w:link w:val="1059"/>
    <w:uiPriority w:val="99"/>
    <w:pPr>
      <w:spacing w:after="120" w:line="480" w:lineRule="auto"/>
    </w:pPr>
    <w:rPr>
      <w:sz w:val="20"/>
      <w:szCs w:val="20"/>
    </w:rPr>
  </w:style>
  <w:style w:type="character" w:styleId="1059" w:customStyle="1">
    <w:name w:val="Основной текст 2 Знак"/>
    <w:basedOn w:val="1000"/>
    <w:link w:val="1058"/>
    <w:uiPriority w:val="99"/>
  </w:style>
  <w:style w:type="table" w:styleId="1060" w:customStyle="1">
    <w:name w:val="Сетка таблицы9"/>
    <w:basedOn w:val="1001"/>
    <w:next w:val="1025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61" w:customStyle="1">
    <w:name w:val="Standard"/>
    <w:basedOn w:val="996"/>
    <w:pPr>
      <w:widowControl w:val="off"/>
    </w:pPr>
    <w:rPr>
      <w:rFonts w:ascii="Liberation Serif" w:hAnsi="Liberation Serif" w:eastAsia="Liberation Serif" w:cs="Liberation Serif"/>
      <w:color w:val="000000"/>
      <w:szCs w:val="22"/>
    </w:rPr>
  </w:style>
  <w:style w:type="numbering" w:styleId="1062" w:customStyle="1">
    <w:name w:val="WWNum2"/>
    <w:basedOn w:val="1002"/>
    <w:pPr>
      <w:numPr>
        <w:ilvl w:val="0"/>
        <w:numId w:val="28"/>
      </w:numPr>
    </w:pPr>
  </w:style>
  <w:style w:type="character" w:styleId="1063">
    <w:name w:val="Strong"/>
    <w:basedOn w:val="1000"/>
    <w:uiPriority w:val="22"/>
    <w:qFormat/>
    <w:rPr>
      <w:b/>
      <w:bCs/>
    </w:rPr>
  </w:style>
  <w:style w:type="table" w:styleId="1064" w:customStyle="1">
    <w:name w:val="Сетка таблицы10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5" w:customStyle="1">
    <w:name w:val="Сетка таблицы11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6" w:customStyle="1">
    <w:name w:val="Сетка таблицы12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7" w:customStyle="1">
    <w:name w:val="Сетка таблицы13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8" w:customStyle="1">
    <w:name w:val="Сетка таблицы14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9" w:customStyle="1">
    <w:name w:val="Сетка таблицы15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70" w:customStyle="1">
    <w:name w:val="Сетка таблицы16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71" w:customStyle="1">
    <w:name w:val="Сетка таблицы17"/>
    <w:basedOn w:val="1001"/>
    <w:next w:val="1025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72" w:customStyle="1">
    <w:name w:val="Сетка таблицы18"/>
    <w:basedOn w:val="1001"/>
    <w:next w:val="1025"/>
    <w:qFormat/>
    <w:pPr>
      <w:jc w:val="both"/>
      <w:widowControl w:val="off"/>
    </w:pPr>
    <w:rPr>
      <w:rFonts w:eastAsia="SimSu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3">
    <w:name w:val="Body Text"/>
    <w:basedOn w:val="996"/>
    <w:link w:val="1074"/>
    <w:semiHidden/>
    <w:unhideWhenUsed/>
    <w:pPr>
      <w:spacing w:after="120"/>
    </w:pPr>
  </w:style>
  <w:style w:type="character" w:styleId="1074" w:customStyle="1">
    <w:name w:val="Основной текст Знак"/>
    <w:basedOn w:val="1000"/>
    <w:link w:val="1073"/>
    <w:semiHidden/>
    <w:rPr>
      <w:sz w:val="24"/>
      <w:szCs w:val="24"/>
    </w:rPr>
  </w:style>
  <w:style w:type="character" w:styleId="1075" w:customStyle="1">
    <w:name w:val="Заголовок 2 Знак"/>
    <w:basedOn w:val="1000"/>
    <w:link w:val="998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1_898" w:customStyle="1">
    <w:name w:val="docdata"/>
    <w:basedOn w:val="83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9C61-D129-49C1-BAF3-313CE3A8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ilyushina.a.yu</cp:lastModifiedBy>
  <cp:revision>91</cp:revision>
  <dcterms:created xsi:type="dcterms:W3CDTF">2024-06-27T15:20:00Z</dcterms:created>
  <dcterms:modified xsi:type="dcterms:W3CDTF">2026-08-06T09:41:08Z</dcterms:modified>
</cp:coreProperties>
</file>