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4650" w:type="dxa"/>
        <w:jc w:val="left"/>
        <w:tblInd w:w="5636" w:type="dxa"/>
        <w:tblLayout w:type="fixed"/>
        <w:tblCellMar>
          <w:top w:w="0" w:type="dxa"/>
          <w:left w:w="108" w:type="dxa"/>
          <w:bottom w:w="0" w:type="dxa"/>
          <w:right w:w="108" w:type="dxa"/>
        </w:tblCellMar>
        <w:tblLook w:noVBand="1" w:val="04a0" w:noHBand="0" w:lastColumn="0" w:firstColumn="1" w:lastRow="0" w:firstRow="1"/>
      </w:tblPr>
      <w:tblGrid>
        <w:gridCol w:w="4650"/>
      </w:tblGrid>
      <w:tr>
        <w:trPr/>
        <w:tc>
          <w:tcPr>
            <w:tcW w:w="4650" w:type="dxa"/>
            <w:tcBorders/>
          </w:tcPr>
          <w:p>
            <w:pPr>
              <w:pStyle w:val="Style44"/>
              <w:widowControl w:val="false"/>
              <w:tabs>
                <w:tab w:val="clear" w:pos="709"/>
                <w:tab w:val="center" w:pos="-426" w:leader="none"/>
              </w:tabs>
              <w:jc w:val="center"/>
              <w:rPr>
                <w:sz w:val="26"/>
                <w:szCs w:val="26"/>
              </w:rPr>
            </w:pPr>
            <w:r>
              <w:rPr>
                <w:sz w:val="26"/>
                <w:szCs w:val="26"/>
              </w:rPr>
              <w:t>УТВЕРЖДАЮ</w:t>
            </w:r>
          </w:p>
        </w:tc>
      </w:tr>
      <w:tr>
        <w:trPr/>
        <w:tc>
          <w:tcPr>
            <w:tcW w:w="4650" w:type="dxa"/>
            <w:tcBorders/>
          </w:tcPr>
          <w:p>
            <w:pPr>
              <w:pStyle w:val="Style44"/>
              <w:widowControl w:val="false"/>
              <w:tabs>
                <w:tab w:val="clear" w:pos="709"/>
                <w:tab w:val="center" w:pos="-426" w:leader="none"/>
              </w:tabs>
              <w:jc w:val="center"/>
              <w:rPr>
                <w:sz w:val="26"/>
                <w:szCs w:val="26"/>
              </w:rPr>
            </w:pPr>
            <w:r>
              <w:rPr>
                <w:sz w:val="26"/>
                <w:szCs w:val="26"/>
              </w:rPr>
              <w:t>Начальник Главного управления               МЧС России по Иркутской области</w:t>
            </w:r>
          </w:p>
        </w:tc>
      </w:tr>
      <w:tr>
        <w:trPr/>
        <w:tc>
          <w:tcPr>
            <w:tcW w:w="4650" w:type="dxa"/>
            <w:tcBorders/>
          </w:tcPr>
          <w:p>
            <w:pPr>
              <w:pStyle w:val="Style44"/>
              <w:widowControl w:val="false"/>
              <w:tabs>
                <w:tab w:val="clear" w:pos="709"/>
                <w:tab w:val="center" w:pos="-426" w:leader="none"/>
              </w:tabs>
              <w:rPr>
                <w:sz w:val="26"/>
                <w:szCs w:val="26"/>
              </w:rPr>
            </w:pPr>
            <w:r>
              <w:rPr>
                <w:sz w:val="26"/>
                <w:szCs w:val="26"/>
              </w:rPr>
            </w:r>
          </w:p>
        </w:tc>
      </w:tr>
      <w:tr>
        <w:trPr/>
        <w:tc>
          <w:tcPr>
            <w:tcW w:w="4650" w:type="dxa"/>
            <w:tcBorders/>
          </w:tcPr>
          <w:p>
            <w:pPr>
              <w:pStyle w:val="Style44"/>
              <w:widowControl w:val="false"/>
              <w:tabs>
                <w:tab w:val="clear" w:pos="709"/>
                <w:tab w:val="center" w:pos="-426" w:leader="none"/>
              </w:tabs>
              <w:snapToGrid w:val="false"/>
              <w:ind w:right="680" w:hanging="0"/>
              <w:jc w:val="center"/>
              <w:rPr>
                <w:rFonts w:eastAsia="Calibri"/>
                <w:sz w:val="26"/>
                <w:szCs w:val="26"/>
              </w:rPr>
            </w:pPr>
            <w:r>
              <w:rPr>
                <w:rFonts w:eastAsia="Calibri"/>
                <w:sz w:val="26"/>
                <w:szCs w:val="26"/>
              </w:rPr>
            </w:r>
          </w:p>
        </w:tc>
      </w:tr>
      <w:tr>
        <w:trPr/>
        <w:tc>
          <w:tcPr>
            <w:tcW w:w="4650" w:type="dxa"/>
            <w:tcBorders/>
          </w:tcPr>
          <w:p>
            <w:pPr>
              <w:pStyle w:val="Style44"/>
              <w:widowControl w:val="false"/>
              <w:tabs>
                <w:tab w:val="clear" w:pos="709"/>
                <w:tab w:val="center" w:pos="-426" w:leader="none"/>
              </w:tabs>
              <w:ind w:right="-113" w:hanging="0"/>
              <w:jc w:val="center"/>
              <w:rPr>
                <w:sz w:val="26"/>
                <w:szCs w:val="26"/>
              </w:rPr>
            </w:pPr>
            <w:r>
              <w:rPr>
                <w:sz w:val="26"/>
                <w:szCs w:val="26"/>
              </w:rPr>
              <w:t>_______________ В.С. Федосеенко</w:t>
            </w:r>
          </w:p>
        </w:tc>
      </w:tr>
      <w:tr>
        <w:trPr/>
        <w:tc>
          <w:tcPr>
            <w:tcW w:w="4650" w:type="dxa"/>
            <w:tcBorders/>
          </w:tcPr>
          <w:p>
            <w:pPr>
              <w:pStyle w:val="Style44"/>
              <w:widowControl w:val="false"/>
              <w:tabs>
                <w:tab w:val="clear" w:pos="709"/>
                <w:tab w:val="center" w:pos="-426" w:leader="none"/>
              </w:tabs>
              <w:jc w:val="center"/>
              <w:rPr>
                <w:sz w:val="26"/>
                <w:szCs w:val="26"/>
              </w:rPr>
            </w:pPr>
            <w:r>
              <w:rPr>
                <w:sz w:val="26"/>
                <w:szCs w:val="26"/>
              </w:rPr>
              <w:t>«__» ___________ 2026 года</w:t>
            </w:r>
          </w:p>
        </w:tc>
      </w:tr>
    </w:tbl>
    <w:p>
      <w:pPr>
        <w:pStyle w:val="Normal"/>
        <w:snapToGrid w:val="false"/>
        <w:ind w:firstLine="709"/>
        <w:jc w:val="both"/>
        <w:rPr>
          <w:rFonts w:ascii="Liberation Serif" w:hAnsi="Liberation Serif"/>
        </w:rPr>
      </w:pPr>
      <w:r>
        <w:rPr>
          <w:rFonts w:ascii="Liberation Serif" w:hAnsi="Liberation Serif"/>
        </w:rPr>
      </w:r>
    </w:p>
    <w:p>
      <w:pPr>
        <w:pStyle w:val="NoSpacing"/>
        <w:jc w:val="center"/>
        <w:rPr>
          <w:rFonts w:ascii="Times New Roman" w:hAnsi="Times New Roman" w:cs="Times New Roman"/>
          <w:b/>
          <w:b/>
          <w:color w:val="000000"/>
          <w:sz w:val="24"/>
          <w:szCs w:val="24"/>
          <w:shd w:fill="FFFFFF" w:val="clear"/>
        </w:rPr>
      </w:pPr>
      <w:r>
        <w:rPr>
          <w:rFonts w:cs="Times New Roman" w:ascii="Times New Roman" w:hAnsi="Times New Roman"/>
          <w:b/>
          <w:color w:val="000000"/>
          <w:sz w:val="24"/>
          <w:szCs w:val="24"/>
          <w:shd w:fill="FFFFFF" w:val="clear"/>
        </w:rPr>
      </w:r>
    </w:p>
    <w:p>
      <w:pPr>
        <w:pStyle w:val="NoSpacing"/>
        <w:jc w:val="center"/>
        <w:rPr>
          <w:rFonts w:ascii="Times New Roman" w:hAnsi="Times New Roman" w:cs="Times New Roman"/>
          <w:b/>
          <w:b/>
          <w:color w:val="000000"/>
          <w:sz w:val="24"/>
          <w:szCs w:val="24"/>
          <w:shd w:fill="FFFFFF" w:val="clear"/>
        </w:rPr>
      </w:pPr>
      <w:r>
        <w:rPr>
          <w:rFonts w:cs="Times New Roman" w:ascii="Times New Roman" w:hAnsi="Times New Roman"/>
          <w:b/>
          <w:color w:val="000000"/>
          <w:sz w:val="24"/>
          <w:szCs w:val="24"/>
          <w:shd w:fill="FFFFFF" w:val="clear"/>
        </w:rPr>
        <w:t xml:space="preserve">ПРОЕКТ ГОСУДАРСТВЕННОГО КОНТРАКТА № ___ </w:t>
      </w:r>
    </w:p>
    <w:p>
      <w:pPr>
        <w:pStyle w:val="NoSpacing"/>
        <w:jc w:val="center"/>
        <w:rPr>
          <w:rFonts w:ascii="Times New Roman" w:hAnsi="Times New Roman" w:cs="Times New Roman"/>
          <w:b/>
          <w:b/>
          <w:color w:val="000000"/>
          <w:sz w:val="24"/>
          <w:szCs w:val="24"/>
          <w:shd w:fill="FFFFFF" w:val="clear"/>
        </w:rPr>
      </w:pPr>
      <w:r>
        <w:rPr>
          <w:rFonts w:cs="Times New Roman" w:ascii="Times New Roman" w:hAnsi="Times New Roman"/>
          <w:b/>
          <w:color w:val="000000"/>
          <w:sz w:val="24"/>
          <w:szCs w:val="24"/>
          <w:shd w:fill="FFFFFF" w:val="clear"/>
        </w:rPr>
        <w:t xml:space="preserve">на оказание услуг по обязательному государственному страхованию жизни и здоровья работников федеральной противопожарной службы </w:t>
      </w:r>
    </w:p>
    <w:p>
      <w:pPr>
        <w:pStyle w:val="NoSpacing"/>
        <w:jc w:val="center"/>
        <w:rPr>
          <w:rFonts w:ascii="Times New Roman" w:hAnsi="Times New Roman" w:cs="Times New Roman"/>
          <w:b/>
          <w:b/>
          <w:color w:val="000000"/>
          <w:sz w:val="24"/>
          <w:szCs w:val="24"/>
          <w:shd w:fill="FFFFFF" w:val="clear"/>
        </w:rPr>
      </w:pPr>
      <w:r>
        <w:rPr>
          <w:rFonts w:cs="Times New Roman" w:ascii="Times New Roman" w:hAnsi="Times New Roman"/>
          <w:b/>
          <w:color w:val="000000"/>
          <w:sz w:val="24"/>
          <w:szCs w:val="24"/>
          <w:shd w:fill="FFFFFF" w:val="clear"/>
        </w:rPr>
        <w:t>Государственной противопожарной службы</w:t>
      </w:r>
    </w:p>
    <w:p>
      <w:pPr>
        <w:pStyle w:val="NoSpacing"/>
        <w:jc w:val="center"/>
        <w:rPr>
          <w:rFonts w:ascii="Times New Roman" w:hAnsi="Times New Roman" w:cs="Times New Roman"/>
          <w:b/>
          <w:b/>
          <w:color w:val="000000"/>
          <w:sz w:val="24"/>
          <w:szCs w:val="24"/>
          <w:shd w:fill="FFFFFF" w:val="clear"/>
        </w:rPr>
      </w:pPr>
      <w:r>
        <w:rPr>
          <w:rFonts w:cs="Times New Roman" w:ascii="Times New Roman" w:hAnsi="Times New Roman"/>
          <w:b/>
          <w:color w:val="000000"/>
          <w:sz w:val="24"/>
          <w:szCs w:val="24"/>
          <w:shd w:fill="FFFFFF" w:val="clear"/>
        </w:rPr>
        <w:t>Главного управления МЧС России по Иркутской области</w:t>
      </w:r>
    </w:p>
    <w:p>
      <w:pPr>
        <w:pStyle w:val="NoSpacing"/>
        <w:jc w:val="center"/>
        <w:rPr>
          <w:rFonts w:ascii="Times New Roman" w:hAnsi="Times New Roman" w:cs="Times New Roman"/>
          <w:b/>
          <w:b/>
          <w:color w:val="000000"/>
          <w:sz w:val="24"/>
          <w:szCs w:val="24"/>
          <w:shd w:fill="FFFFFF" w:val="clear"/>
        </w:rPr>
      </w:pPr>
      <w:r>
        <w:rPr>
          <w:rFonts w:cs="Times New Roman" w:ascii="Times New Roman" w:hAnsi="Times New Roman"/>
          <w:b/>
          <w:color w:val="000000"/>
          <w:sz w:val="24"/>
          <w:szCs w:val="24"/>
          <w:shd w:fill="FFFFFF" w:val="clear"/>
        </w:rPr>
      </w:r>
    </w:p>
    <w:p>
      <w:pPr>
        <w:pStyle w:val="NoSpacing"/>
        <w:jc w:val="center"/>
        <w:rPr>
          <w:rFonts w:ascii="Times New Roman" w:hAnsi="Times New Roman" w:cs="Times New Roman"/>
          <w:sz w:val="24"/>
          <w:szCs w:val="24"/>
        </w:rPr>
      </w:pPr>
      <w:r>
        <w:rPr>
          <w:rFonts w:cs="Times New Roman" w:ascii="Times New Roman" w:hAnsi="Times New Roman"/>
          <w:sz w:val="24"/>
          <w:szCs w:val="24"/>
        </w:rPr>
        <w:t xml:space="preserve">(Идентификационный код закупки № </w:t>
      </w:r>
      <w:r>
        <w:rPr>
          <w:rFonts w:cs="Times New Roman" w:ascii="Times New Roman" w:hAnsi="Times New Roman"/>
          <w:color w:val="383838"/>
          <w:sz w:val="24"/>
          <w:szCs w:val="24"/>
          <w:shd w:fill="FFFFFF" w:val="clear"/>
        </w:rPr>
        <w:t>261380818408038080100101080000000000</w:t>
      </w:r>
      <w:r>
        <w:rPr>
          <w:rFonts w:cs="Times New Roman" w:ascii="Times New Roman" w:hAnsi="Times New Roman"/>
          <w:sz w:val="24"/>
          <w:szCs w:val="24"/>
        </w:rPr>
        <w:t>)</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г. Иркутск                                                                                                               «___» ________ 2026 г.                            </w:t>
        <w:tab/>
        <w:tab/>
        <w:t xml:space="preserve">                       </w:t>
        <w:tab/>
      </w:r>
    </w:p>
    <w:p>
      <w:pPr>
        <w:pStyle w:val="NoSpacing"/>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Иркутской области (Главное управление МЧС России по Иркутской области), именуемое в дальнейшем «Страхователь»,</w:t>
      </w:r>
      <w:r>
        <w:rPr>
          <w:rFonts w:eastAsia="Times New Roman" w:cs="Times New Roman" w:ascii="Times New Roman" w:hAnsi="Times New Roman"/>
          <w:color w:val="000000"/>
          <w:sz w:val="24"/>
          <w:szCs w:val="24"/>
          <w:lang w:eastAsia="ru-RU"/>
        </w:rPr>
        <w:t xml:space="preserve"> в лице _______________________________________________________________</w:t>
      </w:r>
    </w:p>
    <w:p>
      <w:pPr>
        <w:pStyle w:val="NoSpacing"/>
        <w:spacing w:before="0" w:after="0"/>
        <w:contextualSpacing/>
        <w:jc w:val="both"/>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 xml:space="preserve">____________________________________________________________________________________, действующего на основании  ______________________, </w:t>
      </w:r>
      <w:r>
        <w:rPr>
          <w:rFonts w:cs="Times New Roman" w:ascii="Times New Roman" w:hAnsi="Times New Roman"/>
          <w:sz w:val="24"/>
          <w:szCs w:val="24"/>
          <w:lang w:eastAsia="ru-RU"/>
        </w:rPr>
        <w:t>и от имени Российской Федерации, с одной стороны, и____________________________________________________________________________________</w:t>
      </w:r>
    </w:p>
    <w:p>
      <w:pPr>
        <w:pStyle w:val="NoSpacing"/>
        <w:spacing w:before="0" w:after="0"/>
        <w:contextualSpacing/>
        <w:jc w:val="both"/>
        <w:rPr>
          <w:rFonts w:ascii="Times New Roman" w:hAnsi="Times New Roman" w:cs="Times New Roman"/>
          <w:sz w:val="24"/>
          <w:szCs w:val="24"/>
        </w:rPr>
      </w:pPr>
      <w:r>
        <w:rPr>
          <w:rFonts w:cs="Times New Roman" w:ascii="Times New Roman" w:hAnsi="Times New Roman"/>
          <w:sz w:val="24"/>
          <w:szCs w:val="24"/>
          <w:lang w:eastAsia="ru-RU"/>
        </w:rPr>
        <w:t>____________________________________________________________________________________</w:t>
      </w:r>
      <w:r>
        <w:rPr>
          <w:rFonts w:cs="Times New Roman" w:ascii="Times New Roman" w:hAnsi="Times New Roman"/>
          <w:color w:val="000000"/>
          <w:sz w:val="24"/>
          <w:szCs w:val="24"/>
          <w:lang w:eastAsia="ru-RU"/>
        </w:rPr>
        <w:t>,</w:t>
      </w:r>
      <w:r>
        <w:rPr>
          <w:rFonts w:cs="Times New Roman" w:ascii="Times New Roman" w:hAnsi="Times New Roman"/>
          <w:sz w:val="24"/>
          <w:szCs w:val="24"/>
          <w:lang w:eastAsia="ru-RU"/>
        </w:rPr>
        <w:t xml:space="preserve"> именуемое в дальнейшем «Страховщик», в лице __________________________________________</w:t>
      </w:r>
      <w:r>
        <w:rPr>
          <w:rFonts w:cs="Times New Roman" w:ascii="Times New Roman" w:hAnsi="Times New Roman"/>
          <w:color w:val="000000"/>
          <w:sz w:val="24"/>
          <w:szCs w:val="24"/>
          <w:lang w:eastAsia="ru-RU"/>
        </w:rPr>
        <w:t>,</w:t>
      </w:r>
      <w:r>
        <w:rPr>
          <w:rFonts w:cs="Times New Roman" w:ascii="Times New Roman" w:hAnsi="Times New Roman"/>
          <w:sz w:val="24"/>
          <w:szCs w:val="24"/>
          <w:lang w:eastAsia="ru-RU"/>
        </w:rPr>
        <w:t xml:space="preserve"> действующего на основании _____________________ </w:t>
      </w:r>
      <w:r>
        <w:rPr>
          <w:rFonts w:cs="Times New Roman" w:ascii="Times New Roman" w:hAnsi="Times New Roman"/>
          <w:color w:val="000000"/>
          <w:sz w:val="24"/>
          <w:szCs w:val="24"/>
          <w:lang w:eastAsia="ru-RU"/>
        </w:rPr>
        <w:t xml:space="preserve">, </w:t>
      </w:r>
      <w:r>
        <w:rPr>
          <w:rFonts w:cs="Times New Roman" w:ascii="Times New Roman" w:hAnsi="Times New Roman"/>
          <w:sz w:val="24"/>
          <w:szCs w:val="24"/>
          <w:lang w:eastAsia="ru-RU"/>
        </w:rPr>
        <w:t>с другой стороны, вместе именуемые в дальнейшем «Стороны», в соответствии с п. 4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pPr>
        <w:pStyle w:val="Normal"/>
        <w:snapToGrid w:val="false"/>
        <w:ind w:firstLine="567"/>
        <w:jc w:val="both"/>
        <w:rPr/>
      </w:pPr>
      <w:r>
        <w:rPr/>
      </w:r>
    </w:p>
    <w:p>
      <w:pPr>
        <w:pStyle w:val="Normal"/>
        <w:widowControl w:val="false"/>
        <w:tabs>
          <w:tab w:val="clear" w:pos="709"/>
          <w:tab w:val="left" w:pos="720" w:leader="none"/>
          <w:tab w:val="left" w:pos="3686" w:leader="none"/>
          <w:tab w:val="left" w:pos="7938" w:leader="none"/>
        </w:tabs>
        <w:ind w:right="-1" w:hanging="0"/>
        <w:jc w:val="center"/>
        <w:rPr/>
      </w:pPr>
      <w:r>
        <w:rPr>
          <w:b/>
          <w:bCs/>
          <w:color w:val="000000"/>
        </w:rPr>
        <w:t>1. ПРЕДМЕТ КОНТРАКТА</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1.1.</w:t>
        <w:tab/>
        <w:t>Предметом Контракта является осуществление Страховщиком</w:t>
      </w:r>
      <w:r>
        <w:rPr>
          <w:rFonts w:cs="Times New Roman" w:ascii="Times New Roman" w:hAnsi="Times New Roman"/>
          <w:bCs/>
          <w:iCs/>
          <w:spacing w:val="-6"/>
          <w:sz w:val="24"/>
          <w:szCs w:val="24"/>
          <w:lang w:eastAsia="en-US"/>
        </w:rPr>
        <w:t xml:space="preserve"> обязательного государственного страхования жизни и здоровья работников федеральной противопожарной службы Государственной противопожарной службы Главного управления МЧС России по Иркутской области</w:t>
      </w:r>
      <w:r>
        <w:rPr>
          <w:rFonts w:cs="Times New Roman" w:ascii="Times New Roman" w:hAnsi="Times New Roman"/>
          <w:bCs/>
          <w:sz w:val="24"/>
          <w:szCs w:val="24"/>
          <w:lang w:eastAsia="ru-RU"/>
        </w:rPr>
        <w:t xml:space="preserve"> в соответствии с Федеральным законом от 21 декабря 1994 г. № 69-ФЗ «О пожарной безопасности» (далее – Застрахованные лица).</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Объектом страхования является не противоречащие законодательству Российской Федерации имущественные интересы, связанные с жизнью, здоровьем и трудоспособностью Застрахованных лиц Страхователя, в период исполнения ими трудовых обязанностей.</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 xml:space="preserve">Страховщик оказывает услуги </w:t>
      </w:r>
      <w:r>
        <w:rPr>
          <w:rFonts w:cs="Times New Roman" w:ascii="Times New Roman" w:hAnsi="Times New Roman"/>
          <w:bCs/>
          <w:iCs/>
          <w:spacing w:val="-6"/>
          <w:sz w:val="24"/>
          <w:szCs w:val="24"/>
          <w:lang w:eastAsia="en-US"/>
        </w:rPr>
        <w:t>обязательного государственного страхования жизни и здоровья работников федеральной противопожарной службы Государственной противопожарной службы Главного управления МЧС России по Иркутской области</w:t>
      </w:r>
      <w:r>
        <w:rPr>
          <w:rFonts w:cs="Times New Roman" w:ascii="Times New Roman" w:hAnsi="Times New Roman"/>
          <w:bCs/>
          <w:sz w:val="24"/>
          <w:szCs w:val="24"/>
          <w:lang w:eastAsia="ru-RU"/>
        </w:rPr>
        <w:t xml:space="preserve"> (далее — услуги) в соответствии с требованиями технического задания (Приложение № 1 к Контракту), являющегося неотъемлемой частью Контракта, и условиями настоящего Контракта.</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1.2.</w:t>
        <w:tab/>
        <w:t>Застрахованные лица имеют право назначить любое юридическое или физическое лицо в качестве получателя страхового обеспечения (Выгодоприобретателя) при наступлении страхового события.</w:t>
      </w:r>
    </w:p>
    <w:p>
      <w:pPr>
        <w:pStyle w:val="Normal"/>
        <w:tabs>
          <w:tab w:val="clear" w:pos="709"/>
          <w:tab w:val="left" w:pos="1241" w:leader="none"/>
          <w:tab w:val="left" w:pos="1276" w:leader="none"/>
        </w:tabs>
        <w:ind w:firstLine="567"/>
        <w:jc w:val="both"/>
        <w:rPr/>
      </w:pPr>
      <w:r>
        <w:rPr>
          <w:bCs/>
          <w:iCs/>
        </w:rPr>
        <w:t xml:space="preserve"> </w:t>
      </w:r>
      <w:r>
        <w:rPr>
          <w:bCs/>
          <w:iCs/>
        </w:rPr>
        <w:t>В случае смерти лица, застрахованного по Контракту, в котором не назван иной выгодоприобретатель, выгодоприобретателями признаются наследники Застрахованного лица.</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1.3.</w:t>
        <w:tab/>
        <w:t>Предусмотренные Контрактом страховые выплаты Страховщик производит Застрахованным лицам независимо от всех видов пособий, пенсий и выплат, получаемых по государственному социальному страхованию и социальному обеспечению, трудовых и иных соглашений, и сумм, причитающихся им в порядке возмещения вреда здоровью по законодательству Российской Федерации.</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1.4.</w:t>
        <w:tab/>
        <w:t>Страховым событием является свершившееся в период действия Контракта событие, указанное в п. 2.2 Контракта, подтвержденное в порядке, установленном законодательством Российской Федерации и Контрактом.</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1.5.</w:t>
        <w:tab/>
        <w:t>В случае если какое-либо положение настоящего Контракта не соответствует условиям Правил страхования, предоставляемых Страхователем после заключения Контракта, то преимущественную силу имеют положения Контракта.</w:t>
      </w:r>
    </w:p>
    <w:p>
      <w:pPr>
        <w:pStyle w:val="NoSpacing"/>
        <w:tabs>
          <w:tab w:val="clear" w:pos="709"/>
          <w:tab w:val="left" w:pos="1241" w:leader="none"/>
          <w:tab w:val="left" w:pos="1276" w:leader="none"/>
        </w:tabs>
        <w:ind w:firstLine="737"/>
        <w:jc w:val="both"/>
        <w:rPr>
          <w:rFonts w:ascii="Times New Roman" w:hAnsi="Times New Roman" w:cs="Times New Roman"/>
          <w:color w:val="000000" w:themeColor="text1"/>
          <w:sz w:val="24"/>
          <w:szCs w:val="24"/>
        </w:rPr>
      </w:pPr>
      <w:r>
        <w:rPr>
          <w:rFonts w:cs="Times New Roman" w:ascii="Times New Roman" w:hAnsi="Times New Roman"/>
          <w:bCs/>
          <w:sz w:val="24"/>
          <w:szCs w:val="24"/>
          <w:lang w:eastAsia="ru-RU"/>
        </w:rPr>
        <w:t>1.6.</w:t>
        <w:tab/>
      </w:r>
      <w:r>
        <w:rPr>
          <w:rFonts w:cs="Times New Roman" w:ascii="Times New Roman" w:hAnsi="Times New Roman"/>
          <w:bCs/>
          <w:iCs/>
          <w:sz w:val="24"/>
          <w:szCs w:val="24"/>
          <w:lang w:eastAsia="ru-RU"/>
        </w:rPr>
        <w:t xml:space="preserve">Застрахованными лицами являются все работники </w:t>
      </w:r>
      <w:r>
        <w:rPr>
          <w:rFonts w:cs="Times New Roman" w:ascii="Times New Roman" w:hAnsi="Times New Roman"/>
          <w:bCs/>
          <w:iCs/>
          <w:color w:val="000000" w:themeColor="text1"/>
          <w:sz w:val="24"/>
          <w:szCs w:val="24"/>
          <w:lang w:eastAsia="ru-RU"/>
        </w:rPr>
        <w:t>федеральной противопожарной службы Государственной противопожарной службы Главного управления МЧС России по Иркутской области с даты их приема на работу до даты увольнения, но в количестве не более общей численности Застрахованных лиц — 1550 человек.</w:t>
      </w:r>
    </w:p>
    <w:p>
      <w:pPr>
        <w:pStyle w:val="NoSpacing"/>
        <w:tabs>
          <w:tab w:val="clear" w:pos="709"/>
          <w:tab w:val="left" w:pos="1241" w:leader="none"/>
          <w:tab w:val="left" w:pos="1276" w:leader="none"/>
        </w:tabs>
        <w:ind w:firstLine="737"/>
        <w:jc w:val="both"/>
        <w:rPr>
          <w:rFonts w:ascii="Times New Roman" w:hAnsi="Times New Roman" w:cs="Times New Roman"/>
          <w:color w:val="000000" w:themeColor="text1"/>
          <w:sz w:val="24"/>
          <w:szCs w:val="24"/>
        </w:rPr>
      </w:pPr>
      <w:r>
        <w:rPr>
          <w:rFonts w:cs="Times New Roman" w:ascii="Times New Roman" w:hAnsi="Times New Roman"/>
          <w:bCs/>
          <w:iCs/>
          <w:color w:val="000000" w:themeColor="text1"/>
          <w:sz w:val="24"/>
          <w:szCs w:val="24"/>
          <w:lang w:eastAsia="ru-RU"/>
        </w:rPr>
        <w:t>Страхователь ежемесячно направляет в адрес Страховщика заявки с указанием текущей численности застрахованных лиц (Приложение № 4 к Контракту).</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Заявки направляются Страховщику ежемесячно каждый последний рабочий день месяца.</w:t>
      </w:r>
    </w:p>
    <w:p>
      <w:pPr>
        <w:pStyle w:val="NoSpacing"/>
        <w:tabs>
          <w:tab w:val="left" w:pos="709" w:leader="none"/>
        </w:tabs>
        <w:jc w:val="both"/>
        <w:rPr>
          <w:rFonts w:ascii="Times New Roman" w:hAnsi="Times New Roman" w:cs="Times New Roman"/>
          <w:sz w:val="24"/>
          <w:szCs w:val="24"/>
        </w:rPr>
      </w:pPr>
      <w:r>
        <w:rPr>
          <w:rFonts w:cs="Times New Roman" w:ascii="Times New Roman" w:hAnsi="Times New Roman"/>
          <w:bCs/>
          <w:sz w:val="24"/>
          <w:szCs w:val="24"/>
          <w:lang w:eastAsia="ru-RU"/>
        </w:rPr>
        <w:tab/>
        <w:t>Совместно с заявкой,  каждый последний рабочий день месяца Страхователь направляет Страховщику Заявление</w:t>
      </w:r>
      <w:r>
        <w:rPr>
          <w:rFonts w:cs="Times New Roman" w:ascii="Times New Roman" w:hAnsi="Times New Roman"/>
          <w:sz w:val="24"/>
          <w:szCs w:val="24"/>
        </w:rPr>
        <w:t xml:space="preserve"> на внесение изменений (Приложение № 5 к Контракту) в Список 3астрахованных лиц с указанием вновь принятых и уволенных работников.</w:t>
      </w:r>
    </w:p>
    <w:p>
      <w:pPr>
        <w:pStyle w:val="Normal"/>
        <w:ind w:firstLine="720"/>
        <w:jc w:val="both"/>
        <w:rPr/>
      </w:pPr>
      <w:r>
        <w:rPr/>
        <w:t xml:space="preserve">При этом началом периода страхования и датой вступления страхования в силу для новых Застрахованных лиц является дата приема на работу, а окончанием периода страхования и датой окончания действия страхового покрытия для исключаемых из Списка Застрахованных лиц считается дата увольнения с работы. </w:t>
      </w:r>
    </w:p>
    <w:p>
      <w:pPr>
        <w:pStyle w:val="Normal"/>
        <w:ind w:firstLine="720"/>
        <w:jc w:val="both"/>
        <w:rPr/>
      </w:pPr>
      <w:r>
        <w:rPr/>
        <w:t>Окончательный расчет между сторонами в каждом расчетном периоде производится с учетом фактически отработанного застрахованными лицами времени.</w:t>
      </w:r>
    </w:p>
    <w:p>
      <w:pPr>
        <w:pStyle w:val="Normal"/>
        <w:ind w:firstLine="720"/>
        <w:jc w:val="both"/>
        <w:rPr/>
      </w:pPr>
      <w:r>
        <w:rPr/>
        <w:t xml:space="preserve">Расчетный период – 1 месяц. </w:t>
      </w:r>
    </w:p>
    <w:p>
      <w:pPr>
        <w:pStyle w:val="Normal"/>
        <w:ind w:firstLine="720"/>
        <w:jc w:val="both"/>
        <w:rPr/>
      </w:pPr>
      <w:r>
        <w:rPr/>
        <w:t>Стороны договорились, что заявки и заявления, а также претензии, ответы, иная переписка по вопросам реализации исполнения договора, направленные по электронной почте, на электронные адреса, указанные в контракте, имеют такую же юридическую силу, как и документы, составленные в письменной форме. При этом Стороны обязуются направить контрагенту все документы в письменной форме.</w:t>
      </w:r>
    </w:p>
    <w:p>
      <w:pPr>
        <w:pStyle w:val="Normal"/>
        <w:ind w:firstLine="720"/>
        <w:jc w:val="both"/>
        <w:rPr/>
      </w:pPr>
      <w:r>
        <w:rPr>
          <w:iCs/>
        </w:rPr>
        <w:t>Срок страхования Застрахованных лиц с 1 сентября по 30 ноября 2026 года. Период страхования указывается в Полисе. Период страхования начинается не ранее, чем с 00 час.00 мин. 1 сентября 2026 года. Период страхования прекращается в 23 часа 59 минут 30 ноября 2026 года.</w:t>
      </w:r>
    </w:p>
    <w:p>
      <w:pPr>
        <w:pStyle w:val="Normal"/>
        <w:ind w:firstLine="720"/>
        <w:jc w:val="both"/>
        <w:rPr/>
      </w:pPr>
      <w:r>
        <w:rPr>
          <w:iCs/>
        </w:rPr>
        <w:t>Полис передается Страховщиком Страхователю по Акту приема-передачи полиса (Приложение № 3 к Контракту) в день заключения Контракта.</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color w:val="000000"/>
          <w:sz w:val="24"/>
          <w:szCs w:val="24"/>
          <w:lang w:eastAsia="ru-RU"/>
        </w:rPr>
        <w:t>1.7. Право Страховщика оказывать услуги, являющиеся предметом настоящего Контракта, подтверждается лицензией_______________________выданной______________________сроком действия до___________________. Действие лицензии не должно быть приостановлено или ограниченно.</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В случае осуществления в отношении лицензии Страховщика процедуры приостановления или ограничения ее действия Страховщик обязан письменно в течение 2 дней со дня наступления такого события проинформировать об этом Страхователя.</w:t>
      </w:r>
    </w:p>
    <w:p>
      <w:pPr>
        <w:pStyle w:val="NoSpacing"/>
        <w:tabs>
          <w:tab w:val="clear" w:pos="709"/>
          <w:tab w:val="left" w:pos="1241" w:leader="none"/>
          <w:tab w:val="left" w:pos="1276" w:leader="none"/>
        </w:tabs>
        <w:ind w:firstLine="737"/>
        <w:jc w:val="both"/>
        <w:rPr>
          <w:rFonts w:ascii="Times New Roman" w:hAnsi="Times New Roman" w:cs="Times New Roman"/>
          <w:sz w:val="24"/>
          <w:szCs w:val="24"/>
        </w:rPr>
      </w:pPr>
      <w:r>
        <w:rPr>
          <w:rFonts w:cs="Times New Roman" w:ascii="Times New Roman" w:hAnsi="Times New Roman"/>
          <w:bCs/>
          <w:sz w:val="24"/>
          <w:szCs w:val="24"/>
          <w:lang w:eastAsia="ru-RU"/>
        </w:rPr>
        <w:t>В случае истечения срока действия лицензии (ее отзыва) Страховщик обязан проинформировать Страхователя в письменной форме в течение 3 дней со дня наступления такого события.</w:t>
      </w:r>
    </w:p>
    <w:p>
      <w:pPr>
        <w:pStyle w:val="Normal"/>
        <w:keepLines/>
        <w:suppressLineNumbers/>
        <w:jc w:val="center"/>
        <w:rPr>
          <w:b/>
          <w:b/>
          <w:bCs/>
        </w:rPr>
      </w:pPr>
      <w:r>
        <w:rPr>
          <w:b/>
          <w:bCs/>
        </w:rPr>
        <w:t>2. УСЛОВИЯ СТРАХОВАНИЯ</w:t>
      </w:r>
    </w:p>
    <w:p>
      <w:pPr>
        <w:pStyle w:val="ConsNormal"/>
        <w:keepLines/>
        <w:widowControl/>
        <w:suppressLineNumbers/>
        <w:tabs>
          <w:tab w:val="clear" w:pos="709"/>
          <w:tab w:val="left" w:pos="1418" w:leader="none"/>
        </w:tabs>
        <w:ind w:right="0" w:firstLine="720"/>
        <w:jc w:val="both"/>
        <w:rPr>
          <w:rFonts w:ascii="Times New Roman" w:hAnsi="Times New Roman" w:cs="Times New Roman"/>
          <w:bCs/>
          <w:sz w:val="24"/>
          <w:szCs w:val="24"/>
        </w:rPr>
      </w:pPr>
      <w:r>
        <w:rPr>
          <w:rFonts w:cs="Times New Roman" w:ascii="Times New Roman" w:hAnsi="Times New Roman"/>
          <w:bCs/>
          <w:sz w:val="24"/>
          <w:szCs w:val="24"/>
        </w:rPr>
        <w:t>2.1.</w:t>
        <w:tab/>
        <w:t>Общие условия страхования изложены в Правилах страхования, предоставляемых  Страховщиком при заключении Контракта, Правила страхования являются неотъемлемой частью Контракта и становятся Приложением № 7 к Контракту.</w:t>
      </w:r>
    </w:p>
    <w:p>
      <w:pPr>
        <w:pStyle w:val="ConsNormal"/>
        <w:keepLines/>
        <w:widowControl/>
        <w:suppressLineNumbers/>
        <w:tabs>
          <w:tab w:val="clear" w:pos="709"/>
          <w:tab w:val="left" w:pos="1418" w:leader="none"/>
        </w:tabs>
        <w:ind w:right="0" w:firstLine="720"/>
        <w:jc w:val="both"/>
        <w:rPr>
          <w:rFonts w:ascii="Times New Roman" w:hAnsi="Times New Roman" w:cs="Times New Roman"/>
          <w:sz w:val="24"/>
          <w:szCs w:val="24"/>
          <w:shd w:fill="FFFFFF" w:val="clear"/>
        </w:rPr>
      </w:pPr>
      <w:r>
        <w:rPr>
          <w:rFonts w:cs="Times New Roman" w:ascii="Times New Roman" w:hAnsi="Times New Roman"/>
          <w:bCs/>
          <w:sz w:val="24"/>
          <w:szCs w:val="24"/>
        </w:rPr>
        <w:t xml:space="preserve">Под страховой премией в настоящем Контракте понимается </w:t>
      </w:r>
      <w:r>
        <w:rPr>
          <w:rFonts w:cs="Times New Roman" w:ascii="Times New Roman" w:hAnsi="Times New Roman"/>
          <w:color w:val="000000"/>
          <w:sz w:val="24"/>
          <w:szCs w:val="24"/>
          <w:shd w:fill="FFFFFF" w:val="clear"/>
        </w:rPr>
        <w:t xml:space="preserve">плата за страхование, </w:t>
      </w:r>
      <w:r>
        <w:rPr>
          <w:rFonts w:cs="Times New Roman" w:ascii="Times New Roman" w:hAnsi="Times New Roman"/>
          <w:sz w:val="24"/>
          <w:szCs w:val="24"/>
          <w:shd w:fill="FFFFFF" w:val="clear"/>
        </w:rPr>
        <w:t>в размере указанном в пункте 2.7 Контракта</w:t>
      </w:r>
      <w:r>
        <w:rPr>
          <w:rFonts w:cs="Times New Roman" w:ascii="Times New Roman" w:hAnsi="Times New Roman"/>
          <w:color w:val="000000"/>
          <w:sz w:val="24"/>
          <w:szCs w:val="24"/>
          <w:shd w:fill="FFFFFF" w:val="clear"/>
        </w:rPr>
        <w:t>, которую Страхователь обязан уплатить Страховщику в порядке и в сроки, которые установлены </w:t>
      </w:r>
      <w:r>
        <w:rPr>
          <w:rFonts w:cs="Times New Roman" w:ascii="Times New Roman" w:hAnsi="Times New Roman"/>
          <w:sz w:val="24"/>
          <w:szCs w:val="24"/>
          <w:shd w:fill="FFFFFF" w:val="clear"/>
        </w:rPr>
        <w:t xml:space="preserve">Контрактом, </w:t>
      </w:r>
    </w:p>
    <w:p>
      <w:pPr>
        <w:pStyle w:val="ConsNormal"/>
        <w:keepLines/>
        <w:widowControl/>
        <w:suppressLineNumbers/>
        <w:tabs>
          <w:tab w:val="clear" w:pos="709"/>
          <w:tab w:val="left" w:pos="1418" w:leader="none"/>
        </w:tabs>
        <w:ind w:right="0" w:firstLine="720"/>
        <w:jc w:val="both"/>
        <w:rPr>
          <w:rFonts w:ascii="Times New Roman" w:hAnsi="Times New Roman" w:cs="Times New Roman"/>
          <w:bCs/>
          <w:sz w:val="24"/>
          <w:szCs w:val="24"/>
        </w:rPr>
      </w:pPr>
      <w:r>
        <w:rPr>
          <w:rFonts w:cs="Times New Roman" w:ascii="Times New Roman" w:hAnsi="Times New Roman"/>
          <w:sz w:val="24"/>
          <w:szCs w:val="24"/>
          <w:shd w:fill="FFFFFF" w:val="clear"/>
        </w:rPr>
        <w:t>Под страховым взносом понимается ежемесячный платеж, рассчитанный в порядке, определенном в п. 2.8 Контракта.</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bCs/>
          <w:sz w:val="24"/>
          <w:szCs w:val="24"/>
        </w:rPr>
        <w:t>2.2.</w:t>
        <w:tab/>
        <w:t>Настоящий Контракт обеспечивает страховую защиту Застрахованному лицу от ущерба вследствие наступления следующих предполагаемых страховых событий, обладающих признаками вероятности и случайности их наступления (страхового случая):</w:t>
      </w:r>
    </w:p>
    <w:p>
      <w:pPr>
        <w:pStyle w:val="ConsNormal"/>
        <w:keepLines/>
        <w:widowControl/>
        <w:suppressLineNumbers/>
        <w:tabs>
          <w:tab w:val="clear" w:pos="709"/>
          <w:tab w:val="left" w:pos="1418" w:leader="none"/>
        </w:tabs>
        <w:ind w:right="0" w:firstLine="720"/>
        <w:jc w:val="both"/>
        <w:rPr>
          <w:rFonts w:ascii="Times New Roman" w:hAnsi="Times New Roman" w:cs="Times New Roman"/>
          <w:bCs/>
          <w:sz w:val="24"/>
          <w:szCs w:val="24"/>
        </w:rPr>
      </w:pPr>
      <w:r>
        <w:rPr>
          <w:rFonts w:cs="Times New Roman" w:ascii="Times New Roman" w:hAnsi="Times New Roman"/>
          <w:bCs/>
          <w:sz w:val="24"/>
          <w:szCs w:val="24"/>
        </w:rPr>
        <w:t>2.2.1.</w:t>
        <w:tab/>
        <w:t>Временная утрата Застрахованным лицом общей трудоспособности в результате несчастного случая.</w:t>
      </w:r>
    </w:p>
    <w:p>
      <w:pPr>
        <w:pStyle w:val="ConsNormal"/>
        <w:keepLines/>
        <w:widowControl/>
        <w:suppressLineNumbers/>
        <w:tabs>
          <w:tab w:val="clear" w:pos="709"/>
          <w:tab w:val="left" w:pos="1418" w:leader="none"/>
        </w:tabs>
        <w:ind w:right="0" w:firstLine="720"/>
        <w:jc w:val="both"/>
        <w:rPr>
          <w:rFonts w:ascii="Times New Roman" w:hAnsi="Times New Roman" w:cs="Times New Roman"/>
          <w:bCs/>
          <w:sz w:val="24"/>
          <w:szCs w:val="24"/>
        </w:rPr>
      </w:pPr>
      <w:r>
        <w:rPr>
          <w:rFonts w:cs="Times New Roman" w:ascii="Times New Roman" w:hAnsi="Times New Roman"/>
          <w:sz w:val="24"/>
          <w:szCs w:val="24"/>
        </w:rPr>
        <w:t>2.2.2.</w:t>
        <w:tab/>
      </w:r>
      <w:r>
        <w:rPr>
          <w:rFonts w:cs="Times New Roman" w:ascii="Times New Roman" w:hAnsi="Times New Roman"/>
          <w:bCs/>
          <w:sz w:val="24"/>
          <w:szCs w:val="24"/>
        </w:rPr>
        <w:t>Постоянная полная (или частичная) утрата общей трудоспособности (инвалидность) Застрахованного, с назначением застрахованному лицу инвалидности в результате несчастного случая («Инвалидность в результате несчастного случая»).</w:t>
      </w:r>
    </w:p>
    <w:p>
      <w:pPr>
        <w:pStyle w:val="ConsNormal"/>
        <w:keepLines/>
        <w:widowControl/>
        <w:suppressLineNumbers/>
        <w:tabs>
          <w:tab w:val="clear" w:pos="709"/>
          <w:tab w:val="left" w:pos="1418" w:leader="none"/>
        </w:tabs>
        <w:ind w:right="0" w:firstLine="720"/>
        <w:jc w:val="both"/>
        <w:rPr>
          <w:rFonts w:ascii="Times New Roman" w:hAnsi="Times New Roman" w:cs="Times New Roman"/>
          <w:spacing w:val="-8"/>
          <w:sz w:val="24"/>
          <w:szCs w:val="24"/>
        </w:rPr>
      </w:pPr>
      <w:r>
        <w:rPr>
          <w:rFonts w:cs="Times New Roman" w:ascii="Times New Roman" w:hAnsi="Times New Roman"/>
          <w:spacing w:val="-8"/>
          <w:sz w:val="24"/>
          <w:szCs w:val="24"/>
        </w:rPr>
        <w:t>2.2.3.</w:t>
        <w:tab/>
        <w:t>Гибель (смерть) Застрахованного лица при исполнении им возложенных на него трудовым договором (контрактом) обязанностей или смерть в результате несчастного случая – 100% страховой суммы выплачивается выгодоприобретателям в равных долях.</w:t>
      </w:r>
    </w:p>
    <w:p>
      <w:pPr>
        <w:pStyle w:val="Normal"/>
        <w:keepLines/>
        <w:suppressLineNumbers/>
        <w:tabs>
          <w:tab w:val="left" w:pos="709" w:leader="none"/>
        </w:tabs>
        <w:ind w:firstLine="720"/>
        <w:jc w:val="both"/>
        <w:rPr/>
      </w:pPr>
      <w:r>
        <w:rPr/>
        <w:t>2.3.</w:t>
        <w:tab/>
        <w:t>Под несчастным случаем понимается одномоментное неожиданное и внезапное воздействие различных неподдающихся воле и контролю Застрахованного лица внешних факторов, повлекшее за собой получение Застрахованным лицом увечья (травмы, ранения, контузии), заболевание либо гибель (смерть), наступившее в период действия настоящего Контракта.</w:t>
      </w:r>
    </w:p>
    <w:p>
      <w:pPr>
        <w:pStyle w:val="Normal"/>
        <w:keepLines/>
        <w:suppressLineNumbers/>
        <w:tabs>
          <w:tab w:val="left" w:pos="709" w:leader="none"/>
        </w:tabs>
        <w:ind w:firstLine="720"/>
        <w:jc w:val="both"/>
        <w:rPr>
          <w:bCs/>
          <w:iCs/>
        </w:rPr>
      </w:pPr>
      <w:r>
        <w:rPr>
          <w:bCs/>
          <w:iCs/>
        </w:rPr>
        <w:t>2.4.</w:t>
        <w:tab/>
        <w:t>Страховым случаем признается также инвалидность или смерть Застрахованного лица, наступившие в течение года со дня страхового случая, происшедшего в период действия Контракта, и явившиеся его следствием.</w:t>
      </w:r>
    </w:p>
    <w:p>
      <w:pPr>
        <w:pStyle w:val="Normal"/>
        <w:tabs>
          <w:tab w:val="clear" w:pos="709"/>
          <w:tab w:val="left" w:pos="1865" w:leader="none"/>
        </w:tabs>
        <w:ind w:firstLine="680"/>
        <w:jc w:val="both"/>
        <w:rPr/>
      </w:pPr>
      <w:r>
        <w:rPr/>
        <w:t>2.5. В рамках настоящего Контракта не являются застрахованными рисками, и не признаются страховыми случаями события произошедшие вследствие:</w:t>
      </w:r>
    </w:p>
    <w:p>
      <w:pPr>
        <w:pStyle w:val="S3mrcssattr"/>
        <w:spacing w:before="0" w:after="0"/>
        <w:ind w:firstLine="680"/>
        <w:jc w:val="both"/>
        <w:rPr/>
      </w:pPr>
      <w:r>
        <w:rPr/>
        <w:t>2.5.1. Алкогольного отравления, наркотического или токсического опьянения (отравления) Застрахованного, наступивших не в результате исполнения возложенных на Застрахованного трудовым договором (контрактом) обязанностей. Причинная связь события, обладающего признаками страхового случая, с отравлением (опьянением) устанавливается судом.</w:t>
      </w:r>
    </w:p>
    <w:p>
      <w:pPr>
        <w:pStyle w:val="S3mrcssattr"/>
        <w:spacing w:before="0" w:after="0"/>
        <w:ind w:firstLine="680"/>
        <w:jc w:val="both"/>
        <w:rPr/>
      </w:pPr>
      <w:r>
        <w:rPr/>
        <w:t xml:space="preserve">2.5.2. Произошедших, либо диагностированных до начала Срока страхования: несчастного случая, ДТП, террористического акта, авиакатастрофы, кораблекрушения, железнодорожной аварии, болезней. </w:t>
      </w:r>
    </w:p>
    <w:p>
      <w:pPr>
        <w:pStyle w:val="S3mrcssattr"/>
        <w:suppressLineNumbers/>
        <w:tabs>
          <w:tab w:val="left" w:pos="709" w:leader="none"/>
        </w:tabs>
        <w:spacing w:before="0" w:after="0"/>
        <w:ind w:firstLine="680"/>
        <w:jc w:val="both"/>
        <w:rPr>
          <w:bCs/>
          <w:iCs/>
        </w:rPr>
      </w:pPr>
      <w:r>
        <w:rPr>
          <w:bCs/>
          <w:iCs/>
        </w:rPr>
        <w:t>2.5.3. Совершения Застрахованным уголовного преступления, находящегося в прямой причинной связи с событием, обладающим признаками страхового случая.</w:t>
      </w:r>
    </w:p>
    <w:p>
      <w:pPr>
        <w:pStyle w:val="Normal"/>
        <w:keepLines/>
        <w:suppressLineNumbers/>
        <w:tabs>
          <w:tab w:val="left" w:pos="709" w:leader="none"/>
        </w:tabs>
        <w:ind w:firstLine="720"/>
        <w:jc w:val="both"/>
        <w:rPr/>
      </w:pPr>
      <w:r>
        <w:rPr>
          <w:bCs/>
          <w:iCs/>
        </w:rPr>
        <w:t>2.6.</w:t>
        <w:tab/>
        <w:t xml:space="preserve">Страховая сумма </w:t>
      </w:r>
      <w:r>
        <w:rPr/>
        <w:t>на каждое Застрахованное лицо устанавливается в размере 600 000 (шестьсот тысяч) рублей 00 копеек.</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bCs/>
          <w:iCs/>
          <w:sz w:val="24"/>
          <w:szCs w:val="24"/>
        </w:rPr>
        <w:t>2.7.</w:t>
        <w:tab/>
        <w:t xml:space="preserve">Максимальное значение цены </w:t>
      </w:r>
      <w:r>
        <w:rPr>
          <w:rFonts w:cs="Times New Roman" w:ascii="Times New Roman" w:hAnsi="Times New Roman"/>
          <w:bCs/>
          <w:iCs/>
          <w:color w:val="000000"/>
          <w:sz w:val="24"/>
          <w:szCs w:val="24"/>
          <w:u w:val="none" w:color="000000"/>
        </w:rPr>
        <w:t>Контракта составляет: 50 778 (пятьдесят тысяч семьсот семьдесят восемь) рублей 00 копеек.</w:t>
      </w:r>
    </w:p>
    <w:p>
      <w:pPr>
        <w:pStyle w:val="ConsNormal"/>
        <w:keepLines/>
        <w:widowControl/>
        <w:suppressLineNumbers/>
        <w:ind w:right="0" w:firstLine="720"/>
        <w:jc w:val="both"/>
        <w:rPr>
          <w:rFonts w:ascii="Times New Roman" w:hAnsi="Times New Roman" w:cs="Times New Roman"/>
          <w:bCs/>
          <w:iCs/>
          <w:color w:val="000000"/>
          <w:sz w:val="24"/>
          <w:szCs w:val="24"/>
          <w:u w:val="none" w:color="000000"/>
        </w:rPr>
      </w:pPr>
      <w:r>
        <w:rPr>
          <w:rFonts w:cs="Times New Roman" w:ascii="Times New Roman" w:hAnsi="Times New Roman"/>
          <w:sz w:val="24"/>
          <w:szCs w:val="24"/>
          <w:lang w:eastAsia="ru-RU"/>
        </w:rPr>
        <w:t>Цена Контракта определяется на весь срок исполнения Контракта, за исключением случаев, установленных Федеральным законом от 5 апреля 2013 г. № 44-ФЗ</w:t>
      </w:r>
      <w:r>
        <w:rPr>
          <w:rFonts w:cs="Times New Roman" w:ascii="Times New Roman" w:hAnsi="Times New Roman"/>
          <w:sz w:val="24"/>
          <w:szCs w:val="24"/>
        </w:rPr>
        <w:t xml:space="preserve"> «</w:t>
      </w:r>
      <w:r>
        <w:rPr>
          <w:rFonts w:cs="Times New Roman" w:ascii="Times New Roman" w:hAnsi="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 № 44-ФЗ) и Контрактом.</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lang w:eastAsia="ru-RU"/>
        </w:rPr>
        <w:t>Сумма, подлежащая уплате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pPr>
        <w:pStyle w:val="ConsNormal"/>
        <w:keepLines/>
        <w:widowControl/>
        <w:suppressLineNumbers/>
        <w:ind w:right="0" w:firstLine="720"/>
        <w:jc w:val="both"/>
        <w:rPr>
          <w:rFonts w:ascii="Times New Roman" w:hAnsi="Times New Roman" w:cs="Times New Roman"/>
          <w:bCs/>
          <w:color w:val="000000"/>
          <w:sz w:val="24"/>
          <w:szCs w:val="24"/>
        </w:rPr>
      </w:pPr>
      <w:r>
        <w:rPr>
          <w:rFonts w:cs="Times New Roman" w:ascii="Times New Roman" w:hAnsi="Times New Roman"/>
          <w:sz w:val="24"/>
          <w:szCs w:val="24"/>
          <w:lang w:eastAsia="ru-RU"/>
        </w:rPr>
        <w:t>Источник финансирования Контракта – средства федерального бюджета. Код вида расходов</w:t>
      </w:r>
      <w:r>
        <w:rPr>
          <w:rFonts w:cs="Times New Roman" w:ascii="Times New Roman" w:hAnsi="Times New Roman"/>
          <w:bCs/>
          <w:color w:val="000000"/>
          <w:sz w:val="24"/>
          <w:szCs w:val="24"/>
        </w:rPr>
        <w:t> – 244 (прочая закупка товаров, работ, услуг).</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lang w:eastAsia="ru-RU"/>
        </w:rPr>
        <w:t xml:space="preserve">Оплата по Контракту осуществляется в российских рублях </w:t>
      </w:r>
      <w:r>
        <w:rPr>
          <w:rStyle w:val="Blk"/>
          <w:rFonts w:cs="Times New Roman" w:ascii="Times New Roman" w:hAnsi="Times New Roman"/>
          <w:sz w:val="24"/>
          <w:szCs w:val="24"/>
        </w:rPr>
        <w:t>в пределах лимитов бюджетных обязательств на 2026 год.</w:t>
      </w:r>
    </w:p>
    <w:p>
      <w:pPr>
        <w:pStyle w:val="ConsNormal"/>
        <w:keepLines/>
        <w:widowControl/>
        <w:suppressLineNumbers/>
        <w:ind w:right="0" w:firstLine="720"/>
        <w:jc w:val="both"/>
        <w:rPr>
          <w:rFonts w:ascii="Times New Roman" w:hAnsi="Times New Roman" w:cs="Times New Roman"/>
          <w:bCs/>
          <w:color w:val="000000"/>
          <w:sz w:val="24"/>
          <w:szCs w:val="24"/>
        </w:rPr>
      </w:pPr>
      <w:r>
        <w:rPr>
          <w:rFonts w:cs="Times New Roman" w:ascii="Times New Roman" w:hAnsi="Times New Roman"/>
          <w:sz w:val="24"/>
          <w:szCs w:val="24"/>
        </w:rPr>
        <w:t>В случае уменьшения Страховщику ранее доведенных лимитов бюджетных обязательств, приводящего к невозможности исполнения Страховщиком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Контракту, в том числе срока его исполнения.</w:t>
      </w:r>
    </w:p>
    <w:p>
      <w:pPr>
        <w:pStyle w:val="Normal"/>
        <w:keepLines/>
        <w:suppressLineNumbers/>
        <w:ind w:firstLine="720"/>
        <w:jc w:val="both"/>
        <w:rPr>
          <w:color w:val="000000"/>
        </w:rPr>
      </w:pPr>
      <w:r>
        <w:rPr>
          <w:color w:val="000000"/>
          <w:u w:val="none" w:color="000000"/>
        </w:rPr>
        <w:t xml:space="preserve">2.8. Цена единицы услуги равна стоимости 1 дня страхования одного Застрахованного лица и составляет </w:t>
      </w:r>
      <w:r>
        <w:rPr>
          <w:color w:val="000000"/>
        </w:rPr>
        <w:t>____ (_____________) рублей ___ копеек.</w:t>
      </w:r>
    </w:p>
    <w:p>
      <w:pPr>
        <w:pStyle w:val="17"/>
        <w:tabs>
          <w:tab w:val="clear" w:pos="709"/>
          <w:tab w:val="left" w:pos="1134" w:leader="none"/>
        </w:tabs>
        <w:ind w:firstLine="709"/>
        <w:jc w:val="both"/>
        <w:rPr>
          <w:rFonts w:ascii="Times New Roman" w:hAnsi="Times New Roman" w:cs="Times New Roman"/>
          <w:spacing w:val="-4"/>
          <w:sz w:val="24"/>
          <w:szCs w:val="24"/>
        </w:rPr>
      </w:pPr>
      <w:r>
        <w:rPr>
          <w:rFonts w:cs="Times New Roman" w:ascii="Times New Roman" w:hAnsi="Times New Roman"/>
          <w:spacing w:val="-4"/>
          <w:sz w:val="24"/>
          <w:szCs w:val="24"/>
        </w:rPr>
        <w:t>При расчетах производится округление полученных значений до 2-х знаков после запятой по математическим правилам округления.</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shd w:fill="FFFFFF" w:val="clear"/>
        </w:rPr>
        <w:t xml:space="preserve">Цена единицы услуг включает в себя </w:t>
      </w:r>
      <w:r>
        <w:rPr>
          <w:rFonts w:cs="Times New Roman" w:ascii="Times New Roman" w:hAnsi="Times New Roman"/>
          <w:sz w:val="24"/>
          <w:szCs w:val="24"/>
        </w:rPr>
        <w:t>все расходы Страховщика, связанные с выполнением условий Контракта, в том числе расходы на страхование, уплату налогов и других обязательных платежей, связанных с исполнением Контракта.</w:t>
      </w:r>
    </w:p>
    <w:p>
      <w:pPr>
        <w:pStyle w:val="17"/>
        <w:tabs>
          <w:tab w:val="clear" w:pos="709"/>
          <w:tab w:val="left" w:pos="1134" w:leader="none"/>
        </w:tabs>
        <w:ind w:firstLine="709"/>
        <w:jc w:val="both"/>
        <w:rPr>
          <w:rFonts w:ascii="Times New Roman" w:hAnsi="Times New Roman" w:cs="Times New Roman"/>
          <w:color w:val="000000"/>
          <w:sz w:val="24"/>
          <w:szCs w:val="24"/>
          <w:u w:val="none" w:color="000000"/>
        </w:rPr>
      </w:pPr>
      <w:r>
        <w:rPr>
          <w:rFonts w:cs="Times New Roman" w:ascii="Times New Roman" w:hAnsi="Times New Roman"/>
          <w:sz w:val="24"/>
          <w:szCs w:val="24"/>
        </w:rPr>
        <w:t xml:space="preserve">2.8.1. </w:t>
      </w:r>
      <w:r>
        <w:rPr>
          <w:rFonts w:cs="Times New Roman" w:ascii="Times New Roman" w:hAnsi="Times New Roman"/>
          <w:color w:val="000000"/>
          <w:sz w:val="24"/>
          <w:szCs w:val="24"/>
          <w:u w:val="none" w:color="000000"/>
        </w:rPr>
        <w:t xml:space="preserve">Оплата оказанных услуг по настоящему Контракту осуществляется ежемесячно по цене единицы услуги исходя из объема фактически оказанных услуг за месяц, но в размере не превышающем максимального значения цены Контракта, указанного в пункте 2.7 Контракта, за весь период оказания услуг, с учетом ограничений установленных настоящим пунктом.  </w:t>
      </w:r>
    </w:p>
    <w:p>
      <w:pPr>
        <w:pStyle w:val="ConsNormal"/>
        <w:keepLines/>
        <w:widowControl/>
        <w:suppressLineNumbers/>
        <w:ind w:right="0" w:firstLine="720"/>
        <w:jc w:val="both"/>
        <w:rPr>
          <w:rFonts w:ascii="Times New Roman" w:hAnsi="Times New Roman" w:cs="Times New Roman"/>
          <w:sz w:val="24"/>
          <w:szCs w:val="24"/>
          <w:shd w:fill="FFFF00" w:val="clear"/>
        </w:rPr>
      </w:pPr>
      <w:r>
        <w:rPr>
          <w:rFonts w:cs="Times New Roman" w:ascii="Times New Roman" w:hAnsi="Times New Roman"/>
          <w:bCs/>
          <w:color w:val="000000"/>
          <w:sz w:val="24"/>
          <w:szCs w:val="24"/>
        </w:rPr>
        <w:t>Авансовый платеж по Контракту не предусмотрен.</w:t>
      </w:r>
    </w:p>
    <w:p>
      <w:pPr>
        <w:pStyle w:val="Normal"/>
        <w:keepLines/>
        <w:suppressLineNumbers/>
        <w:ind w:firstLine="720"/>
        <w:jc w:val="both"/>
        <w:rPr>
          <w:shd w:fill="FFFF00" w:val="clear"/>
        </w:rPr>
      </w:pPr>
      <w:r>
        <w:rPr>
          <w:color w:val="000000"/>
          <w:u w:val="none" w:color="000000"/>
        </w:rPr>
        <w:t>Стоимость фактически оказанных услуг за год (месяц) рассчитывается по формуле:</w:t>
      </w:r>
    </w:p>
    <w:p>
      <w:pPr>
        <w:pStyle w:val="Normal"/>
        <w:keepLines/>
        <w:suppressLineNumbers/>
        <w:ind w:firstLine="720"/>
        <w:jc w:val="both"/>
        <w:rPr>
          <w:color w:val="000000"/>
          <w:u w:val="none" w:color="000000"/>
          <w:shd w:fill="FFFF00" w:val="clear"/>
        </w:rPr>
      </w:pPr>
      <w:r>
        <w:rPr>
          <w:color w:val="000000"/>
          <w:u w:val="none" w:color="000000"/>
          <w:shd w:fill="FFFF00" w:val="clear"/>
        </w:rPr>
      </w:r>
    </w:p>
    <w:p>
      <w:pPr>
        <w:pStyle w:val="Normal"/>
        <w:keepLines/>
        <w:suppressLineNumbers/>
        <w:ind w:firstLine="720"/>
        <w:jc w:val="center"/>
        <w:rPr>
          <w:shd w:fill="FFFF00" w:val="clear"/>
        </w:rPr>
      </w:pPr>
      <w:r>
        <w:rPr>
          <w:b/>
          <w:color w:val="000000"/>
          <w:u w:val="none" w:color="000000"/>
          <w:lang w:val="en-US"/>
        </w:rPr>
        <w:t>V</w:t>
      </w:r>
      <w:r>
        <w:rPr>
          <w:b/>
          <w:color w:val="000000"/>
          <w:u w:val="none" w:color="000000"/>
        </w:rPr>
        <w:t>факт = Сi</w:t>
      </w:r>
      <w:r>
        <w:rPr>
          <w:color w:val="000000"/>
          <w:u w:val="none" w:color="000000"/>
        </w:rPr>
        <w:t>Х</w:t>
      </w:r>
      <w:r>
        <w:rPr>
          <w:b/>
          <w:color w:val="000000"/>
          <w:u w:val="none" w:color="000000"/>
          <w:lang w:val="en-US"/>
        </w:rPr>
        <w:t>N</w:t>
      </w:r>
    </w:p>
    <w:p>
      <w:pPr>
        <w:pStyle w:val="Normal"/>
        <w:keepLines/>
        <w:suppressLineNumbers/>
        <w:ind w:firstLine="720"/>
        <w:jc w:val="both"/>
        <w:rPr>
          <w:shd w:fill="FFFF00" w:val="clear"/>
        </w:rPr>
      </w:pPr>
      <w:r>
        <w:rPr>
          <w:color w:val="000000"/>
          <w:u w:val="none" w:color="000000"/>
        </w:rPr>
        <w:t>где:</w:t>
      </w:r>
      <w:r>
        <w:rPr>
          <w:color w:val="000000"/>
          <w:u w:val="none" w:color="000000"/>
          <w:shd w:fill="FFFF00" w:val="clear"/>
        </w:rPr>
        <w:t xml:space="preserve"> </w:t>
      </w:r>
    </w:p>
    <w:p>
      <w:pPr>
        <w:pStyle w:val="Normal"/>
        <w:keepLines/>
        <w:suppressLineNumbers/>
        <w:ind w:firstLine="720"/>
        <w:jc w:val="both"/>
        <w:rPr>
          <w:shd w:fill="FFFF00" w:val="clear"/>
        </w:rPr>
      </w:pPr>
      <w:r>
        <w:rPr>
          <w:b/>
          <w:color w:val="000000"/>
          <w:u w:val="none" w:color="000000"/>
          <w:lang w:val="en-US"/>
        </w:rPr>
        <w:t>V</w:t>
      </w:r>
      <w:r>
        <w:rPr>
          <w:b/>
          <w:color w:val="000000"/>
          <w:u w:val="none" w:color="000000"/>
        </w:rPr>
        <w:t>факт</w:t>
      </w:r>
      <w:r>
        <w:rPr>
          <w:color w:val="000000"/>
          <w:u w:val="none" w:color="000000"/>
        </w:rPr>
        <w:t xml:space="preserve">  - стоимость фактически оказанных Страховщиком услуг за год (месяц);</w:t>
      </w:r>
    </w:p>
    <w:p>
      <w:pPr>
        <w:pStyle w:val="Normal"/>
        <w:keepLines/>
        <w:suppressLineNumbers/>
        <w:ind w:firstLine="720"/>
        <w:jc w:val="both"/>
        <w:rPr>
          <w:shd w:fill="FFFF00" w:val="clear"/>
        </w:rPr>
      </w:pPr>
      <w:r>
        <w:rPr>
          <w:b/>
          <w:color w:val="000000"/>
          <w:u w:val="none" w:color="000000"/>
        </w:rPr>
        <w:t xml:space="preserve">Сi </w:t>
      </w:r>
      <w:r>
        <w:rPr>
          <w:color w:val="000000"/>
          <w:u w:val="none" w:color="000000"/>
        </w:rPr>
        <w:t>– стоимость 1 дня страхования одного Застрахованного лица, равная цене единицы услуги, указанной в пункте 2.8 Контракта;</w:t>
      </w:r>
    </w:p>
    <w:p>
      <w:pPr>
        <w:pStyle w:val="Normal"/>
        <w:keepLines/>
        <w:suppressLineNumbers/>
        <w:ind w:firstLine="720"/>
        <w:jc w:val="both"/>
        <w:rPr>
          <w:shd w:fill="FFFF00" w:val="clear"/>
        </w:rPr>
      </w:pPr>
      <w:r>
        <w:rPr>
          <w:b/>
          <w:color w:val="000000"/>
          <w:u w:val="none" w:color="000000"/>
        </w:rPr>
        <w:t>Х</w:t>
      </w:r>
      <w:r>
        <w:rPr>
          <w:b/>
          <w:color w:val="000000"/>
          <w:u w:val="none" w:color="000000"/>
          <w:lang w:val="en-US"/>
        </w:rPr>
        <w:t>N</w:t>
      </w:r>
      <w:r>
        <w:rPr>
          <w:color w:val="000000"/>
          <w:u w:val="none" w:color="000000"/>
        </w:rPr>
        <w:t xml:space="preserve"> – количество дней страхования Застрахованных лиц, определенное на основании заявок и</w:t>
      </w:r>
      <w:r>
        <w:rPr/>
        <w:t xml:space="preserve"> з</w:t>
      </w:r>
      <w:r>
        <w:rPr>
          <w:color w:val="000000"/>
          <w:u w:val="none" w:color="000000"/>
        </w:rPr>
        <w:t>аявлений на внесение изменений Страхователя, поданных за весь год страхования (за определенный месяц страхования).</w:t>
      </w:r>
    </w:p>
    <w:p>
      <w:pPr>
        <w:pStyle w:val="Normal"/>
        <w:keepLines/>
        <w:suppressLineNumbers/>
        <w:ind w:firstLine="720"/>
        <w:jc w:val="both"/>
        <w:rPr>
          <w:shd w:fill="FFFF00" w:val="clear"/>
        </w:rPr>
      </w:pPr>
      <w:r>
        <w:rPr>
          <w:color w:val="000000"/>
          <w:u w:val="none" w:color="000000"/>
        </w:rPr>
        <w:t>Размер страховой премии на 1 Застрахованное лицо (стоимость фактически оказанных услуг в отношении 1 Застрахованного лица) в год рассчитывается по формуле</w:t>
      </w:r>
      <w:r>
        <w:rPr>
          <w:b/>
          <w:color w:val="000000"/>
          <w:u w:val="none" w:color="000000"/>
        </w:rPr>
        <w:t>:</w:t>
      </w:r>
    </w:p>
    <w:p>
      <w:pPr>
        <w:pStyle w:val="Normal"/>
        <w:pBdr/>
        <w:ind w:firstLine="708"/>
        <w:jc w:val="center"/>
        <w:rPr>
          <w:b/>
          <w:b/>
        </w:rPr>
        <w:framePr w:w="1943" w:h="301" w:x="5185" w:y="258" w:hSpace="180" w:vSpace="0" w:wrap="around" w:vAnchor="text" w:hAnchor="page" w:hRule="exact"/>
        <w:pBdr/>
      </w:pPr>
      <w:r>
        <w:rPr/>
      </w:r>
      <m:oMathPara xmlns:m="http://schemas.openxmlformats.org/officeDocument/2006/math">
        <m:oMathParaPr>
          <m:jc m:val="center"/>
        </m:oMathParaPr>
        <m:oMath>
          <m:sSub>
            <m:e>
              <m:r>
                <w:rPr>
                  <w:rFonts w:ascii="Cambria Math" w:hAnsi="Cambria Math"/>
                </w:rPr>
                <m:t xml:space="preserve">П</m:t>
              </m:r>
            </m:e>
            <m:sub>
              <m:r>
                <w:rPr>
                  <w:rFonts w:ascii="Cambria Math" w:hAnsi="Cambria Math"/>
                </w:rPr>
                <m:t xml:space="preserve">ст</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V</m:t>
              </m:r>
            </m:e>
            <m:sub>
              <m:r>
                <w:rPr>
                  <w:rFonts w:ascii="Cambria Math" w:hAnsi="Cambria Math"/>
                </w:rPr>
                <m:t xml:space="preserve">i</m:t>
              </m:r>
            </m:sub>
          </m:sSub>
        </m:oMath>
      </m:oMathPara>
    </w:p>
    <w:p>
      <w:pPr>
        <w:pStyle w:val="Normal"/>
        <w:keepLines/>
        <w:suppressLineNumbers/>
        <w:ind w:firstLine="720"/>
        <w:jc w:val="both"/>
        <w:rPr>
          <w:color w:val="000000"/>
          <w:u w:val="none" w:color="000000"/>
          <w:shd w:fill="FFFF00" w:val="clear"/>
        </w:rPr>
      </w:pPr>
      <w:r>
        <w:rPr>
          <w:color w:val="000000"/>
          <w:u w:val="none" w:color="000000"/>
          <w:shd w:fill="FFFF00" w:val="clear"/>
        </w:rPr>
      </w:r>
    </w:p>
    <w:p>
      <w:pPr>
        <w:pStyle w:val="Normal"/>
        <w:keepLines/>
        <w:suppressLineNumbers/>
        <w:ind w:firstLine="720"/>
        <w:jc w:val="both"/>
        <w:rPr>
          <w:color w:val="000000"/>
          <w:u w:val="none" w:color="000000"/>
          <w:shd w:fill="FFFF00" w:val="clear"/>
        </w:rPr>
      </w:pPr>
      <w:r>
        <w:rPr>
          <w:color w:val="000000"/>
          <w:u w:val="none" w:color="000000"/>
        </w:rPr>
        <w:t>где:</w:t>
      </w:r>
    </w:p>
    <w:p>
      <w:pPr>
        <w:pStyle w:val="Normal"/>
        <w:keepLines/>
        <w:suppressLineNumbers/>
        <w:ind w:firstLine="720"/>
        <w:jc w:val="both"/>
        <w:rPr>
          <w:shd w:fill="FFFF00" w:val="clear"/>
        </w:rPr>
      </w:pPr>
      <w:r>
        <w:rPr>
          <w:color w:val="000000"/>
          <w:u w:val="none" w:color="000000"/>
        </w:rPr>
        <w:t>П</w:t>
      </w:r>
      <w:r>
        <w:rPr>
          <w:color w:val="000000"/>
          <w:u w:val="none" w:color="000000"/>
          <w:vertAlign w:val="subscript"/>
        </w:rPr>
        <w:t>ст</w:t>
      </w:r>
      <w:r>
        <w:rPr>
          <w:color w:val="000000"/>
          <w:u w:val="none" w:color="000000"/>
        </w:rPr>
        <w:t xml:space="preserve">  - размер страховой премии на 1 Застрахованное лицо (стоимость фактически оказанных услуг в отношении 1 Застрахованного лица) в год;</w:t>
      </w:r>
    </w:p>
    <w:p>
      <w:pPr>
        <w:pStyle w:val="Normal"/>
        <w:keepLines/>
        <w:suppressLineNumbers/>
        <w:ind w:firstLine="720"/>
        <w:jc w:val="both"/>
        <w:rPr>
          <w:shd w:fill="FFFF00" w:val="clear"/>
        </w:rPr>
      </w:pPr>
      <w:r>
        <w:rPr>
          <w:color w:val="000000"/>
          <w:u w:val="none" w:color="000000"/>
        </w:rPr>
        <w:t>С</w:t>
      </w:r>
      <w:r>
        <w:rPr>
          <w:color w:val="000000"/>
          <w:u w:val="none" w:color="000000"/>
          <w:vertAlign w:val="subscript"/>
        </w:rPr>
        <w:t>i</w:t>
      </w:r>
      <w:r>
        <w:rPr>
          <w:color w:val="000000"/>
          <w:u w:val="none" w:color="000000"/>
        </w:rPr>
        <w:t xml:space="preserve"> – стоимость 1 дня страхования одного Застрахованного лица, равная цене единицы услуги, указанной в пункте 2.8 Контракта;</w:t>
      </w:r>
    </w:p>
    <w:p>
      <w:pPr>
        <w:pStyle w:val="ConsNormal"/>
        <w:widowControl/>
        <w:suppressLineNumbers/>
        <w:ind w:right="0" w:firstLine="720"/>
        <w:jc w:val="both"/>
        <w:rPr>
          <w:rFonts w:ascii="Times New Roman" w:hAnsi="Times New Roman" w:cs="Times New Roman"/>
          <w:bCs/>
          <w:iCs/>
          <w:color w:val="000000"/>
          <w:sz w:val="24"/>
          <w:szCs w:val="24"/>
          <w:u w:val="none" w:color="000000"/>
        </w:rPr>
      </w:pPr>
      <w:r>
        <w:rPr/>
      </w:r>
      <m:oMath xmlns:m="http://schemas.openxmlformats.org/officeDocument/2006/math">
        <m:sSub>
          <m:e>
            <m:r>
              <w:rPr>
                <w:rFonts w:ascii="Cambria Math" w:hAnsi="Cambria Math"/>
              </w:rPr>
              <m:t xml:space="preserve">V</m:t>
            </m:r>
          </m:e>
          <m:sub>
            <m:r>
              <w:rPr>
                <w:rFonts w:ascii="Cambria Math" w:hAnsi="Cambria Math"/>
              </w:rPr>
              <m:t xml:space="preserve">i</m:t>
            </m:r>
          </m:sub>
        </m:sSub>
      </m:oMath>
      <w:r>
        <w:rPr>
          <w:rFonts w:cs="Times New Roman" w:ascii="Times New Roman" w:hAnsi="Times New Roman"/>
          <w:bCs/>
          <w:iCs/>
          <w:color w:val="000000"/>
          <w:sz w:val="24"/>
          <w:szCs w:val="24"/>
          <w:u w:val="none" w:color="000000"/>
        </w:rPr>
        <w:t xml:space="preserve">  – </w:t>
      </w:r>
      <w:r>
        <w:rPr>
          <w:rFonts w:cs="Times New Roman" w:ascii="Times New Roman" w:hAnsi="Times New Roman"/>
          <w:bCs/>
          <w:iCs/>
          <w:color w:val="000000"/>
          <w:sz w:val="24"/>
          <w:szCs w:val="24"/>
          <w:u w:val="none" w:color="000000"/>
        </w:rPr>
        <w:t>количество дней страхования в отношении одного Застрахованного лица в период оказания услуг, определяемых в соответствии с заявками</w:t>
      </w:r>
      <w:r>
        <w:rPr>
          <w:rFonts w:cs="Times New Roman" w:ascii="Times New Roman" w:hAnsi="Times New Roman"/>
          <w:sz w:val="24"/>
          <w:szCs w:val="24"/>
        </w:rPr>
        <w:t xml:space="preserve"> </w:t>
      </w:r>
      <w:r>
        <w:rPr>
          <w:rFonts w:cs="Times New Roman" w:ascii="Times New Roman" w:hAnsi="Times New Roman"/>
          <w:bCs/>
          <w:iCs/>
          <w:color w:val="000000"/>
          <w:sz w:val="24"/>
          <w:szCs w:val="24"/>
          <w:u w:val="none" w:color="000000"/>
        </w:rPr>
        <w:t>и заявлений на внесение изменений Страхователя.</w:t>
      </w:r>
    </w:p>
    <w:p>
      <w:pPr>
        <w:pStyle w:val="ConsNormal"/>
        <w:widowControl/>
        <w:suppressLineNumbers/>
        <w:ind w:right="0" w:firstLine="720"/>
        <w:jc w:val="both"/>
        <w:rPr>
          <w:rFonts w:ascii="Times New Roman" w:hAnsi="Times New Roman" w:cs="Times New Roman"/>
          <w:bCs/>
          <w:iCs/>
          <w:color w:val="000000"/>
          <w:sz w:val="24"/>
          <w:szCs w:val="24"/>
          <w:u w:val="none" w:color="000000"/>
        </w:rPr>
      </w:pPr>
      <w:r>
        <w:rPr>
          <w:rFonts w:cs="Times New Roman" w:ascii="Times New Roman" w:hAnsi="Times New Roman"/>
          <w:bCs/>
          <w:iCs/>
          <w:color w:val="000000"/>
          <w:sz w:val="24"/>
          <w:szCs w:val="24"/>
          <w:u w:val="none" w:color="000000"/>
        </w:rPr>
        <w:t>2.9. Излишне полученные Страховщиком страховые взносы за месяц подлежат возврату или зачислению в счет оплаты услуг, оказываемых в месяце, следующим за месяцем, в котором были излишне уплаченные страховые взносы.</w:t>
      </w:r>
    </w:p>
    <w:p>
      <w:pPr>
        <w:pStyle w:val="Normal"/>
        <w:keepLines/>
        <w:suppressLineNumbers/>
        <w:ind w:firstLine="720"/>
        <w:jc w:val="both"/>
        <w:rPr>
          <w:bCs/>
          <w:iCs/>
          <w:color w:val="000000"/>
          <w:u w:val="none" w:color="000000"/>
        </w:rPr>
      </w:pPr>
      <w:r>
        <w:rPr>
          <w:bCs/>
          <w:iCs/>
          <w:color w:val="000000"/>
          <w:u w:val="none" w:color="000000"/>
        </w:rPr>
        <w:t>Излишне полученные Страховщиком страховые взносы за весь период исполнения Контракта (12 месяцев) подлежат возврату Страховщику.</w:t>
      </w:r>
    </w:p>
    <w:p>
      <w:pPr>
        <w:pStyle w:val="Normal"/>
        <w:keepLines/>
        <w:suppressLineNumbers/>
        <w:ind w:firstLine="720"/>
        <w:jc w:val="both"/>
        <w:rPr>
          <w:bCs/>
          <w:iCs/>
          <w:color w:val="000000"/>
          <w:u w:val="none" w:color="000000"/>
        </w:rPr>
      </w:pPr>
      <w:r>
        <w:rPr>
          <w:bCs/>
          <w:iCs/>
          <w:color w:val="000000"/>
          <w:u w:val="none" w:color="000000"/>
        </w:rPr>
        <w:t>Если по результатам взаиморасчетов по включенным/ исключенным Застрахованным из списка 3астрахованных лиц (Приложение № 4 к Контракту) за очередной месяц действия Контракта Страхователь обязан произвести доплату страхового взноса, то Страхователь производит доплату на основании счета, выставленного Страховщиком.</w:t>
      </w:r>
    </w:p>
    <w:p>
      <w:pPr>
        <w:pStyle w:val="Normal"/>
        <w:keepLines/>
        <w:suppressLineNumbers/>
        <w:ind w:firstLine="720"/>
        <w:jc w:val="both"/>
        <w:rPr>
          <w:color w:val="000000"/>
        </w:rPr>
      </w:pPr>
      <w:r>
        <w:rPr>
          <w:color w:val="000000"/>
        </w:rPr>
        <w:t>2.10. Приемка результатов исполнения Контракта осуществляется в порядке, установленном действующим законодательством и оформляется документом о приемке, который подписывается уполномоченными представителями каждой стороны (Приложение № 3 к Контракту).</w:t>
      </w:r>
    </w:p>
    <w:p>
      <w:pPr>
        <w:pStyle w:val="Normal"/>
        <w:keepLines/>
        <w:suppressLineNumbers/>
        <w:ind w:firstLine="720"/>
        <w:jc w:val="both"/>
        <w:rPr>
          <w:color w:val="000000"/>
        </w:rPr>
      </w:pPr>
      <w:r>
        <w:rPr>
          <w:color w:val="000000"/>
        </w:rPr>
        <w:t>2.11.</w:t>
        <w:tab/>
        <w:t>После получения документа о приемке в течение 20 (двадцати) рабочих дней Страхователь осуществляет экспертизу результатов, предусмотренных Контрактом, в части их соответствия условиям Контракта. В случае отсутствия замечаний Страхователь подписывает акт приема-сдачи оказанных услуг (приложение № 3 к Контракту) и производит оплату в течение 10 (десяти) рабочих дней в соответствии с условиями Контракта.</w:t>
      </w:r>
    </w:p>
    <w:p>
      <w:pPr>
        <w:pStyle w:val="Normal"/>
        <w:keepLines/>
        <w:suppressLineNumbers/>
        <w:ind w:firstLine="720"/>
        <w:jc w:val="both"/>
        <w:rPr>
          <w:color w:val="000000"/>
        </w:rPr>
      </w:pPr>
      <w:r>
        <w:rPr>
          <w:color w:val="000000"/>
        </w:rPr>
        <w:t>2.12.</w:t>
        <w:tab/>
        <w:t>В случае привлечения Страхователем для проведения экспертизы экспертов, экспертных организаций при принятии решения о приемке или об отказе в приемке оказанных Услуг, Страхователь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ind w:firstLine="709"/>
        <w:jc w:val="both"/>
        <w:rPr>
          <w:color w:val="000000"/>
        </w:rPr>
      </w:pPr>
      <w:r>
        <w:rPr>
          <w:color w:val="000000"/>
        </w:rPr>
        <w:t>2.13. При выявлении несоответствий оказанных услуг (наименования, объема, качества, в том числе в случае выявления признаков ненадлежащего качества результатов оказанных услуг, препятствующих их дальнейшему использованию, по назначению, предусмотренному Техническим заданием, Страхователь в срок, установленный в п. 2.11 Контракта, отказывает в приемке услуг, направляя Страховщику мотивированный отказ от приемки услуг с перечнем выявленных недостатков и указанием сроков их устранения.</w:t>
      </w:r>
    </w:p>
    <w:p>
      <w:pPr>
        <w:pStyle w:val="Normal"/>
        <w:suppressLineNumbers/>
        <w:tabs>
          <w:tab w:val="clear" w:pos="709"/>
          <w:tab w:val="left" w:pos="738" w:leader="none"/>
        </w:tabs>
        <w:ind w:firstLine="709"/>
        <w:jc w:val="both"/>
        <w:rPr>
          <w:color w:val="000000"/>
        </w:rPr>
      </w:pPr>
      <w:r>
        <w:rPr>
          <w:color w:val="000000"/>
        </w:rPr>
        <w:t>2.14. Страхователь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Страховщиком.</w:t>
      </w:r>
    </w:p>
    <w:p>
      <w:pPr>
        <w:pStyle w:val="Normal"/>
        <w:keepLines/>
        <w:suppressLineNumbers/>
        <w:ind w:firstLine="720"/>
        <w:jc w:val="both"/>
        <w:rPr>
          <w:color w:val="000000"/>
        </w:rPr>
      </w:pPr>
      <w:r>
        <w:rPr>
          <w:color w:val="000000"/>
        </w:rPr>
        <w:t>2.15.</w:t>
        <w:tab/>
        <w:t>Страховая премия уплачивается Страхователем единовременно, путем перечисления денежных средств на расчетный счет Страховщика в пределах лимитов бюджетных обязательств на 2026 год на основании счета, и Акта приема-сдачи оказанных услуг, выставляемых Страховщиком Страхователю, в течение 10 (десяти) рабочих дней со дня приемки оказанных услуг, проведения экспертизы соответствия результата исполнения Контракта его  условиям.</w:t>
      </w:r>
    </w:p>
    <w:p>
      <w:pPr>
        <w:pStyle w:val="Normal"/>
        <w:keepLines/>
        <w:suppressLineNumbers/>
        <w:ind w:firstLine="720"/>
        <w:jc w:val="both"/>
        <w:rPr>
          <w:color w:val="000000"/>
        </w:rPr>
      </w:pPr>
      <w:r>
        <w:rPr>
          <w:color w:val="000000"/>
        </w:rPr>
        <w:t>2.16.</w:t>
        <w:tab/>
        <w:t>При уменьшении числа Застрахованных лиц Страховщик возвращает часть страхового взноса, рассчитанную исходя из индивидуальных страховых взносов пропорционально неиспользованному сроку страхования. Неиспользованная часть страхового взноса по заявлению Страхователя может быть оставлена у Страховщика до завершения взаиморасчетов или, по заявлению Страхователя, перечислена на его лицевой счет. В случае проведения взаиморасчетов или при перечислении неиспользованной части страхового взноса на расчетный счет Страхователя удержание расходов на ведение дела не производится. Расходы, связанные с возвратом неиспользованной суммы страховой премии на лицевой счет Страхователя возлагаются на Страховщика.</w:t>
      </w:r>
    </w:p>
    <w:p>
      <w:pPr>
        <w:pStyle w:val="Normal"/>
        <w:keepLines/>
        <w:suppressLineNumbers/>
        <w:ind w:firstLine="720"/>
        <w:jc w:val="both"/>
        <w:rPr>
          <w:color w:val="000000"/>
        </w:rPr>
      </w:pPr>
      <w:r>
        <w:rPr>
          <w:color w:val="000000"/>
        </w:rPr>
        <w:t xml:space="preserve">В течение срока действия Контракта Страхователем могут быть внесены изменения (при приеме и увольнении работников) по форме заявления на внесение изменений (Приложение № 5 к Контракту) в Список 3астрахованных лиц (Приложение № 4 к Контракту). При этом началом периода страхования и датой вступления страхования в силу для новых Застрахованных лиц является дата приема на работу, а окончанием периода страхования и датой окончания действия страхового покрытия для исключаемых из Списка Застрахованных лиц считается дата увольнения с работы. </w:t>
      </w:r>
    </w:p>
    <w:p>
      <w:pPr>
        <w:pStyle w:val="Normal"/>
        <w:keepLines/>
        <w:suppressLineNumbers/>
        <w:ind w:firstLine="720"/>
        <w:jc w:val="both"/>
        <w:rPr>
          <w:color w:val="000000"/>
        </w:rPr>
      </w:pPr>
      <w:r>
        <w:rPr>
          <w:color w:val="000000"/>
        </w:rPr>
        <w:t>2.17.</w:t>
        <w:tab/>
        <w:t>При увеличении числа Застрахованных лиц дополнительный страховой взнос рассчитывается исходя из индивидуальных тарифных ставок пропорционально предстоящему сроку страхования.</w:t>
      </w:r>
    </w:p>
    <w:p>
      <w:pPr>
        <w:pStyle w:val="Normal"/>
        <w:keepLines/>
        <w:suppressLineNumbers/>
        <w:ind w:firstLine="720"/>
        <w:jc w:val="both"/>
        <w:rPr>
          <w:color w:val="000000"/>
        </w:rPr>
      </w:pPr>
      <w:r>
        <w:rPr>
          <w:color w:val="000000"/>
        </w:rPr>
        <w:t>2.18.</w:t>
        <w:tab/>
        <w:t>При изменении численности застрахованных лиц, стороны вносят изменения в условия Контракта, с учетом статьи 95 Закона № 44-ФЗ и оформляют новый список застрахованных лиц.</w:t>
      </w:r>
    </w:p>
    <w:p>
      <w:pPr>
        <w:pStyle w:val="Normal"/>
        <w:keepLines/>
        <w:suppressLineNumbers/>
        <w:jc w:val="both"/>
        <w:rPr>
          <w:b/>
          <w:b/>
          <w:bCs/>
          <w:spacing w:val="-8"/>
        </w:rPr>
      </w:pPr>
      <w:r>
        <w:rPr>
          <w:b/>
          <w:bCs/>
          <w:spacing w:val="-8"/>
        </w:rPr>
      </w:r>
    </w:p>
    <w:p>
      <w:pPr>
        <w:pStyle w:val="ConsNormal"/>
        <w:keepLines/>
        <w:widowControl/>
        <w:suppressLineNumbers/>
        <w:ind w:right="0" w:hanging="0"/>
        <w:jc w:val="center"/>
        <w:rPr>
          <w:rFonts w:ascii="Times New Roman" w:hAnsi="Times New Roman" w:cs="Times New Roman"/>
          <w:b/>
          <w:b/>
          <w:bCs/>
          <w:sz w:val="24"/>
          <w:szCs w:val="24"/>
        </w:rPr>
      </w:pPr>
      <w:r>
        <w:rPr>
          <w:rFonts w:cs="Times New Roman" w:ascii="Times New Roman" w:hAnsi="Times New Roman"/>
          <w:b/>
          <w:bCs/>
          <w:sz w:val="24"/>
          <w:szCs w:val="24"/>
        </w:rPr>
        <w:t>3. ПОРЯДОК ОСУЩЕСТВЛЕНИЯ СТРАХОВЫХ ВЫПЛАТ</w:t>
      </w:r>
    </w:p>
    <w:p>
      <w:pPr>
        <w:pStyle w:val="Normal"/>
        <w:ind w:firstLine="709"/>
        <w:jc w:val="both"/>
        <w:rPr/>
      </w:pPr>
      <w:r>
        <w:rPr/>
        <w:t>3.1.</w:t>
        <w:tab/>
        <w:t xml:space="preserve">Страховая выплата выплачивается Застрахованному лицу, а в случае его смерти – Выгодоприобретателю (наследнику по закону) в пределах страховой суммы, установленной Контрактом для каждого Застрахованного лица </w:t>
      </w:r>
      <w:r>
        <w:rPr>
          <w:i/>
        </w:rPr>
        <w:t xml:space="preserve">((для Застрахованных лиц, занятых на неполную месячную норму, страховое обеспечение рассчитывается пропорционально месячной норме (размеру ставки) Застрахованного лица, умноженной на страховую сумму, установленную в п. 2.6 Контракта) </w:t>
      </w:r>
      <w:r>
        <w:rPr/>
        <w:t>исходя из следующих условий:</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3.1.1.</w:t>
        <w:tab/>
      </w:r>
      <w:r>
        <w:rPr>
          <w:rFonts w:cs="Times New Roman" w:ascii="Times New Roman" w:hAnsi="Times New Roman"/>
          <w:bCs/>
          <w:iCs/>
          <w:sz w:val="24"/>
          <w:szCs w:val="24"/>
        </w:rPr>
        <w:t>В случае</w:t>
      </w:r>
      <w:r>
        <w:rPr>
          <w:rFonts w:cs="Times New Roman" w:ascii="Times New Roman" w:hAnsi="Times New Roman"/>
          <w:bCs/>
          <w:sz w:val="24"/>
          <w:szCs w:val="24"/>
        </w:rPr>
        <w:t xml:space="preserve"> временной утраты Застрахованным лицом общей трудоспособности в результате несчастного случая</w:t>
      </w:r>
      <w:r>
        <w:rPr>
          <w:rFonts w:cs="Times New Roman" w:ascii="Times New Roman" w:hAnsi="Times New Roman"/>
          <w:sz w:val="24"/>
          <w:szCs w:val="24"/>
        </w:rPr>
        <w:t xml:space="preserve"> – в размере 0,5 % от страховой суммы, указанной в п. 2.6 Контракта, за каждый день временной нетрудоспособности, начиная с первого дня, но не более 25% от страховой суммы;</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3.1.2.</w:t>
        <w:tab/>
      </w:r>
      <w:r>
        <w:rPr>
          <w:rFonts w:cs="Times New Roman" w:ascii="Times New Roman" w:hAnsi="Times New Roman"/>
          <w:bCs/>
          <w:iCs/>
          <w:sz w:val="24"/>
          <w:szCs w:val="24"/>
        </w:rPr>
        <w:t>В случае</w:t>
      </w:r>
      <w:r>
        <w:rPr>
          <w:rFonts w:cs="Times New Roman" w:ascii="Times New Roman" w:hAnsi="Times New Roman"/>
          <w:bCs/>
          <w:sz w:val="24"/>
          <w:szCs w:val="24"/>
        </w:rPr>
        <w:t xml:space="preserve"> постоянной утраты Застрахованным лицом общей трудоспособности с назначением Застрахованному лицу инвалидности в результате несчастного случая:</w:t>
      </w:r>
      <w:r>
        <w:rPr>
          <w:rFonts w:cs="Times New Roman" w:ascii="Times New Roman" w:hAnsi="Times New Roman"/>
          <w:sz w:val="24"/>
          <w:szCs w:val="24"/>
        </w:rPr>
        <w:t xml:space="preserve"> при установлении I группы инвалидности - 100%, II группы - 80%, III группы - 60% от величины страховой суммы, указанной в п. 2.6 Контракта;</w:t>
      </w:r>
    </w:p>
    <w:p>
      <w:pPr>
        <w:pStyle w:val="Rule3"/>
        <w:keepLines/>
        <w:widowControl/>
        <w:suppressLineNumbers/>
        <w:spacing w:before="0" w:after="0"/>
        <w:ind w:firstLine="709"/>
        <w:rPr>
          <w:rFonts w:ascii="Times New Roman" w:hAnsi="Times New Roman" w:cs="Times New Roman"/>
        </w:rPr>
      </w:pPr>
      <w:r>
        <w:rPr>
          <w:rFonts w:cs="Times New Roman" w:ascii="Times New Roman" w:hAnsi="Times New Roman"/>
          <w:i w:val="false"/>
          <w:iCs/>
        </w:rPr>
        <w:t>3.1.3.</w:t>
        <w:tab/>
      </w:r>
      <w:r>
        <w:rPr>
          <w:rFonts w:cs="Times New Roman" w:ascii="Times New Roman" w:hAnsi="Times New Roman"/>
          <w:bCs/>
          <w:i w:val="false"/>
          <w:iCs/>
        </w:rPr>
        <w:t xml:space="preserve">В случае гибели (смерти) Застрахованного лица </w:t>
      </w:r>
      <w:r>
        <w:rPr>
          <w:rFonts w:cs="Times New Roman" w:ascii="Times New Roman" w:hAnsi="Times New Roman"/>
          <w:i w:val="false"/>
          <w:iCs/>
        </w:rPr>
        <w:t>– в размере 100%</w:t>
      </w:r>
      <w:r>
        <w:rPr>
          <w:rFonts w:cs="Times New Roman" w:ascii="Times New Roman" w:hAnsi="Times New Roman"/>
          <w:bCs/>
          <w:i w:val="false"/>
          <w:iCs/>
        </w:rPr>
        <w:t xml:space="preserve"> </w:t>
      </w:r>
      <w:r>
        <w:rPr>
          <w:rFonts w:cs="Times New Roman" w:ascii="Times New Roman" w:hAnsi="Times New Roman"/>
          <w:i w:val="false"/>
          <w:iCs/>
        </w:rPr>
        <w:t>страховой суммы, указанной в п. 2.6 Контракта. Если выгодоприобретатель не один, то страховая выплата выплачивается выгодоприобретателям в равных долях.</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3.2.</w:t>
        <w:tab/>
        <w:t>При требовании страхового обеспечения Страхователь / Застрахованное лицо или его представитель должны представить Страховщику следующие документы:</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3.2.1.</w:t>
        <w:tab/>
      </w:r>
      <w:r>
        <w:rPr>
          <w:rFonts w:cs="Times New Roman" w:ascii="Times New Roman" w:hAnsi="Times New Roman"/>
          <w:b/>
          <w:bCs/>
          <w:iCs/>
          <w:sz w:val="24"/>
          <w:szCs w:val="24"/>
        </w:rPr>
        <w:t>В случае</w:t>
      </w:r>
      <w:r>
        <w:rPr>
          <w:rFonts w:cs="Times New Roman" w:ascii="Times New Roman" w:hAnsi="Times New Roman"/>
          <w:b/>
          <w:bCs/>
          <w:sz w:val="24"/>
          <w:szCs w:val="24"/>
        </w:rPr>
        <w:t xml:space="preserve"> временной утраты Застрахованным лицом общей трудоспособности в результате несчастного случая</w:t>
      </w:r>
      <w:r>
        <w:rPr>
          <w:rFonts w:cs="Times New Roman" w:ascii="Times New Roman" w:hAnsi="Times New Roman"/>
          <w:sz w:val="24"/>
          <w:szCs w:val="24"/>
        </w:rPr>
        <w:t>:</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заявление о страховом событии от Застрахованного лица с указанием даты несчастного случая и краткого описания обстоятельств его наступления, платежных реквизитов для перечисления страхового обеспечения (реквизиты банка: название, ИНН, КПП, БИК, расчетный счет, лицевой счет получателя), а также номера контактного телефона;</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копия паспорта Застрахованного лица, заверенная печатью Страхователя и подписью руководителя Страхователя;</w:t>
      </w:r>
    </w:p>
    <w:p>
      <w:pPr>
        <w:pStyle w:val="211"/>
        <w:keepLines/>
        <w:suppressLineNumbers/>
        <w:spacing w:lineRule="auto" w:line="240" w:before="0" w:after="0"/>
        <w:ind w:left="0" w:firstLine="709"/>
        <w:jc w:val="both"/>
        <w:rPr/>
      </w:pPr>
      <w:r>
        <w:rPr/>
        <w:t>акт о несчастном случае на производстве по форме, утвержденной действующим законодательством РФ;</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справка (медицинское заключение) о заключительном диагнозе пострадавшего от несчастного случая на производстве (Учетная форма № 316-1/у) согласно Приказу Минздравсоцразвития России от 11 апреля 2025 г. № 196н «Об утверждении учётной формы №315-1/у «Медицинское заключение о характере полученных повреждений здоровья в результате несчастного случая на производстве и степени их тяжести», учётной формы №316-1/у «Медицинское заключение об установлении заключительного диагноза пострадавшего в результате несчастного случая на производстве»;</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документ или справка медицинского учреждения (выписной эпикриз или выписка из медицинской карты), удостоверяющие факт временной утраты общей трудоспособности с четким указанием диагноза и срока лечения или факт травматического повреждения с четким указанием диагноза, заверенная главным врачом и печатью медицинского учреждения;</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листок нетрудоспособности (копия больничного листа, заверенный печатью Страхователя и подписью руководителя Страхователя);</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копия приказа или выписка из приказа Страхователя о занимаемой должности Застрахованного лица на момент наступления страхового случая, заверенная печатью Страхователя и подписью руководителя Страхователя;</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 xml:space="preserve">сопроводительное письмо Страхователя, </w:t>
      </w:r>
      <w:r>
        <w:rPr>
          <w:rFonts w:cs="Times New Roman" w:ascii="Times New Roman" w:hAnsi="Times New Roman"/>
          <w:bCs/>
          <w:sz w:val="24"/>
          <w:szCs w:val="24"/>
        </w:rPr>
        <w:t>содержащее сведения, что Застрахованное лицо застраховано по настоящему Контракту</w:t>
      </w:r>
      <w:r>
        <w:rPr>
          <w:rFonts w:cs="Times New Roman" w:ascii="Times New Roman" w:hAnsi="Times New Roman"/>
          <w:sz w:val="24"/>
          <w:szCs w:val="24"/>
        </w:rPr>
        <w:t>, номер и дату Контракта, дату несчастного случая и краткого его описания, перечень документов, предоставляемых Страховщику, а также Ф.И.О. лица, уполномоченного Страхователем вести переговоры со Страховщиком по урегулированию страхового случая и его рабочего телефона (с указанием кода региона РФ).</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b/>
          <w:bCs/>
          <w:iCs/>
          <w:sz w:val="24"/>
          <w:szCs w:val="24"/>
        </w:rPr>
        <w:t>3.2.2.</w:t>
      </w:r>
      <w:r>
        <w:rPr>
          <w:rFonts w:cs="Times New Roman" w:ascii="Times New Roman" w:hAnsi="Times New Roman"/>
          <w:bCs/>
          <w:iCs/>
          <w:sz w:val="24"/>
          <w:szCs w:val="24"/>
        </w:rPr>
        <w:t xml:space="preserve"> </w:t>
      </w:r>
      <w:r>
        <w:rPr>
          <w:rFonts w:cs="Times New Roman" w:ascii="Times New Roman" w:hAnsi="Times New Roman"/>
          <w:b/>
          <w:bCs/>
          <w:iCs/>
          <w:sz w:val="24"/>
          <w:szCs w:val="24"/>
        </w:rPr>
        <w:t>В случае</w:t>
      </w:r>
      <w:r>
        <w:rPr>
          <w:rFonts w:cs="Times New Roman" w:ascii="Times New Roman" w:hAnsi="Times New Roman"/>
          <w:b/>
          <w:bCs/>
          <w:sz w:val="24"/>
          <w:szCs w:val="24"/>
        </w:rPr>
        <w:t xml:space="preserve"> постоянной утраты Застрахованным лицом общей трудоспособности с назначением Застрахованному лицу инвалидности в результате несчастного случая</w:t>
      </w:r>
      <w:r>
        <w:rPr>
          <w:rFonts w:cs="Times New Roman" w:ascii="Times New Roman" w:hAnsi="Times New Roman"/>
          <w:sz w:val="24"/>
          <w:szCs w:val="24"/>
        </w:rPr>
        <w:t>: дополнительно к перечню документов, указанных в п. 3.2.1 настоящего Контракта, необходимо предоставить:</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копию справки из учреждения медико-социальной экспертной комиссии (МСЭК), определяющей группу инвалидности, заверенную в установленном действующем законодательством РФ порядке.</w:t>
      </w:r>
    </w:p>
    <w:p>
      <w:pPr>
        <w:pStyle w:val="Normal"/>
        <w:keepLines/>
        <w:suppressLineNumbers/>
        <w:tabs>
          <w:tab w:val="left" w:pos="709" w:leader="none"/>
        </w:tabs>
        <w:ind w:firstLine="720"/>
        <w:jc w:val="both"/>
        <w:rPr/>
      </w:pPr>
      <w:r>
        <w:rPr>
          <w:b/>
          <w:iCs/>
        </w:rPr>
        <w:t>3.2.3.</w:t>
        <w:tab/>
        <w:t>В случае</w:t>
      </w:r>
      <w:r>
        <w:rPr>
          <w:b/>
        </w:rPr>
        <w:t xml:space="preserve"> гибели (смерти) Застрахованного лица в результате несчастного случая:</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заявление о страховом событии от Выгодоприобретателя (наследника по закону), с указанием даты несчастного случая и краткого описания обстоятельств его наступления, платежных реквизитов для перечисления страхового обеспечения (реквизиты банка: название, ИНН, КПП, БИК, расчетный счет, лицевой счет получателя), а также номера контактного телефона;</w:t>
      </w:r>
    </w:p>
    <w:p>
      <w:pPr>
        <w:pStyle w:val="211"/>
        <w:keepLines/>
        <w:suppressLineNumbers/>
        <w:spacing w:lineRule="auto" w:line="240" w:before="0" w:after="0"/>
        <w:ind w:left="0" w:firstLine="709"/>
        <w:jc w:val="both"/>
        <w:rPr/>
      </w:pPr>
      <w:r>
        <w:rPr/>
        <w:t>акт о несчастном случае на производстве по форме, утвержденной действующим законодательством РФ;</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копия свидетельства о смерти Застрахованного лица, заверенная нотариально,</w:t>
      </w:r>
      <w:r>
        <w:rPr>
          <w:rFonts w:cs="Times New Roman" w:ascii="Times New Roman" w:hAnsi="Times New Roman"/>
          <w:iCs/>
          <w:sz w:val="24"/>
          <w:szCs w:val="24"/>
        </w:rPr>
        <w:t xml:space="preserve"> или решение суда об объявлении Застрахованного лица умершим;</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копию справки медицинского учреждения о причине смерти Застрахованного лица, заверенную в порядке, предусмотренном действующим законодательством;</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копия приказа или выписки из приказа Страхователя по личному составу о занимаемой должности Застрахованного лица на момент наступления страхового случая, заверенная печатью Страхователя и подписью руководителя Страхователя;</w:t>
      </w:r>
    </w:p>
    <w:p>
      <w:pPr>
        <w:pStyle w:val="ConsNormal"/>
        <w:keepLines/>
        <w:widowControl/>
        <w:suppressLineNumbers/>
        <w:ind w:right="0" w:firstLine="709"/>
        <w:jc w:val="both"/>
        <w:rPr>
          <w:rFonts w:ascii="Times New Roman" w:hAnsi="Times New Roman" w:cs="Times New Roman"/>
          <w:sz w:val="24"/>
          <w:szCs w:val="24"/>
        </w:rPr>
      </w:pPr>
      <w:r>
        <w:rPr>
          <w:rFonts w:cs="Times New Roman" w:ascii="Times New Roman" w:hAnsi="Times New Roman"/>
          <w:sz w:val="24"/>
          <w:szCs w:val="24"/>
        </w:rPr>
        <w:t>копия паспорта Выгодоприобретателя, заверенная в установленном действующим законодательством РФ порядке;</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документы, удостоверяющие вступление наследников Застрахованного лица в права наследования, если Выгодоприобретатель не назван в настоящем Контракте;</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i w:val="false"/>
          <w:iCs/>
        </w:rPr>
        <w:t>копии паспортов наследников,</w:t>
      </w:r>
      <w:r>
        <w:rPr>
          <w:rFonts w:cs="Times New Roman" w:ascii="Times New Roman" w:hAnsi="Times New Roman"/>
          <w:i w:val="false"/>
        </w:rPr>
        <w:t xml:space="preserve"> </w:t>
      </w:r>
      <w:r>
        <w:rPr>
          <w:rFonts w:cs="Times New Roman" w:ascii="Times New Roman" w:hAnsi="Times New Roman"/>
          <w:i w:val="false"/>
          <w:iCs/>
        </w:rPr>
        <w:t>заверенные в установленном действующим законодательством РФ порядке;</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 xml:space="preserve">сопроводительное письмо Страхователя, </w:t>
      </w:r>
      <w:r>
        <w:rPr>
          <w:rFonts w:cs="Times New Roman" w:ascii="Times New Roman" w:hAnsi="Times New Roman"/>
          <w:bCs/>
          <w:sz w:val="24"/>
          <w:szCs w:val="24"/>
        </w:rPr>
        <w:t>содержащее сведения, что Застрахованное лицо застраховано по настоящему Контракту</w:t>
      </w:r>
      <w:r>
        <w:rPr>
          <w:rFonts w:cs="Times New Roman" w:ascii="Times New Roman" w:hAnsi="Times New Roman"/>
          <w:sz w:val="24"/>
          <w:szCs w:val="24"/>
        </w:rPr>
        <w:t>, номер и дату Контракта, дату несчастного случая и краткого его описания, перечень документов, предоставляемых Страховщику, а также Ф.И.О. лица, уполномоченного Страхователем вести переговоры со Страховщиком по урегулированию страхового случая и его рабочего телефона (с указанием кода региона РФ).</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i w:val="false"/>
        </w:rPr>
        <w:t>3.3.</w:t>
        <w:tab/>
      </w:r>
      <w:r>
        <w:rPr>
          <w:rFonts w:cs="Times New Roman" w:ascii="Times New Roman" w:hAnsi="Times New Roman"/>
          <w:i w:val="false"/>
          <w:iCs/>
        </w:rPr>
        <w:t>Страхователь / Застрахованное лицо или его представитель по запросу Страховщика обязан направлять в его адрес иные документы, необходимые для принятия объективного решения о выплате страховых сумм, в том числе копии материалов расследования по факту гибели (смерти) застрахованного лица или получения им увечья (ранения, травмы, контузии).</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Страховщик вправе сократить перечень документов, изложенный в п. 3.2 настоящего Контракта, по соглашению со Страхователем.</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bCs/>
          <w:iCs/>
          <w:sz w:val="24"/>
          <w:szCs w:val="24"/>
        </w:rPr>
        <w:t>3.4.</w:t>
        <w:tab/>
        <w:t>Страховщик производит страховые выплаты в 15-дневный срок со дня получения документов, необходимых для принятия решения о выплате</w:t>
      </w:r>
      <w:r>
        <w:rPr>
          <w:rFonts w:cs="Times New Roman" w:ascii="Times New Roman" w:hAnsi="Times New Roman"/>
          <w:sz w:val="24"/>
          <w:szCs w:val="24"/>
        </w:rPr>
        <w:t>.</w:t>
      </w:r>
    </w:p>
    <w:p>
      <w:pPr>
        <w:pStyle w:val="Normal"/>
        <w:keepLines/>
        <w:suppressLineNumbers/>
        <w:tabs>
          <w:tab w:val="left" w:pos="709" w:leader="none"/>
        </w:tabs>
        <w:jc w:val="both"/>
        <w:rPr>
          <w:bCs/>
          <w:iCs/>
        </w:rPr>
      </w:pPr>
      <w:r>
        <w:rPr>
          <w:bCs/>
          <w:iCs/>
        </w:rPr>
      </w:r>
    </w:p>
    <w:p>
      <w:pPr>
        <w:pStyle w:val="ConsNormal"/>
        <w:keepLines/>
        <w:widowControl/>
        <w:suppressLineNumbers/>
        <w:ind w:right="0" w:hanging="0"/>
        <w:jc w:val="center"/>
        <w:rPr>
          <w:rFonts w:ascii="Times New Roman" w:hAnsi="Times New Roman" w:cs="Times New Roman"/>
          <w:b/>
          <w:b/>
          <w:bCs/>
          <w:sz w:val="24"/>
          <w:szCs w:val="24"/>
        </w:rPr>
      </w:pPr>
      <w:r>
        <w:rPr>
          <w:rFonts w:cs="Times New Roman" w:ascii="Times New Roman" w:hAnsi="Times New Roman"/>
          <w:b/>
          <w:bCs/>
          <w:sz w:val="24"/>
          <w:szCs w:val="24"/>
        </w:rPr>
        <w:t>4. ПРАВА И ОБЯЗАННОСТИ СТОРОН</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i w:val="false"/>
          <w:iCs/>
        </w:rPr>
        <w:t>4.1.</w:t>
      </w:r>
      <w:r>
        <w:rPr>
          <w:rFonts w:cs="Times New Roman" w:ascii="Times New Roman" w:hAnsi="Times New Roman"/>
          <w:b/>
          <w:bCs/>
          <w:i w:val="false"/>
          <w:iCs/>
        </w:rPr>
        <w:tab/>
        <w:t>Страхователь имеет право:</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4.1.1.</w:t>
        <w:tab/>
        <w:t>При реорганизации передать права и обязанности по настоящему Контракту правопреемнику, уведомив об этом Страховщика в порядке, предусмотренном п. 10.9 Контракта;</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4.1.2.</w:t>
        <w:tab/>
        <w:t>На изменение условий настоящего Контракта по согласованию со Страховщиком;</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4.1.3.</w:t>
        <w:tab/>
        <w:t>Перечислить очередной страховой взнос ранее сроков, предусмотренных Контрактом;</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4.1.4.</w:t>
        <w:tab/>
        <w:t>Требовать от Страховщика изменения размера страховой премии (страховых взносов) в связи с изменением численности Застрахованных лиц;</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4.1.5. Принять решение об одностороннем отказе от исполнения Контракта в соответствии с гражданским законодательством;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4.1.6. Требовать от Страховщика своевременного устранения недостатков, выявленных как в ходе приемки, так и в течение срока оказания услуг;</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4.1.7. Проверять ход и качество выполнения Страховщиком условий Контракта без вмешательства в оперативно-хозяйственную деятельность Страховщика;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4.1.8. Требовать возмещения убытков в соответствии с разделом 6 Контракта, причиненных по вине Страховщика;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4.1.9. Требовать от Страховщика надлежащего исполнения обязательств по Контракту;</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4.1.10. Отказаться от приемки и оплаты оказанных услуг, не соответствующим условиям Контракта;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4.1.11. Принять решение об одностороннем отказе от исполнения Контракта в соответствии с гражданским законодательством;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4.1.12.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4.1.13. Удержать суммы неисполненных Страховщиком требований об уплате неустоек (штрафов, пеней), предъявленных Страхователем в соответствии с Законом № 44-ФЗ, из суммы, подлежащей оплате Страховщику;</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4.1.14. Осуществлять иные права, предусмотренные Контрактом и (или) действующим законодательством Российской Федерации.</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i w:val="false"/>
          <w:iCs/>
        </w:rPr>
        <w:t>4.2.</w:t>
        <w:tab/>
      </w:r>
      <w:r>
        <w:rPr>
          <w:rFonts w:cs="Times New Roman" w:ascii="Times New Roman" w:hAnsi="Times New Roman"/>
          <w:b/>
          <w:bCs/>
          <w:i w:val="false"/>
          <w:iCs/>
        </w:rPr>
        <w:t>Страхователь обязан:</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4.2.1.</w:t>
        <w:tab/>
        <w:t>Соблюдать условия Правил страхования и положения Контракта;</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4.2.2.</w:t>
        <w:tab/>
        <w:t>О</w:t>
      </w:r>
      <w:r>
        <w:rPr>
          <w:rFonts w:cs="Times New Roman" w:ascii="Times New Roman" w:hAnsi="Times New Roman"/>
          <w:i w:val="false"/>
        </w:rPr>
        <w:t>беспечить своевременную приемку и оплату оказанных услуг надлежащего качества в порядке, и сроки, предусмотренные Контрактом;</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4.2.3.</w:t>
        <w:tab/>
        <w:t>При заключении Контракта сообщить Страховщику сведения обо всех известных ему обстоятельствах, имеющих существенное значение для определения степени страхового риска;</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4.2.4.</w:t>
        <w:tab/>
        <w:t>Сообщать в возможно короткий срок Страховщику о наступлении страхового случая, начиная со дня, следующего за днем наступления страхового случая любым доступным ему способом, позволяющим объективно зафиксировать факт сообщения и обеспечить своевременное и полное предоставление документов Страховщику в соответствии с требованиями, установленными Контрактом;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 xml:space="preserve">4.2.5. </w:t>
      </w:r>
      <w:r>
        <w:rPr>
          <w:rFonts w:cs="Times New Roman" w:ascii="Times New Roman" w:hAnsi="Times New Roman"/>
          <w:sz w:val="24"/>
          <w:szCs w:val="24"/>
          <w:lang w:eastAsia="ru-RU"/>
        </w:rPr>
        <w:t>В случае принятия Страхователем предусмотренного частью 9 статьи 95 Закона         №</w:t>
      </w:r>
      <w:r>
        <w:rPr>
          <w:rFonts w:eastAsia="Liberation Serif;Times New Roma" w:cs="Times New Roman" w:ascii="Times New Roman" w:hAnsi="Times New Roman"/>
          <w:sz w:val="24"/>
          <w:szCs w:val="24"/>
          <w:lang w:eastAsia="ru-RU"/>
        </w:rPr>
        <w:t xml:space="preserve"> </w:t>
      </w:r>
      <w:r>
        <w:rPr>
          <w:rFonts w:cs="Times New Roman" w:ascii="Times New Roman" w:hAnsi="Times New Roman"/>
          <w:sz w:val="24"/>
          <w:szCs w:val="24"/>
          <w:lang w:eastAsia="ru-RU"/>
        </w:rPr>
        <w:t>44-ФЗ решения об одностороннем отказе от исполнения Контракта, такое решение передается лицу, имеющему право действовать от имени Страховщика, лично под расписку или направляется Страховщику по адресу Страховщика, указанному в Контракте. Выполнение Страхователем указанных требований считается надлежащим уведомлением  об одностороннем отказе от исполнения Контракта. Датой такого надлежащего уведомления считается:</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t>1) дата, указанная лицом, имеющим право действовать от имени Страховщика,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Страховщика, лично под расписку);</w:t>
      </w:r>
    </w:p>
    <w:p>
      <w:pPr>
        <w:pStyle w:val="NoSpacing"/>
        <w:ind w:firstLine="709"/>
        <w:jc w:val="both"/>
        <w:rPr>
          <w:rFonts w:ascii="Times New Roman" w:hAnsi="Times New Roman" w:cs="Times New Roman"/>
          <w:sz w:val="24"/>
          <w:szCs w:val="24"/>
        </w:rPr>
      </w:pPr>
      <w:r>
        <w:rPr>
          <w:rFonts w:cs="Times New Roman" w:ascii="Times New Roman" w:hAnsi="Times New Roman"/>
          <w:color w:val="000000"/>
          <w:sz w:val="24"/>
          <w:szCs w:val="24"/>
          <w:lang w:eastAsia="ru-RU"/>
        </w:rPr>
        <w:t>2) дата получения Страхователем подтверждения о вручении Страховщику заказного письма, предусмотренного ч. 12.2 ст. 95 Закона № 44-ФЗ, либо дата получения Страхователем информации об отсутствии Страховщика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i w:val="false"/>
          <w:iCs/>
        </w:rPr>
        <w:t>4.2.6.</w:t>
      </w:r>
      <w:r>
        <w:rPr>
          <w:rFonts w:cs="Times New Roman" w:ascii="Times New Roman" w:hAnsi="Times New Roman"/>
        </w:rPr>
        <w:t xml:space="preserve"> </w:t>
      </w:r>
      <w:r>
        <w:rPr>
          <w:rFonts w:cs="Times New Roman" w:ascii="Times New Roman" w:hAnsi="Times New Roman"/>
          <w:i w:val="false"/>
          <w:iCs/>
        </w:rPr>
        <w:t>Провести экспертизу результатов оказанных услуг для проверки их соответствия условиям Контракта в соответствии с Законом № 44-ФЗ;</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4.2.7. Требовать уплаты неустоек (штрафов, пеней) в соответствии с разделом 6 Контракта.</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i w:val="false"/>
          <w:iCs/>
        </w:rPr>
        <w:t>4.3.</w:t>
        <w:tab/>
      </w:r>
      <w:r>
        <w:rPr>
          <w:rFonts w:cs="Times New Roman" w:ascii="Times New Roman" w:hAnsi="Times New Roman"/>
          <w:b/>
          <w:bCs/>
          <w:i w:val="false"/>
          <w:iCs/>
        </w:rPr>
        <w:t>Страховщик имеет право:</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4.3.1.</w:t>
        <w:tab/>
        <w:t>Проверять достоверность представленной Страхователем информации;</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4.3.2.</w:t>
        <w:tab/>
        <w:t>Давать Страхователю рекомендации по предупреждению страховых случаев;</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4.3.3.</w:t>
        <w:tab/>
        <w:t>Направлять запросы в соответствующие компетентные органы и другие организации, располагающие информацией о наступившем событии, имеющем признаки страхового случая, а также самостоятельно выяснять причины и обстоятельства его возникновения;</w:t>
      </w:r>
    </w:p>
    <w:p>
      <w:pPr>
        <w:pStyle w:val="ConsNormal"/>
        <w:keepLines/>
        <w:widowControl/>
        <w:suppressLineNumbers/>
        <w:ind w:right="0" w:firstLine="720"/>
        <w:jc w:val="both"/>
        <w:rPr>
          <w:rFonts w:ascii="Times New Roman" w:hAnsi="Times New Roman" w:eastAsia="Calibri" w:cs="Times New Roman"/>
          <w:sz w:val="24"/>
          <w:szCs w:val="24"/>
        </w:rPr>
      </w:pPr>
      <w:r>
        <w:rPr>
          <w:rFonts w:cs="Times New Roman" w:ascii="Times New Roman" w:hAnsi="Times New Roman"/>
          <w:sz w:val="24"/>
          <w:szCs w:val="24"/>
        </w:rPr>
        <w:t>4.3.4.</w:t>
      </w:r>
      <w:r>
        <w:rPr>
          <w:rFonts w:eastAsia="Calibri" w:cs="Times New Roman" w:ascii="Times New Roman" w:hAnsi="Times New Roman"/>
          <w:sz w:val="24"/>
          <w:szCs w:val="24"/>
        </w:rPr>
        <w:t xml:space="preserve"> Принять решение об одностороннем отказе от исполнения Контракта в соответствии с гражданским законодательством;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4.3.5. Требовать от Страхователя произвести приемку оказанных услуг в порядке и в сроки, предусмотренные Контрактом;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4.2.2. Требовать своевременной оплаты на условиях, установленных Контрактом, надлежащим образом оказанных и принятых Страхователем услуг;</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4.2.3. Принять решение об одностороннем отказе от исполнения Контракта в соответствии с гражданским законодательством;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4.2.4. Требовать возмещения убытков, уплаты неустоек (штрафов, пеней) в соответствии с разделом 6 Контракта;</w:t>
      </w:r>
    </w:p>
    <w:p>
      <w:pPr>
        <w:pStyle w:val="ConsNormal"/>
        <w:keepLines/>
        <w:widowControl/>
        <w:suppressLineNumbers/>
        <w:ind w:right="0" w:firstLine="720"/>
        <w:jc w:val="both"/>
        <w:rPr>
          <w:rFonts w:ascii="Times New Roman" w:hAnsi="Times New Roman" w:cs="Times New Roman"/>
          <w:sz w:val="24"/>
          <w:szCs w:val="24"/>
        </w:rPr>
      </w:pPr>
      <w:r>
        <w:rPr>
          <w:rFonts w:cs="Times New Roman" w:ascii="Times New Roman" w:hAnsi="Times New Roman"/>
          <w:sz w:val="24"/>
          <w:szCs w:val="24"/>
        </w:rPr>
        <w:t>4.3.5. Осуществлять иные права, предусмотренные Контрактом и (или) законодательством Российской Федерации.</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i w:val="false"/>
          <w:iCs/>
        </w:rPr>
        <w:t>4.4.</w:t>
        <w:tab/>
      </w:r>
      <w:r>
        <w:rPr>
          <w:rFonts w:cs="Times New Roman" w:ascii="Times New Roman" w:hAnsi="Times New Roman"/>
          <w:b/>
          <w:bCs/>
          <w:i w:val="false"/>
          <w:iCs/>
        </w:rPr>
        <w:t>Страховщик обязан:</w:t>
      </w:r>
    </w:p>
    <w:p>
      <w:pPr>
        <w:pStyle w:val="Rule3"/>
        <w:keepLines/>
        <w:widowControl/>
        <w:suppressLineNumbers/>
        <w:spacing w:before="0" w:after="0"/>
        <w:ind w:firstLine="720"/>
        <w:rPr>
          <w:rFonts w:ascii="Times New Roman" w:hAnsi="Times New Roman" w:cs="Times New Roman"/>
          <w:bCs/>
          <w:i w:val="false"/>
          <w:i w:val="false"/>
          <w:iCs/>
        </w:rPr>
      </w:pPr>
      <w:r>
        <w:rPr>
          <w:rFonts w:cs="Times New Roman" w:ascii="Times New Roman" w:hAnsi="Times New Roman"/>
          <w:bCs/>
          <w:i w:val="false"/>
          <w:iCs/>
        </w:rPr>
        <w:t>4.4.1. Оказать услуги лично, в порядке, объеме, в срок и на условиях, предусмотренных Контрактом и Техническим заданием (Приложение № 1 к Контракту);</w:t>
      </w:r>
    </w:p>
    <w:p>
      <w:pPr>
        <w:pStyle w:val="Rule3"/>
        <w:keepLines/>
        <w:widowControl/>
        <w:suppressLineNumbers/>
        <w:spacing w:before="0" w:after="0"/>
        <w:ind w:firstLine="720"/>
        <w:rPr>
          <w:rFonts w:ascii="Times New Roman" w:hAnsi="Times New Roman" w:cs="Times New Roman"/>
        </w:rPr>
      </w:pPr>
      <w:r>
        <w:rPr>
          <w:rFonts w:cs="Times New Roman" w:ascii="Times New Roman" w:hAnsi="Times New Roman"/>
          <w:bCs/>
          <w:i w:val="false"/>
          <w:iCs/>
        </w:rPr>
        <w:t>4.4.2.</w:t>
        <w:tab/>
      </w:r>
      <w:r>
        <w:rPr>
          <w:rFonts w:cs="Times New Roman" w:ascii="Times New Roman" w:hAnsi="Times New Roman"/>
          <w:i w:val="false"/>
          <w:iCs/>
        </w:rPr>
        <w:t>Произвести страховую в</w:t>
      </w:r>
      <w:r>
        <w:rPr>
          <w:rFonts w:cs="Times New Roman" w:ascii="Times New Roman" w:hAnsi="Times New Roman"/>
          <w:bCs/>
          <w:i w:val="false"/>
          <w:iCs/>
        </w:rPr>
        <w:t xml:space="preserve">ыплату </w:t>
      </w:r>
      <w:r>
        <w:rPr>
          <w:rFonts w:cs="Times New Roman" w:ascii="Times New Roman" w:hAnsi="Times New Roman"/>
          <w:i w:val="false"/>
          <w:iCs/>
        </w:rPr>
        <w:t>в течение 15 (пятнадцати) рабочих дней после получения всех необходимых документов;</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4.4.3.</w:t>
        <w:tab/>
        <w:t xml:space="preserve">Изменить по требованию Страхователя размер страховой премии (страховых взносов) в случае изменения численности Застрахованных лиц; </w:t>
      </w:r>
    </w:p>
    <w:p>
      <w:pPr>
        <w:pStyle w:val="Rule3"/>
        <w:keepLines/>
        <w:widowControl/>
        <w:suppressLineNumbers/>
        <w:spacing w:before="0" w:after="0"/>
        <w:ind w:firstLine="720"/>
        <w:rPr>
          <w:rFonts w:ascii="Times New Roman" w:hAnsi="Times New Roman" w:cs="Times New Roman"/>
          <w:color w:val="000000"/>
        </w:rPr>
      </w:pPr>
      <w:r>
        <w:rPr>
          <w:rFonts w:cs="Times New Roman" w:ascii="Times New Roman" w:hAnsi="Times New Roman"/>
          <w:i w:val="false"/>
          <w:iCs/>
          <w:color w:val="000000"/>
        </w:rPr>
        <w:t>4.4.4. в случае принятия Страховщиком, предусмотренного ч. 19 ст. 95 Закона № 44-ФЗ, решения об одностороннем отказе от исполнения Контракта, такое решение передается лицу, имеющему право действовать от имени Страхователя, лично под расписку или направляется Страхователю по почте заказным письмом с уведомлением о вручении по адресу Страхователя, указанному в Контракте. Выполнение Страховщиком требований ч. 20.2 ст. 95 Закона № 44-ФЗ считается надлежащим уведомлением Страхователя об одностороннем отказе от исполнения Контракта. Датой такого надлежащего уведомления считается:</w:t>
      </w:r>
    </w:p>
    <w:p>
      <w:pPr>
        <w:pStyle w:val="Normal"/>
        <w:ind w:firstLine="709"/>
        <w:jc w:val="both"/>
        <w:rPr>
          <w:color w:val="000000"/>
        </w:rPr>
      </w:pPr>
      <w:r>
        <w:rPr>
          <w:color w:val="000000"/>
        </w:rPr>
        <w:t>1) дата, указанная лицом, имеющим право действовать от имени Страхователя,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Страхователя, лично под расписку);</w:t>
      </w:r>
    </w:p>
    <w:p>
      <w:pPr>
        <w:pStyle w:val="Rule3"/>
        <w:widowControl/>
        <w:suppressLineNumbers/>
        <w:spacing w:before="0" w:after="0"/>
        <w:ind w:firstLine="720"/>
        <w:rPr>
          <w:rFonts w:ascii="Times New Roman" w:hAnsi="Times New Roman" w:cs="Times New Roman"/>
          <w:color w:val="000000"/>
        </w:rPr>
      </w:pPr>
      <w:r>
        <w:rPr>
          <w:rFonts w:cs="Times New Roman" w:ascii="Times New Roman" w:hAnsi="Times New Roman"/>
          <w:i w:val="false"/>
          <w:iCs/>
          <w:color w:val="000000"/>
        </w:rPr>
        <w:t>2) дата получения Страховщиком подтверждения о вручении Страхователю заказного письма, предусмотренного ч. 20.2 ст. 95 Закона № 44-ФЗ, либо дата получения Страховщиком информации об отсутствии Страхователя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4.4.5.</w:t>
        <w:tab/>
        <w:t>Не разглашать полученные сведения о Страхователе за исключением случаев, предусмотренных действующем законодательством Российской Федерации;</w:t>
      </w:r>
    </w:p>
    <w:p>
      <w:pPr>
        <w:pStyle w:val="Rule3"/>
        <w:keepLines/>
        <w:widowControl/>
        <w:suppressLineNumbers/>
        <w:spacing w:before="0" w:after="0"/>
        <w:ind w:firstLine="720"/>
        <w:rPr>
          <w:rFonts w:ascii="Times New Roman" w:hAnsi="Times New Roman" w:cs="Times New Roman"/>
          <w:i w:val="false"/>
          <w:i w:val="false"/>
        </w:rPr>
      </w:pPr>
      <w:r>
        <w:rPr>
          <w:rFonts w:cs="Times New Roman" w:ascii="Times New Roman" w:hAnsi="Times New Roman"/>
          <w:i w:val="false"/>
          <w:iCs/>
        </w:rPr>
        <w:t xml:space="preserve">4.4.6. </w:t>
      </w:r>
      <w:r>
        <w:rPr>
          <w:rFonts w:cs="Times New Roman" w:ascii="Times New Roman" w:hAnsi="Times New Roman"/>
          <w:i w:val="false"/>
        </w:rPr>
        <w:t>Обеспечить соответствие оказываемых услуг требованиям лицензирования, установленным законодательством Российской Федерации и Контрактом;</w:t>
      </w:r>
    </w:p>
    <w:p>
      <w:pPr>
        <w:pStyle w:val="Rule3"/>
        <w:keepLines/>
        <w:widowControl/>
        <w:suppressLineNumbers/>
        <w:spacing w:before="0" w:after="0"/>
        <w:ind w:firstLine="720"/>
        <w:rPr>
          <w:rFonts w:ascii="Times New Roman" w:hAnsi="Times New Roman" w:cs="Times New Roman"/>
          <w:i w:val="false"/>
          <w:i w:val="false"/>
        </w:rPr>
      </w:pPr>
      <w:r>
        <w:rPr>
          <w:rFonts w:cs="Times New Roman" w:ascii="Times New Roman" w:hAnsi="Times New Roman"/>
          <w:i w:val="false"/>
        </w:rPr>
        <w:t>4.4.7.</w:t>
      </w:r>
      <w:r>
        <w:rPr>
          <w:rFonts w:cs="Times New Roman" w:ascii="Times New Roman" w:hAnsi="Times New Roman"/>
          <w:i w:val="false"/>
          <w:iCs/>
        </w:rPr>
        <w:t xml:space="preserve"> </w:t>
      </w:r>
      <w:r>
        <w:rPr>
          <w:rFonts w:cs="Times New Roman" w:ascii="Times New Roman" w:hAnsi="Times New Roman"/>
          <w:i w:val="false"/>
        </w:rPr>
        <w:t>Обеспечить за свой счет устранение выявленных недостатков оказанных услуг в порядке и на условиях, предусмотренных Контрактом;</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rPr>
        <w:t>4.4.8. Предоставлять Страхователю по его требованию документы, относящиеся к предмету Контракта, а также своевременно предоставлять Страхователю достоверную информацию о ходе исполнения своих обязательств, в том числе о сложностях, возникающих при исполнении Контракта.</w:t>
      </w:r>
    </w:p>
    <w:p>
      <w:pPr>
        <w:pStyle w:val="Rule3"/>
        <w:keepLines/>
        <w:widowControl/>
        <w:suppressLineNumbers/>
        <w:spacing w:before="0" w:after="0"/>
        <w:ind w:hanging="0"/>
        <w:rPr>
          <w:rFonts w:ascii="Times New Roman" w:hAnsi="Times New Roman" w:cs="Times New Roman"/>
          <w:i w:val="false"/>
          <w:i w:val="false"/>
          <w:iCs/>
        </w:rPr>
      </w:pPr>
      <w:r>
        <w:rPr>
          <w:rFonts w:cs="Times New Roman" w:ascii="Times New Roman" w:hAnsi="Times New Roman"/>
          <w:i w:val="false"/>
          <w:iCs/>
        </w:rPr>
      </w:r>
    </w:p>
    <w:p>
      <w:pPr>
        <w:pStyle w:val="ConsNormal"/>
        <w:keepLines/>
        <w:widowControl/>
        <w:suppressLineNumbers/>
        <w:tabs>
          <w:tab w:val="clear" w:pos="709"/>
          <w:tab w:val="left" w:pos="0" w:leader="none"/>
        </w:tabs>
        <w:ind w:right="0" w:hanging="0"/>
        <w:jc w:val="center"/>
        <w:rPr>
          <w:rFonts w:ascii="Times New Roman" w:hAnsi="Times New Roman" w:cs="Times New Roman"/>
          <w:b/>
          <w:b/>
          <w:bCs/>
          <w:sz w:val="24"/>
          <w:szCs w:val="24"/>
        </w:rPr>
      </w:pPr>
      <w:r>
        <w:rPr>
          <w:rFonts w:cs="Times New Roman" w:ascii="Times New Roman" w:hAnsi="Times New Roman"/>
          <w:b/>
          <w:bCs/>
          <w:sz w:val="24"/>
          <w:szCs w:val="24"/>
        </w:rPr>
        <w:t>5. СРОК ДЕЙСТВИЯ КОНТРАКТА</w:t>
      </w:r>
    </w:p>
    <w:p>
      <w:pPr>
        <w:pStyle w:val="ConsNormal"/>
        <w:keepLines/>
        <w:widowControl/>
        <w:suppressLineNumbers/>
        <w:tabs>
          <w:tab w:val="clear" w:pos="709"/>
          <w:tab w:val="left" w:pos="0" w:leader="none"/>
        </w:tabs>
        <w:ind w:right="0" w:firstLine="709"/>
        <w:jc w:val="both"/>
        <w:rPr>
          <w:rFonts w:ascii="Times New Roman" w:hAnsi="Times New Roman" w:cs="Times New Roman"/>
          <w:b/>
          <w:b/>
          <w:sz w:val="24"/>
          <w:szCs w:val="24"/>
        </w:rPr>
      </w:pPr>
      <w:r>
        <w:rPr>
          <w:rFonts w:cs="Times New Roman" w:ascii="Times New Roman" w:hAnsi="Times New Roman"/>
          <w:spacing w:val="-8"/>
          <w:sz w:val="24"/>
          <w:szCs w:val="24"/>
        </w:rPr>
        <w:t>5.1.</w:t>
        <w:tab/>
      </w:r>
      <w:r>
        <w:rPr>
          <w:rFonts w:cs="Times New Roman" w:ascii="Times New Roman" w:hAnsi="Times New Roman"/>
          <w:sz w:val="24"/>
          <w:szCs w:val="24"/>
        </w:rPr>
        <w:t xml:space="preserve">Контракт действует </w:t>
      </w:r>
      <w:r>
        <w:rPr>
          <w:rFonts w:cs="Times New Roman" w:ascii="Times New Roman" w:hAnsi="Times New Roman"/>
          <w:b/>
          <w:sz w:val="24"/>
          <w:szCs w:val="24"/>
        </w:rPr>
        <w:t xml:space="preserve">с момента подписания Сторонами по 31 декабря 2026 года, период страхования с 1 сентября по 30 ноября 2026 года. </w:t>
      </w:r>
    </w:p>
    <w:p>
      <w:pPr>
        <w:pStyle w:val="ConsNormal"/>
        <w:keepLines/>
        <w:widowControl/>
        <w:suppressLineNumbers/>
        <w:tabs>
          <w:tab w:val="clear" w:pos="709"/>
          <w:tab w:val="left" w:pos="0" w:leader="none"/>
        </w:tabs>
        <w:ind w:right="0" w:firstLine="709"/>
        <w:jc w:val="both"/>
        <w:rPr>
          <w:rFonts w:ascii="Times New Roman" w:hAnsi="Times New Roman" w:cs="Times New Roman"/>
          <w:sz w:val="24"/>
          <w:szCs w:val="24"/>
        </w:rPr>
      </w:pPr>
      <w:r>
        <w:rPr>
          <w:rFonts w:cs="Times New Roman" w:ascii="Times New Roman" w:hAnsi="Times New Roman"/>
          <w:sz w:val="24"/>
          <w:szCs w:val="24"/>
        </w:rPr>
        <w:t>Окончание срока действия Контракта не влечет прекращения неисполненных обязательств Сторон по Контракту.</w:t>
      </w:r>
    </w:p>
    <w:p>
      <w:pPr>
        <w:pStyle w:val="ConsNormal"/>
        <w:keepLines/>
        <w:widowControl/>
        <w:suppressLineNumbers/>
        <w:tabs>
          <w:tab w:val="clear" w:pos="709"/>
          <w:tab w:val="left" w:pos="0" w:leader="none"/>
        </w:tabs>
        <w:ind w:right="0" w:firstLine="720"/>
        <w:jc w:val="both"/>
        <w:rPr>
          <w:rFonts w:ascii="Times New Roman" w:hAnsi="Times New Roman" w:cs="Times New Roman"/>
          <w:sz w:val="24"/>
          <w:szCs w:val="24"/>
        </w:rPr>
      </w:pPr>
      <w:r>
        <w:rPr>
          <w:rFonts w:cs="Times New Roman" w:ascii="Times New Roman" w:hAnsi="Times New Roman"/>
          <w:sz w:val="24"/>
          <w:szCs w:val="24"/>
        </w:rPr>
        <w:t>5.2.</w:t>
        <w:tab/>
        <w:t>Контракт прекращается в случае:</w:t>
      </w:r>
    </w:p>
    <w:p>
      <w:pPr>
        <w:pStyle w:val="ConsNormal"/>
        <w:keepLines/>
        <w:widowControl/>
        <w:suppressLineNumbers/>
        <w:tabs>
          <w:tab w:val="clear" w:pos="709"/>
          <w:tab w:val="left" w:pos="0" w:leader="none"/>
        </w:tabs>
        <w:ind w:right="0" w:firstLine="720"/>
        <w:jc w:val="both"/>
        <w:rPr>
          <w:rFonts w:ascii="Times New Roman" w:hAnsi="Times New Roman" w:cs="Times New Roman"/>
          <w:sz w:val="24"/>
          <w:szCs w:val="24"/>
        </w:rPr>
      </w:pPr>
      <w:r>
        <w:rPr>
          <w:rFonts w:cs="Times New Roman" w:ascii="Times New Roman" w:hAnsi="Times New Roman"/>
          <w:sz w:val="24"/>
          <w:szCs w:val="24"/>
        </w:rPr>
        <w:t>5.2.1.</w:t>
        <w:tab/>
        <w:t>Истечения срока его действия;</w:t>
      </w:r>
    </w:p>
    <w:p>
      <w:pPr>
        <w:pStyle w:val="ConsNormal"/>
        <w:keepLines/>
        <w:widowControl/>
        <w:suppressLineNumbers/>
        <w:tabs>
          <w:tab w:val="clear" w:pos="709"/>
          <w:tab w:val="left" w:pos="0" w:leader="none"/>
        </w:tabs>
        <w:ind w:right="0" w:firstLine="720"/>
        <w:jc w:val="both"/>
        <w:rPr>
          <w:rFonts w:ascii="Times New Roman" w:hAnsi="Times New Roman" w:cs="Times New Roman"/>
          <w:sz w:val="24"/>
          <w:szCs w:val="24"/>
        </w:rPr>
      </w:pPr>
      <w:r>
        <w:rPr>
          <w:rFonts w:cs="Times New Roman" w:ascii="Times New Roman" w:hAnsi="Times New Roman"/>
          <w:sz w:val="24"/>
          <w:szCs w:val="24"/>
        </w:rPr>
        <w:t>5.2.2.</w:t>
        <w:tab/>
        <w:t>Утраты Страхователем имущественного интереса, подлежащего страхованию в соответствии с Контрактом;</w:t>
      </w:r>
    </w:p>
    <w:p>
      <w:pPr>
        <w:pStyle w:val="ConsNormal"/>
        <w:keepLines/>
        <w:widowControl/>
        <w:suppressLineNumbers/>
        <w:tabs>
          <w:tab w:val="clear" w:pos="709"/>
          <w:tab w:val="left" w:pos="0" w:leader="none"/>
        </w:tabs>
        <w:ind w:right="0" w:firstLine="720"/>
        <w:jc w:val="both"/>
        <w:rPr>
          <w:rFonts w:ascii="Times New Roman" w:hAnsi="Times New Roman" w:cs="Times New Roman"/>
          <w:sz w:val="24"/>
          <w:szCs w:val="24"/>
        </w:rPr>
      </w:pPr>
      <w:r>
        <w:rPr>
          <w:rFonts w:cs="Times New Roman" w:ascii="Times New Roman" w:hAnsi="Times New Roman"/>
          <w:sz w:val="24"/>
          <w:szCs w:val="24"/>
        </w:rPr>
        <w:t>5.2.3.</w:t>
        <w:tab/>
        <w:t>Прекращения действия Контракта по решению суда;</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5.2.4.</w:t>
        <w:tab/>
        <w:t>В иных случаях, предусмотренных законодательством Российской Федерации.</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5.3.</w:t>
        <w:tab/>
      </w:r>
      <w:r>
        <w:rPr>
          <w:rFonts w:cs="Times New Roman" w:ascii="Times New Roman" w:hAnsi="Times New Roman"/>
          <w:i w:val="false"/>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r>
        <w:rPr>
          <w:rFonts w:cs="Times New Roman" w:ascii="Times New Roman" w:hAnsi="Times New Roman"/>
          <w:i w:val="false"/>
          <w:iCs/>
        </w:rPr>
        <w:t>.</w:t>
      </w:r>
    </w:p>
    <w:p>
      <w:pPr>
        <w:pStyle w:val="Rule3"/>
        <w:keepLines/>
        <w:widowControl/>
        <w:suppressLineNumbers/>
        <w:spacing w:before="0" w:after="0"/>
        <w:ind w:firstLine="720"/>
        <w:rPr>
          <w:rFonts w:ascii="Times New Roman" w:hAnsi="Times New Roman" w:cs="Times New Roman"/>
          <w:i w:val="false"/>
          <w:i w:val="false"/>
          <w:iCs/>
        </w:rPr>
      </w:pPr>
      <w:r>
        <w:rPr>
          <w:rFonts w:cs="Times New Roman" w:ascii="Times New Roman" w:hAnsi="Times New Roman"/>
          <w:i w:val="false"/>
          <w:iCs/>
        </w:rPr>
        <w:t xml:space="preserve">5.4. </w:t>
      </w:r>
      <w:r>
        <w:rPr>
          <w:rFonts w:cs="Times New Roman" w:ascii="Times New Roman" w:hAnsi="Times New Roman"/>
          <w:i w:val="false"/>
          <w:color w:val="000000" w:themeColor="text1"/>
        </w:rPr>
        <w:t>Страхователь не позднее 2 (двух) рабочих дней, следующих за днем вступления в силу решения об одностороннем отказе от исполнения Контракта в связи с неисполнением или ненадлежащим исполнением Страховщиком обязательств, предусмотренных Контрактом, направляет в соответствии с порядком, предусмотренным п. 1 ч. 10  ст. 104 Закона № 44-ФЗ, обращение о включении информации о Страхователе в реестр недобросовестных поставщиков (подрядчиков, исполнителей).</w:t>
      </w:r>
    </w:p>
    <w:p>
      <w:pPr>
        <w:pStyle w:val="ConsNormal"/>
        <w:keepLines/>
        <w:widowControl/>
        <w:suppressLineNumbers/>
        <w:tabs>
          <w:tab w:val="clear" w:pos="709"/>
          <w:tab w:val="left" w:pos="0" w:leader="none"/>
        </w:tabs>
        <w:ind w:right="0" w:hanging="0"/>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hd w:val="clear" w:color="auto" w:fill="FFFFFF"/>
        <w:tabs>
          <w:tab w:val="clear" w:pos="709"/>
          <w:tab w:val="left" w:pos="540" w:leader="none"/>
        </w:tabs>
        <w:ind w:right="36" w:hanging="0"/>
        <w:jc w:val="center"/>
        <w:rPr>
          <w:b/>
          <w:b/>
          <w:spacing w:val="5"/>
        </w:rPr>
      </w:pPr>
      <w:r>
        <w:rPr>
          <w:b/>
          <w:spacing w:val="5"/>
        </w:rPr>
        <w:t xml:space="preserve">6. ОТВЕТСТВЕННОСТЬ СТОРОН </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6.1. За неисполнение или ненадлежащее исполнение Контракта Стороны несут ответственность в соответствии с действующим законодательством Российской Федерации и условиями Контракта.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Страховщиком обязательств, предусмотренных Контрактом, Страховщик уплачивает Страхователю пени. 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6.4. За каждый факт неисполнения или ненадлежащего исполнения Страховщиком обязательств, предусмотренных Контрактом, за исключением просрочки исполнения Страховщиком обязательств, предусмотренных Контрактом, Страховщик уплачивает Страхователю штраф. Размер штрафа определяется в соответствии с Правилами определения размера штрафа, начисляемого в случае ненадлежащего исполнения Страхователем, неисполнения или ненадлежащего исполнения Страховщиком обязательств, предусмотренных Контрактом (за исключением просрочки исполнения обязательств Страхователем, Страховщиком), утвержденными постановлением Правительства Российской Федерации от 30 августа 2017 г. № 1042 (далее – Правила), и составляет 10%</w:t>
      </w:r>
      <w:r>
        <w:rPr>
          <w:rStyle w:val="Style19"/>
          <w:rFonts w:cs="Times New Roman"/>
          <w:sz w:val="24"/>
          <w:szCs w:val="24"/>
        </w:rPr>
        <w:footnoteReference w:id="2"/>
      </w:r>
      <w:r>
        <w:rPr>
          <w:rFonts w:cs="Times New Roman" w:ascii="Times New Roman" w:hAnsi="Times New Roman"/>
          <w:sz w:val="24"/>
          <w:szCs w:val="24"/>
        </w:rPr>
        <w:t xml:space="preserve"> от цены Контракта в размере _________________ (______________________________) рублей ____ копеек.</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6.5.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Страховщик уплачивает Страхователю штраф. Размер штрафа определяется в соответствии с Правилами и составляет 1 000 (одну тысячу) рублей, если цена контракта не превышает 3 млн. рублей</w:t>
      </w:r>
      <w:r>
        <w:rPr>
          <w:rStyle w:val="Style19"/>
          <w:rFonts w:cs="Times New Roman"/>
          <w:sz w:val="24"/>
          <w:szCs w:val="24"/>
        </w:rPr>
        <w:footnoteReference w:id="3"/>
      </w:r>
      <w:r>
        <w:rPr>
          <w:rFonts w:cs="Times New Roman" w:ascii="Times New Roman" w:hAnsi="Times New Roman"/>
          <w:sz w:val="24"/>
          <w:szCs w:val="24"/>
        </w:rPr>
        <w:t>.</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6.6. В случае просрочки исполнения Страхователем обязательств, предусмотренных Контрактом, Страховщик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6.7.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Страховщик вправе потребовать уплату штрафа. Размер штрафа определяется в соответствии с Правилами и составляет 1 000 (одну тысячу) рублей, если цена контракта не превышает 3 млн. рублей (включительно)</w:t>
      </w:r>
      <w:r>
        <w:rPr>
          <w:rStyle w:val="Style19"/>
          <w:rFonts w:cs="Times New Roman"/>
          <w:sz w:val="24"/>
          <w:szCs w:val="24"/>
        </w:rPr>
        <w:footnoteReference w:id="4"/>
      </w:r>
      <w:r>
        <w:rPr>
          <w:rFonts w:cs="Times New Roman" w:ascii="Times New Roman" w:hAnsi="Times New Roman"/>
          <w:sz w:val="24"/>
          <w:szCs w:val="24"/>
        </w:rPr>
        <w:t>.</w:t>
      </w:r>
    </w:p>
    <w:p>
      <w:pPr>
        <w:pStyle w:val="NoSpacing"/>
        <w:tabs>
          <w:tab w:val="clear" w:pos="709"/>
          <w:tab w:val="left" w:pos="6600" w:leader="none"/>
        </w:tabs>
        <w:ind w:firstLine="709"/>
        <w:jc w:val="both"/>
        <w:rPr>
          <w:rFonts w:ascii="Times New Roman" w:hAnsi="Times New Roman" w:cs="Times New Roman"/>
          <w:sz w:val="24"/>
          <w:szCs w:val="24"/>
        </w:rPr>
      </w:pPr>
      <w:r>
        <w:rPr>
          <w:rFonts w:cs="Times New Roman" w:ascii="Times New Roman" w:hAnsi="Times New Roman"/>
          <w:sz w:val="24"/>
          <w:szCs w:val="24"/>
        </w:rPr>
        <w:t>6.8. Применение неустойки (штрафа, пени) не освобождает Стороны от исполнения обязательств по Контракту.</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6.9.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6.10.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 xml:space="preserve">6.12. </w:t>
      </w:r>
      <w:r>
        <w:rPr>
          <w:rFonts w:cs="Times New Roman" w:ascii="Times New Roman" w:hAnsi="Times New Roman"/>
          <w:sz w:val="24"/>
          <w:szCs w:val="24"/>
          <w:lang w:eastAsia="ru-RU"/>
        </w:rPr>
        <w:t xml:space="preserve">Реквизиты для перечисления </w:t>
      </w:r>
      <w:r>
        <w:rPr>
          <w:rFonts w:cs="Times New Roman" w:ascii="Times New Roman" w:hAnsi="Times New Roman"/>
          <w:color w:val="000000"/>
          <w:sz w:val="24"/>
          <w:szCs w:val="24"/>
          <w:lang w:eastAsia="ru-RU"/>
        </w:rPr>
        <w:t>Страхователю</w:t>
      </w:r>
      <w:r>
        <w:rPr>
          <w:rFonts w:cs="Times New Roman" w:ascii="Times New Roman" w:hAnsi="Times New Roman"/>
          <w:sz w:val="24"/>
          <w:szCs w:val="24"/>
          <w:lang w:eastAsia="ru-RU"/>
        </w:rPr>
        <w:t xml:space="preserve"> неустойки (пени, штрафа), удержания </w:t>
      </w:r>
      <w:r>
        <w:rPr>
          <w:rFonts w:cs="Times New Roman" w:ascii="Times New Roman" w:hAnsi="Times New Roman"/>
          <w:color w:val="000000"/>
          <w:sz w:val="24"/>
          <w:szCs w:val="24"/>
          <w:lang w:eastAsia="ru-RU"/>
        </w:rPr>
        <w:t>Страхователем</w:t>
      </w:r>
      <w:r>
        <w:rPr>
          <w:rFonts w:cs="Times New Roman" w:ascii="Times New Roman" w:hAnsi="Times New Roman"/>
          <w:sz w:val="24"/>
          <w:szCs w:val="24"/>
          <w:lang w:eastAsia="ru-RU"/>
        </w:rPr>
        <w:t xml:space="preserve"> суммы, подлежащей оплате </w:t>
      </w:r>
      <w:r>
        <w:rPr>
          <w:rFonts w:cs="Times New Roman" w:ascii="Times New Roman" w:hAnsi="Times New Roman"/>
          <w:sz w:val="24"/>
          <w:szCs w:val="24"/>
        </w:rPr>
        <w:t>Страховщику</w:t>
      </w:r>
      <w:r>
        <w:rPr>
          <w:rFonts w:cs="Times New Roman" w:ascii="Times New Roman" w:hAnsi="Times New Roman"/>
          <w:sz w:val="24"/>
          <w:szCs w:val="24"/>
          <w:lang w:eastAsia="ru-RU"/>
        </w:rPr>
        <w:t xml:space="preserve"> в соответствии с </w:t>
      </w:r>
      <w:r>
        <w:rPr>
          <w:rFonts w:cs="Times New Roman" w:ascii="Times New Roman" w:hAnsi="Times New Roman"/>
          <w:color w:val="000000"/>
          <w:sz w:val="24"/>
          <w:szCs w:val="24"/>
          <w:lang w:eastAsia="ru-RU"/>
        </w:rPr>
        <w:t>подпунктом 4.1.13 пункта 4.1</w:t>
      </w:r>
      <w:r>
        <w:rPr>
          <w:rFonts w:cs="Times New Roman" w:ascii="Times New Roman" w:hAnsi="Times New Roman"/>
          <w:color w:val="FF0000"/>
          <w:sz w:val="24"/>
          <w:szCs w:val="24"/>
          <w:lang w:eastAsia="ru-RU"/>
        </w:rPr>
        <w:t xml:space="preserve"> </w:t>
      </w:r>
      <w:r>
        <w:rPr>
          <w:rFonts w:cs="Times New Roman" w:ascii="Times New Roman" w:hAnsi="Times New Roman"/>
          <w:color w:val="000000"/>
          <w:sz w:val="24"/>
          <w:szCs w:val="24"/>
          <w:lang w:eastAsia="ru-RU"/>
        </w:rPr>
        <w:t>К</w:t>
      </w:r>
      <w:r>
        <w:rPr>
          <w:rFonts w:cs="Times New Roman" w:ascii="Times New Roman" w:hAnsi="Times New Roman"/>
          <w:sz w:val="24"/>
          <w:szCs w:val="24"/>
          <w:lang w:eastAsia="ru-RU"/>
        </w:rPr>
        <w:t xml:space="preserve">онтракта: 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Иркутской области; юридический адрес: </w:t>
      </w:r>
      <w:r>
        <w:rPr>
          <w:rFonts w:cs="Times New Roman" w:ascii="Times New Roman" w:hAnsi="Times New Roman"/>
          <w:color w:val="000000"/>
          <w:sz w:val="24"/>
          <w:szCs w:val="24"/>
          <w:lang w:eastAsia="ru-RU"/>
        </w:rPr>
        <w:t>664003 г. Иркутск ул. Красноармейская, д. 15; ИНН: 3808184080; КПП: 380801001; ОГРН: 1083808012705; БИК: 012520101; ОКТМО: 25701000; КБК: 177116070</w:t>
      </w:r>
      <w:r>
        <w:rPr>
          <w:rFonts w:cs="Times New Roman" w:ascii="Times New Roman" w:hAnsi="Times New Roman"/>
          <w:b/>
          <w:color w:val="000000"/>
          <w:sz w:val="24"/>
          <w:szCs w:val="24"/>
          <w:u w:val="single"/>
          <w:lang w:eastAsia="ru-RU"/>
        </w:rPr>
        <w:t>1</w:t>
      </w:r>
      <w:r>
        <w:rPr>
          <w:rFonts w:cs="Times New Roman" w:ascii="Times New Roman" w:hAnsi="Times New Roman"/>
          <w:color w:val="000000"/>
          <w:sz w:val="24"/>
          <w:szCs w:val="24"/>
          <w:lang w:eastAsia="ru-RU"/>
        </w:rPr>
        <w:t>0019000140 (для оплаты пеней), КБК 177116070</w:t>
      </w:r>
      <w:r>
        <w:rPr>
          <w:rFonts w:cs="Times New Roman" w:ascii="Times New Roman" w:hAnsi="Times New Roman"/>
          <w:b/>
          <w:color w:val="000000"/>
          <w:sz w:val="24"/>
          <w:szCs w:val="24"/>
          <w:u w:val="single"/>
          <w:lang w:eastAsia="ru-RU"/>
        </w:rPr>
        <w:t>9</w:t>
      </w:r>
      <w:r>
        <w:rPr>
          <w:rFonts w:cs="Times New Roman" w:ascii="Times New Roman" w:hAnsi="Times New Roman"/>
          <w:color w:val="000000"/>
          <w:sz w:val="24"/>
          <w:szCs w:val="24"/>
          <w:lang w:eastAsia="ru-RU"/>
        </w:rPr>
        <w:t>0019000140 (для оплаты штрафа); Наименование получателя: УФК по Иркутской области (Главное управление МЧС России по Иркутской области л/с 04341885010); Единый казначейский счет (кор/с) 40102810145370000026; Казначейский счет (р/с) 03100643000000013400; Банк: ОКЦ № 4 СибГУ Банка России//УФК ПО ИРКУТСКОЙ ОБЛАСТИ г Иркутск.</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Times New Roman" w:hAnsi="Times New Roman" w:cs="Times New Roman"/>
          <w:sz w:val="24"/>
          <w:szCs w:val="24"/>
        </w:rPr>
      </w:pPr>
      <w:r>
        <w:rPr>
          <w:rFonts w:cs="Times New Roman" w:ascii="Times New Roman" w:hAnsi="Times New Roman"/>
          <w:b/>
          <w:sz w:val="24"/>
          <w:szCs w:val="24"/>
        </w:rPr>
        <w:t>7. ОБСТОЯТЕЛЬСТВА НЕПРЕОДОЛИМОЙ СИЛЫ</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или по вине другой Стороны.</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tabs>
          <w:tab w:val="clear" w:pos="709"/>
          <w:tab w:val="left" w:pos="1260" w:leader="none"/>
        </w:tabs>
        <w:jc w:val="both"/>
        <w:rPr>
          <w:b/>
          <w:b/>
        </w:rPr>
      </w:pPr>
      <w:r>
        <w:rPr>
          <w:b/>
        </w:rPr>
      </w:r>
    </w:p>
    <w:p>
      <w:pPr>
        <w:pStyle w:val="Normal"/>
        <w:jc w:val="center"/>
        <w:rPr>
          <w:b/>
          <w:b/>
        </w:rPr>
      </w:pPr>
      <w:r>
        <w:rPr>
          <w:b/>
          <w:bCs/>
        </w:rPr>
        <w:t xml:space="preserve">8. </w:t>
      </w:r>
      <w:r>
        <w:rPr>
          <w:b/>
        </w:rPr>
        <w:t>РАССМОТРЕНИЕ И РАЗРЕШЕНИЕ СПОРОВ</w:t>
      </w:r>
    </w:p>
    <w:p>
      <w:pPr>
        <w:pStyle w:val="Normal"/>
        <w:ind w:firstLine="709"/>
        <w:jc w:val="both"/>
        <w:rPr/>
      </w:pPr>
      <w:r>
        <w:rPr/>
        <w:t>8.1. Стороны в настоящем Контракте определили, что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firstLine="709"/>
        <w:jc w:val="both"/>
        <w:rPr/>
      </w:pPr>
      <w:r>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9"/>
          <w:tab w:val="left" w:pos="1134" w:leader="none"/>
        </w:tabs>
        <w:ind w:firstLine="720"/>
        <w:jc w:val="both"/>
        <w:rPr/>
      </w:pPr>
      <w:r>
        <w:rPr/>
        <w:t xml:space="preserve">8.3. Претензия передается лицу, имеющему право действовать от имени стороны Контракта, лично под расписку или направляется стороне Контракта, допустившей нарушение его условий по почте заказным письмом по адресу, указанному в Контракте. Допускается направление претензии на адрес электронной почты соответствующей Стороны, указанный в Контракте. </w:t>
      </w:r>
    </w:p>
    <w:p>
      <w:pPr>
        <w:pStyle w:val="Normal"/>
        <w:ind w:firstLine="709"/>
        <w:jc w:val="both"/>
        <w:rPr/>
      </w:pPr>
      <w:r>
        <w:rPr/>
        <w:t xml:space="preserve">8.4. Срок рассмотрения претензии не может превышать </w:t>
      </w:r>
      <w:r>
        <w:rPr>
          <w:color w:val="000000"/>
        </w:rPr>
        <w:t>10 (десять)</w:t>
      </w:r>
      <w:r>
        <w:rPr/>
        <w:t xml:space="preserve"> календарных дней. </w:t>
      </w:r>
    </w:p>
    <w:p>
      <w:pPr>
        <w:pStyle w:val="Normal"/>
        <w:ind w:firstLine="709"/>
        <w:jc w:val="both"/>
        <w:rPr/>
      </w:pPr>
      <w:r>
        <w:rPr/>
        <w:t>8.5. При не урегулировании Сторонами спора в досудебном порядке, спор разрешается в Арбитражном суде Иркутской области.</w:t>
      </w:r>
    </w:p>
    <w:p>
      <w:pPr>
        <w:pStyle w:val="ConsNormal"/>
        <w:keepLines/>
        <w:widowControl/>
        <w:suppressLineNumbers/>
        <w:tabs>
          <w:tab w:val="clear" w:pos="709"/>
          <w:tab w:val="left" w:pos="0" w:leader="none"/>
        </w:tabs>
        <w:ind w:right="0" w:hanging="0"/>
        <w:jc w:val="both"/>
        <w:rPr>
          <w:rFonts w:ascii="Times New Roman" w:hAnsi="Times New Roman" w:cs="Times New Roman"/>
          <w:sz w:val="24"/>
          <w:szCs w:val="24"/>
        </w:rPr>
      </w:pPr>
      <w:r>
        <w:rPr>
          <w:rFonts w:cs="Times New Roman" w:ascii="Times New Roman" w:hAnsi="Times New Roman"/>
          <w:sz w:val="24"/>
          <w:szCs w:val="24"/>
          <w:lang w:eastAsia="ru-RU"/>
        </w:rPr>
        <w:tab/>
        <w:t>8.</w:t>
      </w:r>
      <w:r>
        <w:rPr>
          <w:rFonts w:cs="Times New Roman" w:ascii="Times New Roman" w:hAnsi="Times New Roman"/>
          <w:sz w:val="24"/>
          <w:szCs w:val="24"/>
        </w:rPr>
        <w:t>6.</w:t>
        <w:tab/>
        <w:t>Права и обязанности Сторон, вытекающие из Контракта, но не урегулированные в нем, определяются законодательством Российской Федерации и Правилами страхования, экземпляр которых Страхователем получен после заключения настоящего Контракта.</w:t>
      </w:r>
    </w:p>
    <w:p>
      <w:pPr>
        <w:pStyle w:val="ConsNormal"/>
        <w:keepLines/>
        <w:widowControl/>
        <w:suppressLineNumbers/>
        <w:tabs>
          <w:tab w:val="clear" w:pos="709"/>
          <w:tab w:val="left" w:pos="0" w:leader="none"/>
        </w:tabs>
        <w:ind w:right="0" w:hanging="0"/>
        <w:jc w:val="center"/>
        <w:rPr>
          <w:rFonts w:ascii="Times New Roman" w:hAnsi="Times New Roman" w:cs="Times New Roman"/>
          <w:sz w:val="24"/>
          <w:szCs w:val="24"/>
        </w:rPr>
      </w:pPr>
      <w:r>
        <w:rPr>
          <w:rFonts w:cs="Times New Roman" w:ascii="Times New Roman" w:hAnsi="Times New Roman"/>
          <w:sz w:val="24"/>
          <w:szCs w:val="24"/>
        </w:rPr>
      </w:r>
    </w:p>
    <w:p>
      <w:pPr>
        <w:pStyle w:val="ConsNormal"/>
        <w:widowControl/>
        <w:suppressLineNumbers/>
        <w:tabs>
          <w:tab w:val="clear" w:pos="709"/>
          <w:tab w:val="left" w:pos="0" w:leader="none"/>
        </w:tabs>
        <w:ind w:right="0" w:hanging="0"/>
        <w:jc w:val="center"/>
        <w:rPr>
          <w:rFonts w:ascii="Times New Roman" w:hAnsi="Times New Roman" w:cs="Times New Roman"/>
          <w:b/>
          <w:b/>
          <w:bCs/>
          <w:sz w:val="24"/>
          <w:szCs w:val="24"/>
        </w:rPr>
      </w:pPr>
      <w:r>
        <w:rPr>
          <w:rFonts w:cs="Times New Roman" w:ascii="Times New Roman" w:hAnsi="Times New Roman"/>
          <w:b/>
          <w:bCs/>
          <w:sz w:val="24"/>
          <w:szCs w:val="24"/>
        </w:rPr>
        <w:t>9. ИЗМЕНЕНИЕ УСЛОВИЙ КОНТРАКТА</w:t>
      </w:r>
    </w:p>
    <w:p>
      <w:pPr>
        <w:pStyle w:val="17"/>
        <w:ind w:firstLine="708"/>
        <w:jc w:val="both"/>
        <w:rPr>
          <w:rFonts w:ascii="Times New Roman" w:hAnsi="Times New Roman" w:cs="Times New Roman"/>
          <w:sz w:val="24"/>
          <w:szCs w:val="24"/>
        </w:rPr>
      </w:pPr>
      <w:r>
        <w:rPr>
          <w:rStyle w:val="FontStyle13"/>
          <w:sz w:val="24"/>
          <w:szCs w:val="24"/>
          <w:lang w:eastAsia="ar-SA"/>
        </w:rPr>
        <w:t xml:space="preserve">9.1. </w:t>
      </w:r>
      <w:r>
        <w:rPr>
          <w:rFonts w:cs="Times New Roman" w:ascii="Times New Roman" w:hAnsi="Times New Roman"/>
          <w:sz w:val="24"/>
          <w:szCs w:val="24"/>
        </w:rPr>
        <w:t>Условия настоящего Контракта могут быть изменены Сторонами в период его действия в порядке, предусмотренном действующим законодательством, на основе их взаимного согласия и наличия объективных причин, вызвавших такие действия Сторон.</w:t>
      </w:r>
    </w:p>
    <w:p>
      <w:pPr>
        <w:pStyle w:val="17"/>
        <w:ind w:firstLine="708"/>
        <w:jc w:val="both"/>
        <w:rPr>
          <w:rFonts w:ascii="Times New Roman" w:hAnsi="Times New Roman" w:cs="Times New Roman"/>
          <w:sz w:val="24"/>
          <w:szCs w:val="24"/>
        </w:rPr>
      </w:pPr>
      <w:r>
        <w:rPr>
          <w:rStyle w:val="FontStyle13"/>
          <w:sz w:val="24"/>
          <w:szCs w:val="24"/>
          <w:lang w:eastAsia="ar-SA"/>
        </w:rPr>
        <w:t xml:space="preserve">9.2. </w:t>
      </w:r>
      <w:r>
        <w:rPr>
          <w:rFonts w:cs="Times New Roman" w:ascii="Times New Roman" w:hAnsi="Times New Roman"/>
          <w:sz w:val="24"/>
          <w:szCs w:val="24"/>
        </w:rPr>
        <w:t>Изменение существенных условий Контракта при его исполнении не допускается за исключением случаев изменения их по соглашению сторон в соответствии с Законом № 44-ФЗ.</w:t>
      </w:r>
    </w:p>
    <w:p>
      <w:pPr>
        <w:pStyle w:val="17"/>
        <w:ind w:firstLine="708"/>
        <w:jc w:val="both"/>
        <w:rPr>
          <w:rFonts w:ascii="Times New Roman" w:hAnsi="Times New Roman" w:cs="Times New Roman"/>
          <w:sz w:val="24"/>
          <w:szCs w:val="24"/>
        </w:rPr>
      </w:pPr>
      <w:r>
        <w:rPr>
          <w:rFonts w:cs="Times New Roman" w:ascii="Times New Roman" w:hAnsi="Times New Roman"/>
          <w:sz w:val="24"/>
          <w:szCs w:val="24"/>
        </w:rPr>
        <w:t>9.3. При исполнении Контракта не допускается перемена Страховщика, за исключением случая, если новый страховщик является правопреемником Страховщика вследствие реорганизации юридического лица в форме преобразования, слияния или присоединения.</w:t>
      </w:r>
    </w:p>
    <w:p>
      <w:pPr>
        <w:pStyle w:val="17"/>
        <w:ind w:firstLine="708"/>
        <w:jc w:val="both"/>
        <w:rPr>
          <w:rFonts w:ascii="Times New Roman" w:hAnsi="Times New Roman" w:cs="Times New Roman"/>
          <w:sz w:val="24"/>
          <w:szCs w:val="24"/>
        </w:rPr>
      </w:pPr>
      <w:r>
        <w:rPr>
          <w:rFonts w:cs="Times New Roman" w:ascii="Times New Roman" w:hAnsi="Times New Roman"/>
          <w:sz w:val="24"/>
          <w:szCs w:val="24"/>
        </w:rPr>
        <w:t>9.4. В случае перемены Страхователя права и обязанности Страхователя, предусмотренные Контрактом, переходят к новому Страхователю.</w:t>
      </w:r>
    </w:p>
    <w:p>
      <w:pPr>
        <w:pStyle w:val="17"/>
        <w:ind w:firstLine="708"/>
        <w:jc w:val="both"/>
        <w:rPr>
          <w:rFonts w:ascii="Times New Roman" w:hAnsi="Times New Roman" w:cs="Times New Roman"/>
          <w:sz w:val="24"/>
          <w:szCs w:val="24"/>
        </w:rPr>
      </w:pPr>
      <w:r>
        <w:rPr>
          <w:rStyle w:val="FontStyle13"/>
          <w:sz w:val="24"/>
          <w:szCs w:val="24"/>
          <w:lang w:eastAsia="ar-SA"/>
        </w:rPr>
        <w:t xml:space="preserve">9.5. </w:t>
      </w:r>
      <w:r>
        <w:rPr>
          <w:rFonts w:cs="Times New Roman" w:ascii="Times New Roman" w:hAnsi="Times New Roman"/>
          <w:sz w:val="24"/>
          <w:szCs w:val="24"/>
        </w:rPr>
        <w:t>Последствия изменения условий настоящего Контракта определяются взаимным соглашением Сторон.</w:t>
      </w:r>
    </w:p>
    <w:p>
      <w:pPr>
        <w:pStyle w:val="17"/>
        <w:ind w:firstLine="708"/>
        <w:jc w:val="both"/>
        <w:rPr>
          <w:rFonts w:ascii="Times New Roman" w:hAnsi="Times New Roman" w:cs="Times New Roman"/>
          <w:sz w:val="24"/>
          <w:szCs w:val="24"/>
        </w:rPr>
      </w:pPr>
      <w:r>
        <w:rPr>
          <w:rFonts w:cs="Times New Roman" w:ascii="Times New Roman" w:hAnsi="Times New Roman"/>
          <w:sz w:val="24"/>
          <w:szCs w:val="24"/>
        </w:rPr>
        <w:t>9.6. Если Стороны Контракта не достигли согласия о приведении Контракта в соответствие с изменившимися обстоятельствами, по требованию заинтересованной стороны условия Контракта могут быть изменены по решению суда только при наличии оснований, предусмотренных действующим законодательством.</w:t>
      </w:r>
    </w:p>
    <w:p>
      <w:pPr>
        <w:pStyle w:val="17"/>
        <w:ind w:firstLine="708"/>
        <w:jc w:val="both"/>
        <w:rPr>
          <w:rFonts w:ascii="Times New Roman" w:hAnsi="Times New Roman" w:cs="Times New Roman"/>
          <w:sz w:val="24"/>
          <w:szCs w:val="24"/>
        </w:rPr>
      </w:pPr>
      <w:r>
        <w:rPr>
          <w:rStyle w:val="FontStyle13"/>
          <w:sz w:val="24"/>
          <w:szCs w:val="24"/>
          <w:lang w:eastAsia="ar-SA"/>
        </w:rPr>
        <w:t xml:space="preserve">9.7. </w:t>
      </w:r>
      <w:r>
        <w:rPr>
          <w:rFonts w:cs="Times New Roman" w:ascii="Times New Roman" w:hAnsi="Times New Roman"/>
          <w:sz w:val="24"/>
          <w:szCs w:val="24"/>
        </w:rPr>
        <w:t>Любые соглашения Сторон по изменению условий настоящего Контракта имеют юридическую силу в том случае, если они оформлены в письменном виде, скреплены подписями и печатями Сторон, и являются при этом неотъемлемой частью Контракта.</w:t>
      </w:r>
    </w:p>
    <w:p>
      <w:pPr>
        <w:pStyle w:val="NoSpacing"/>
        <w:jc w:val="both"/>
        <w:rPr>
          <w:rFonts w:ascii="Times New Roman" w:hAnsi="Times New Roman" w:cs="Times New Roman"/>
          <w:b/>
          <w:b/>
          <w:bCs/>
          <w:color w:val="000000"/>
          <w:sz w:val="24"/>
          <w:szCs w:val="24"/>
        </w:rPr>
      </w:pPr>
      <w:r>
        <w:rPr>
          <w:rFonts w:cs="Times New Roman" w:ascii="Times New Roman" w:hAnsi="Times New Roman"/>
          <w:b/>
          <w:bCs/>
          <w:color w:val="000000"/>
          <w:sz w:val="24"/>
          <w:szCs w:val="24"/>
        </w:rPr>
      </w:r>
      <w:bookmarkStart w:id="0" w:name="sub_95110"/>
      <w:bookmarkStart w:id="1" w:name="sub_951101"/>
      <w:bookmarkStart w:id="2" w:name="sub_95110"/>
      <w:bookmarkStart w:id="3" w:name="sub_951101"/>
      <w:bookmarkEnd w:id="2"/>
      <w:bookmarkEnd w:id="3"/>
    </w:p>
    <w:p>
      <w:pPr>
        <w:pStyle w:val="NoSpacing"/>
        <w:jc w:val="center"/>
        <w:rPr>
          <w:rFonts w:ascii="Times New Roman" w:hAnsi="Times New Roman" w:cs="Times New Roman"/>
          <w:sz w:val="24"/>
          <w:szCs w:val="24"/>
        </w:rPr>
      </w:pPr>
      <w:r>
        <w:rPr>
          <w:rFonts w:cs="Times New Roman" w:ascii="Times New Roman" w:hAnsi="Times New Roman"/>
          <w:b/>
          <w:sz w:val="24"/>
          <w:szCs w:val="24"/>
        </w:rPr>
        <w:t>10. ПРОЧИЕ ПОЛОЖЕНИЯ</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10.1. Во всем, что не предусмотрено Контрактом, Стороны руководствуются законодательством Российской Федерации.</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10.2. В случае изменения у какой-либо из Сторон местонахождения, названия, а также в случае реорганизации она обязана в течение 10 (десяти) календарных дней письменно известить об этом другую сторону.</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Normal"/>
        <w:keepLines/>
        <w:widowControl/>
        <w:suppressLineNumbers/>
        <w:tabs>
          <w:tab w:val="clear" w:pos="709"/>
          <w:tab w:val="left" w:pos="0" w:leader="none"/>
        </w:tabs>
        <w:ind w:right="0" w:firstLine="720"/>
        <w:jc w:val="both"/>
        <w:rPr>
          <w:rFonts w:ascii="Times New Roman" w:hAnsi="Times New Roman" w:cs="Times New Roman"/>
          <w:sz w:val="24"/>
          <w:szCs w:val="24"/>
        </w:rPr>
      </w:pPr>
      <w:r>
        <w:rPr>
          <w:rFonts w:cs="Times New Roman" w:ascii="Times New Roman" w:hAnsi="Times New Roman"/>
          <w:sz w:val="24"/>
          <w:szCs w:val="24"/>
        </w:rPr>
        <w:t>10.4. Сверка взаимных расчетов по Контракту осуществляется ежемесячно.</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10.5. В случае наличия неисполненных Страховщиком требований об уплате неустойки (штрафа, пени), предъявленных Страхователем в соответствии с Законом № 44-ФЗ, Страхователь вправе осуществить удержание из суммы, подлежащей оплате Страховщику сумму таких требований. В указанном случае, исполнение обязательства Страховщика по перечислению неустойки (штрафа, пени) в доход бюджета Российской Федерации возлагается на Страхователя.</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10.7.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а также за исполнение Сторонами принятых обязательств в рамках исполнения настоящего Контракта, с указанием контактных телефонов:</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 со стороны Страхователя ответственным лицом назначен: ___________________________,        тел.  +7(3952) _________ (вн. _____);</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 со стороны Страховщика ответственным лицом назначен: __________________________, тел. +7(_____) _________.</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Телефоны ответственных лиц должны функционировать с 09.30 до 17.30 часов по Иркутскому времени.</w:t>
      </w:r>
    </w:p>
    <w:p>
      <w:pPr>
        <w:pStyle w:val="17"/>
        <w:ind w:firstLine="708"/>
        <w:jc w:val="both"/>
        <w:rPr>
          <w:rFonts w:ascii="Times New Roman" w:hAnsi="Times New Roman" w:cs="Times New Roman"/>
          <w:sz w:val="24"/>
          <w:szCs w:val="24"/>
        </w:rPr>
      </w:pPr>
      <w:r>
        <w:rPr>
          <w:rFonts w:cs="Times New Roman" w:ascii="Times New Roman" w:hAnsi="Times New Roman"/>
          <w:sz w:val="24"/>
          <w:szCs w:val="24"/>
        </w:rPr>
        <w:t xml:space="preserve">10.8. </w:t>
      </w:r>
      <w:r>
        <w:rPr>
          <w:rStyle w:val="FontStyle13"/>
          <w:sz w:val="24"/>
          <w:szCs w:val="24"/>
        </w:rPr>
        <w:t>Любое уведомление, которое одна сторона направляет другой стороне в соответствии с Контрактом, направляется заказным почтовым отправлением или с использованием электронного канала связи на адрес электронной почты, указанный в Контракте, с последующим представлением оригинала документа. Уведомление вступает в силу в день получения его лицом, которому оно адресовано, если иное не установлено законом или Контрактом.</w:t>
      </w:r>
    </w:p>
    <w:p>
      <w:pPr>
        <w:pStyle w:val="ConsNormal"/>
        <w:keepLines/>
        <w:widowControl/>
        <w:suppressLineNumbers/>
        <w:tabs>
          <w:tab w:val="clear" w:pos="709"/>
          <w:tab w:val="left" w:pos="0" w:leader="none"/>
        </w:tabs>
        <w:ind w:right="0" w:firstLine="720"/>
        <w:jc w:val="both"/>
        <w:rPr>
          <w:rStyle w:val="FontStyle13"/>
          <w:sz w:val="24"/>
          <w:szCs w:val="24"/>
        </w:rPr>
      </w:pPr>
      <w:r>
        <w:rPr>
          <w:rFonts w:cs="Times New Roman" w:ascii="Times New Roman" w:hAnsi="Times New Roman"/>
          <w:sz w:val="24"/>
          <w:szCs w:val="24"/>
        </w:rPr>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будут считаться поданными надлежащим образом, если они переданы способами, указанными в настоящем пункте.</w:t>
      </w:r>
    </w:p>
    <w:p>
      <w:pPr>
        <w:pStyle w:val="Normal"/>
        <w:ind w:firstLine="709"/>
        <w:jc w:val="both"/>
        <w:rPr>
          <w:color w:val="000000"/>
        </w:rPr>
      </w:pPr>
      <w:r>
        <w:rPr>
          <w:color w:val="000000"/>
        </w:rPr>
        <w:t>10.9. Подписывая настоящий Контракт, Подрядчик подтверждает отсутствие информации о нем, членах коллегиального исполнительного органа, лице, исполняющем функции единоличного исполнительного органа, об управляющем (при наличии), управляющей организации (при наличии), участниках (членах) корпоративного юридического лица, владеющих более чем двадцатью пятью процентами акций (долей, паев) корпоративного юридического лица, учредителях унитарного юридического лица в реестре недобросовестных Подрядчиков (подрядчиков, исполнителей) (далее - Реестр), включенной в Реестр в связи с отказом Подрядчика от исполнения контракта по причине введения в отношении заказчика политических 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pPr>
        <w:pStyle w:val="Normal"/>
        <w:ind w:firstLine="709"/>
        <w:jc w:val="both"/>
        <w:rPr/>
      </w:pPr>
      <w:r>
        <w:rPr>
          <w:rStyle w:val="FontStyle13"/>
          <w:color w:val="000000"/>
          <w:sz w:val="24"/>
          <w:szCs w:val="24"/>
        </w:rPr>
        <w:t>В случае изменения статуса Страховщика и лиц, перечисленных в абзаце первом настоящего пункта, Страховщик обязан уведомить Заказчика в течение 3 (трех) рабочих дней. В случае неисполнения указанной обязанности, наступает ответственность в соответствии с п. 6.5 Контракта.</w:t>
      </w:r>
    </w:p>
    <w:p>
      <w:pPr>
        <w:pStyle w:val="NoSpacing"/>
        <w:suppressLineNumbers/>
        <w:tabs>
          <w:tab w:val="clear" w:pos="709"/>
          <w:tab w:val="left" w:pos="0" w:leader="none"/>
        </w:tabs>
        <w:ind w:firstLine="709"/>
        <w:jc w:val="both"/>
        <w:rPr>
          <w:rStyle w:val="FontStyle13"/>
          <w:sz w:val="24"/>
          <w:szCs w:val="24"/>
        </w:rPr>
      </w:pPr>
      <w:r>
        <w:rPr>
          <w:rStyle w:val="FontStyle13"/>
          <w:sz w:val="24"/>
          <w:szCs w:val="24"/>
          <w:lang w:eastAsia="ru-RU"/>
        </w:rPr>
        <w:t>10.10. Подписывая Декларацию о соответствии единым требованиям, предъявляемым к участникам закупки (Приложение № 6 к Контракту), являющейся неотъемлемой частью Контракта, Страховщик подтверждает соответствие единым требованиям, установленным статьей 31 Закона № 44-ФЗ.</w:t>
      </w:r>
    </w:p>
    <w:p>
      <w:pPr>
        <w:pStyle w:val="ConsNormal"/>
        <w:keepLines/>
        <w:widowControl/>
        <w:suppressLineNumbers/>
        <w:tabs>
          <w:tab w:val="clear" w:pos="709"/>
          <w:tab w:val="left" w:pos="0" w:leader="none"/>
        </w:tabs>
        <w:ind w:right="0" w:firstLine="720"/>
        <w:jc w:val="both"/>
        <w:rPr>
          <w:rFonts w:ascii="Times New Roman" w:hAnsi="Times New Roman" w:cs="Times New Roman"/>
          <w:sz w:val="24"/>
          <w:szCs w:val="24"/>
        </w:rPr>
      </w:pPr>
      <w:r>
        <w:rPr>
          <w:rFonts w:cs="Times New Roman" w:ascii="Times New Roman" w:hAnsi="Times New Roman"/>
          <w:sz w:val="24"/>
          <w:szCs w:val="24"/>
        </w:rPr>
        <w:t>10.10.</w:t>
        <w:tab/>
      </w:r>
      <w:r>
        <w:rPr>
          <w:rFonts w:cs="Times New Roman" w:ascii="Times New Roman" w:hAnsi="Times New Roman"/>
          <w:sz w:val="24"/>
          <w:szCs w:val="24"/>
          <w:lang w:eastAsia="ru-RU"/>
        </w:rPr>
        <w:t>Контракт составлен в форме электронного документа, подписанного усиленными подписями Сторон.</w:t>
      </w:r>
      <w:r>
        <w:rPr>
          <w:rStyle w:val="Style19"/>
          <w:rFonts w:cs="Times New Roman"/>
          <w:sz w:val="24"/>
          <w:szCs w:val="24"/>
          <w:lang w:eastAsia="ru-RU"/>
        </w:rPr>
        <w:footnoteReference w:id="5"/>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Normal"/>
        <w:keepLines/>
        <w:widowControl/>
        <w:suppressLineNumbers/>
        <w:tabs>
          <w:tab w:val="clear" w:pos="709"/>
          <w:tab w:val="left" w:pos="0" w:leader="none"/>
        </w:tabs>
        <w:ind w:right="0" w:hanging="0"/>
        <w:jc w:val="center"/>
        <w:rPr>
          <w:rFonts w:ascii="Times New Roman" w:hAnsi="Times New Roman" w:cs="Times New Roman"/>
          <w:sz w:val="24"/>
          <w:szCs w:val="24"/>
        </w:rPr>
      </w:pPr>
      <w:r>
        <w:rPr>
          <w:rFonts w:cs="Times New Roman" w:ascii="Times New Roman" w:hAnsi="Times New Roman"/>
          <w:b/>
          <w:sz w:val="24"/>
          <w:szCs w:val="24"/>
        </w:rPr>
        <w:t>11. ПЕРЕЧЕНЬ ПРИЛОЖЕНИЙ</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t>11.1. Неотъемлемой частью Контракта являются следующие приложения:</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rPr>
        <w:t>11.1.1. Техническое задание на оказание услуг по обязательному государственному страхованию жизни и здоровья работников федеральной противопожарной службы Государственной противопожарной службы Главного управления МЧС России по Иркутской области, приложение № 1;</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t>11.1.2. Акт экспертизы исполнения контракта (образец), приложение № 2;</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11.1.3. Акт </w:t>
      </w:r>
      <w:r>
        <w:rPr>
          <w:rFonts w:cs="Times New Roman" w:ascii="Times New Roman" w:hAnsi="Times New Roman"/>
          <w:bCs/>
          <w:sz w:val="24"/>
          <w:szCs w:val="24"/>
        </w:rPr>
        <w:t>приема-передачи полиса</w:t>
      </w:r>
      <w:r>
        <w:rPr>
          <w:rFonts w:cs="Times New Roman" w:ascii="Times New Roman" w:hAnsi="Times New Roman"/>
          <w:sz w:val="24"/>
          <w:szCs w:val="24"/>
          <w:lang w:eastAsia="ru-RU"/>
        </w:rPr>
        <w:t xml:space="preserve"> (образец), приложение № 3;</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t>11.1.4. Список Застрахованных лиц (образец заявки), приложение № 4;</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t>11.1.5. Заявление на внесение изменений в список Застрахованных лиц (образец), приложение № 5;</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lang w:eastAsia="ru-RU"/>
        </w:rPr>
        <w:t>11.1.6. Декларация о соответствии единым требованиям, предъявляемым к участникам закупки, приложение № 6 (образец).</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lang w:eastAsia="ru-RU"/>
        </w:rPr>
        <w:t>11.1.7.</w:t>
      </w:r>
      <w:r>
        <w:rPr>
          <w:rFonts w:cs="Times New Roman" w:ascii="Times New Roman" w:hAnsi="Times New Roman"/>
          <w:sz w:val="24"/>
          <w:szCs w:val="24"/>
        </w:rPr>
        <w:t xml:space="preserve"> </w:t>
      </w:r>
      <w:r>
        <w:rPr>
          <w:rFonts w:cs="Times New Roman" w:ascii="Times New Roman" w:hAnsi="Times New Roman"/>
          <w:sz w:val="24"/>
          <w:szCs w:val="24"/>
          <w:lang w:eastAsia="ru-RU"/>
        </w:rPr>
        <w:t>Правила страхования, приложение № 7.</w:t>
      </w:r>
    </w:p>
    <w:p>
      <w:pPr>
        <w:pStyle w:val="Normal"/>
        <w:tabs>
          <w:tab w:val="clear" w:pos="709"/>
          <w:tab w:val="left" w:pos="1260" w:leader="none"/>
        </w:tabs>
        <w:ind w:left="658" w:hanging="0"/>
        <w:jc w:val="both"/>
        <w:rPr/>
      </w:pPr>
      <w:r>
        <w:rPr/>
      </w:r>
    </w:p>
    <w:p>
      <w:pPr>
        <w:pStyle w:val="Normal"/>
        <w:shd w:val="clear" w:color="auto" w:fill="FFFFFF"/>
        <w:jc w:val="center"/>
        <w:rPr>
          <w:b/>
          <w:b/>
          <w:color w:val="22272F"/>
        </w:rPr>
      </w:pPr>
      <w:r>
        <w:rPr>
          <w:b/>
          <w:color w:val="22272F"/>
        </w:rPr>
      </w:r>
    </w:p>
    <w:p>
      <w:pPr>
        <w:pStyle w:val="Normal"/>
        <w:shd w:val="clear" w:color="auto" w:fill="FFFFFF"/>
        <w:jc w:val="center"/>
        <w:rPr>
          <w:b/>
          <w:b/>
          <w:color w:val="22272F"/>
        </w:rPr>
      </w:pPr>
      <w:r>
        <w:rPr>
          <w:b/>
          <w:color w:val="22272F"/>
        </w:rPr>
      </w:r>
    </w:p>
    <w:p>
      <w:pPr>
        <w:pStyle w:val="Normal"/>
        <w:shd w:val="clear" w:color="auto" w:fill="FFFFFF"/>
        <w:jc w:val="center"/>
        <w:rPr>
          <w:b/>
          <w:b/>
          <w:color w:val="22272F"/>
        </w:rPr>
      </w:pPr>
      <w:r>
        <w:rPr>
          <w:b/>
          <w:color w:val="22272F"/>
        </w:rPr>
      </w:r>
    </w:p>
    <w:p>
      <w:pPr>
        <w:pStyle w:val="Normal"/>
        <w:shd w:val="clear" w:color="auto" w:fill="FFFFFF"/>
        <w:jc w:val="center"/>
        <w:rPr>
          <w:b/>
          <w:b/>
          <w:color w:val="22272F"/>
        </w:rPr>
      </w:pPr>
      <w:r>
        <w:rPr>
          <w:b/>
          <w:color w:val="22272F"/>
        </w:rPr>
      </w:r>
    </w:p>
    <w:p>
      <w:pPr>
        <w:pStyle w:val="Normal"/>
        <w:shd w:val="clear" w:color="auto" w:fill="FFFFFF"/>
        <w:jc w:val="center"/>
        <w:rPr>
          <w:b/>
          <w:b/>
          <w:color w:val="22272F"/>
        </w:rPr>
      </w:pPr>
      <w:r>
        <w:rPr>
          <w:b/>
          <w:color w:val="22272F"/>
        </w:rPr>
      </w:r>
    </w:p>
    <w:p>
      <w:pPr>
        <w:pStyle w:val="Normal"/>
        <w:shd w:val="clear" w:color="auto" w:fill="FFFFFF"/>
        <w:jc w:val="center"/>
        <w:rPr>
          <w:b/>
          <w:b/>
          <w:color w:val="22272F"/>
        </w:rPr>
      </w:pPr>
      <w:r>
        <w:rPr>
          <w:b/>
          <w:color w:val="22272F"/>
        </w:rPr>
      </w:r>
    </w:p>
    <w:p>
      <w:pPr>
        <w:pStyle w:val="Normal"/>
        <w:shd w:val="clear" w:color="auto" w:fill="FFFFFF"/>
        <w:jc w:val="center"/>
        <w:rPr>
          <w:b/>
          <w:b/>
          <w:color w:val="22272F"/>
        </w:rPr>
      </w:pPr>
      <w:r>
        <w:rPr>
          <w:b/>
          <w:color w:val="22272F"/>
        </w:rPr>
        <w:t>12. АДРЕСА И БАНКОВСКИЕ РЕКВИЗИТЫ СТОРОН</w:t>
      </w:r>
    </w:p>
    <w:p>
      <w:pPr>
        <w:pStyle w:val="Normal"/>
        <w:shd w:val="clear" w:color="auto" w:fill="FFFFFF"/>
        <w:jc w:val="center"/>
        <w:rPr/>
      </w:pPr>
      <w:r>
        <w:rPr/>
      </w:r>
    </w:p>
    <w:tbl>
      <w:tblPr>
        <w:tblW w:w="9654" w:type="dxa"/>
        <w:jc w:val="left"/>
        <w:tblInd w:w="0" w:type="dxa"/>
        <w:tblLayout w:type="fixed"/>
        <w:tblCellMar>
          <w:top w:w="15" w:type="dxa"/>
          <w:left w:w="15" w:type="dxa"/>
          <w:bottom w:w="15" w:type="dxa"/>
          <w:right w:w="15" w:type="dxa"/>
        </w:tblCellMar>
        <w:tblLook w:noVBand="1" w:val="04a0" w:noHBand="0" w:lastColumn="0" w:firstColumn="1" w:lastRow="0" w:firstRow="1"/>
      </w:tblPr>
      <w:tblGrid>
        <w:gridCol w:w="4882"/>
        <w:gridCol w:w="4771"/>
      </w:tblGrid>
      <w:tr>
        <w:trPr/>
        <w:tc>
          <w:tcPr>
            <w:tcW w:w="4882" w:type="dxa"/>
            <w:tcBorders/>
            <w:shd w:color="auto" w:fill="FFFFFF" w:val="clear"/>
          </w:tcPr>
          <w:p>
            <w:pPr>
              <w:pStyle w:val="Normal"/>
              <w:widowControl w:val="false"/>
              <w:rPr>
                <w:color w:val="000000"/>
              </w:rPr>
            </w:pPr>
            <w:r>
              <w:rPr>
                <w:color w:val="000000"/>
              </w:rPr>
              <w:t>СТРАХОВАТЕЛЬ:</w:t>
            </w:r>
          </w:p>
        </w:tc>
        <w:tc>
          <w:tcPr>
            <w:tcW w:w="4771" w:type="dxa"/>
            <w:tcBorders/>
            <w:shd w:color="auto" w:fill="FFFFFF" w:val="clear"/>
          </w:tcPr>
          <w:p>
            <w:pPr>
              <w:pStyle w:val="Normal"/>
              <w:widowControl w:val="false"/>
              <w:rPr>
                <w:color w:val="000000"/>
              </w:rPr>
            </w:pPr>
            <w:r>
              <w:rPr>
                <w:color w:val="000000"/>
              </w:rPr>
              <w:t>СТРАХОВЩИК:</w:t>
            </w:r>
          </w:p>
        </w:tc>
      </w:tr>
      <w:tr>
        <w:trPr/>
        <w:tc>
          <w:tcPr>
            <w:tcW w:w="4882" w:type="dxa"/>
            <w:tcBorders/>
            <w:shd w:color="auto" w:fill="FFFFFF" w:val="clear"/>
          </w:tcPr>
          <w:p>
            <w:pPr>
              <w:pStyle w:val="Normal"/>
              <w:widowControl w:val="false"/>
              <w:rPr>
                <w:color w:val="000000"/>
              </w:rPr>
            </w:pPr>
            <w:r>
              <w:rPr>
                <w:color w:val="000000"/>
              </w:rPr>
              <w:t>Главное управление МЧС России по Иркутской области</w:t>
            </w:r>
          </w:p>
        </w:tc>
        <w:tc>
          <w:tcPr>
            <w:tcW w:w="4771" w:type="dxa"/>
            <w:tcBorders/>
            <w:shd w:color="auto" w:fill="FFFFFF" w:val="clear"/>
          </w:tcPr>
          <w:p>
            <w:pPr>
              <w:pStyle w:val="Normal"/>
              <w:widowControl w:val="false"/>
              <w:rPr>
                <w:color w:val="000000"/>
              </w:rPr>
            </w:pPr>
            <w:r>
              <w:rPr>
                <w:color w:val="000000"/>
              </w:rPr>
            </w:r>
          </w:p>
        </w:tc>
      </w:tr>
      <w:tr>
        <w:trPr/>
        <w:tc>
          <w:tcPr>
            <w:tcW w:w="4882" w:type="dxa"/>
            <w:tcBorders/>
            <w:shd w:color="auto" w:fill="FFFFFF" w:val="clear"/>
          </w:tcPr>
          <w:p>
            <w:pPr>
              <w:pStyle w:val="Normal"/>
              <w:widowControl w:val="false"/>
              <w:rPr/>
            </w:pPr>
            <w:r>
              <w:rPr>
                <w:color w:val="000000"/>
              </w:rPr>
              <w:t>Юридический адрес:</w:t>
            </w:r>
          </w:p>
          <w:p>
            <w:pPr>
              <w:pStyle w:val="Normal"/>
              <w:widowControl w:val="false"/>
              <w:rPr/>
            </w:pPr>
            <w:r>
              <w:rPr>
                <w:color w:val="000000"/>
              </w:rPr>
              <w:t>664003, Иркутская область, г. Иркутск, ул. Красноармейская, 15</w:t>
            </w:r>
          </w:p>
          <w:p>
            <w:pPr>
              <w:pStyle w:val="Normal"/>
              <w:widowControl w:val="false"/>
              <w:rPr/>
            </w:pPr>
            <w:r>
              <w:rPr>
                <w:color w:val="000000"/>
              </w:rPr>
              <w:t>ОГРН 1083808012705; ИНН 3808184080;</w:t>
            </w:r>
          </w:p>
          <w:p>
            <w:pPr>
              <w:pStyle w:val="Normal"/>
              <w:widowControl w:val="false"/>
              <w:rPr/>
            </w:pPr>
            <w:r>
              <w:rPr>
                <w:color w:val="000000"/>
              </w:rPr>
              <w:t>КПП 380801001; ОКТМО 25701000</w:t>
            </w:r>
          </w:p>
          <w:p>
            <w:pPr>
              <w:pStyle w:val="Normal"/>
              <w:widowControl w:val="false"/>
              <w:rPr/>
            </w:pPr>
            <w:r>
              <w:rPr>
                <w:color w:val="000000"/>
              </w:rPr>
              <w:t>Наименование банка: ОКЦ № 1 ДГУ БАНКА РОССИИ//УФК по Приморскому краю,</w:t>
            </w:r>
          </w:p>
          <w:p>
            <w:pPr>
              <w:pStyle w:val="Normal"/>
              <w:widowControl w:val="false"/>
              <w:rPr/>
            </w:pPr>
            <w:r>
              <w:rPr>
                <w:color w:val="000000"/>
              </w:rPr>
              <w:t>г. Владивосток</w:t>
            </w:r>
          </w:p>
          <w:p>
            <w:pPr>
              <w:pStyle w:val="Normal"/>
              <w:widowControl w:val="false"/>
              <w:rPr/>
            </w:pPr>
            <w:r>
              <w:rPr>
                <w:color w:val="000000"/>
              </w:rPr>
              <w:t>Наименование получателя: УФК по Иркутской области (Главное управление МЧС России по Иркутской области л/с 03341885010)</w:t>
            </w:r>
          </w:p>
          <w:p>
            <w:pPr>
              <w:pStyle w:val="Normal"/>
              <w:widowControl w:val="false"/>
              <w:rPr/>
            </w:pPr>
            <w:r>
              <w:rPr>
                <w:color w:val="000000"/>
              </w:rPr>
              <w:t>Единый казначейский счет:</w:t>
            </w:r>
          </w:p>
          <w:p>
            <w:pPr>
              <w:pStyle w:val="Normal"/>
              <w:widowControl w:val="false"/>
              <w:rPr/>
            </w:pPr>
            <w:r>
              <w:rPr>
                <w:color w:val="000000"/>
              </w:rPr>
              <w:t>40102810545370000012</w:t>
            </w:r>
          </w:p>
          <w:p>
            <w:pPr>
              <w:pStyle w:val="Normal"/>
              <w:widowControl w:val="false"/>
              <w:rPr/>
            </w:pPr>
            <w:r>
              <w:rPr>
                <w:color w:val="000000"/>
              </w:rPr>
              <w:t>Казначейский счет:</w:t>
            </w:r>
          </w:p>
          <w:p>
            <w:pPr>
              <w:pStyle w:val="Normal"/>
              <w:widowControl w:val="false"/>
              <w:rPr/>
            </w:pPr>
            <w:r>
              <w:rPr>
                <w:color w:val="000000"/>
              </w:rPr>
              <w:t>03211643000000012010,</w:t>
            </w:r>
          </w:p>
          <w:p>
            <w:pPr>
              <w:pStyle w:val="Normal"/>
              <w:widowControl w:val="false"/>
              <w:rPr/>
            </w:pPr>
            <w:r>
              <w:rPr>
                <w:color w:val="000000"/>
              </w:rPr>
              <w:t>БИК 010507002</w:t>
            </w:r>
          </w:p>
          <w:p>
            <w:pPr>
              <w:pStyle w:val="Normal"/>
              <w:widowControl w:val="false"/>
              <w:rPr/>
            </w:pPr>
            <w:r>
              <w:rPr>
                <w:color w:val="000000"/>
              </w:rPr>
              <w:t>Адрес электронной почты:</w:t>
            </w:r>
          </w:p>
          <w:p>
            <w:pPr>
              <w:pStyle w:val="Normal"/>
              <w:widowControl w:val="false"/>
              <w:rPr/>
            </w:pPr>
            <w:r>
              <w:rPr>
                <w:color w:val="000000"/>
              </w:rPr>
              <w:t>E-mail: info@38.mchs.gov.ru</w:t>
            </w:r>
          </w:p>
          <w:p>
            <w:pPr>
              <w:pStyle w:val="Normal"/>
              <w:widowControl w:val="false"/>
              <w:rPr>
                <w:color w:val="000000"/>
              </w:rPr>
            </w:pPr>
            <w:r>
              <w:rPr>
                <w:color w:val="000000"/>
              </w:rPr>
              <w:t>Телефон: 8(3952) 453-235 (доб. 5177)</w:t>
            </w:r>
          </w:p>
        </w:tc>
        <w:tc>
          <w:tcPr>
            <w:tcW w:w="4771" w:type="dxa"/>
            <w:tcBorders/>
            <w:shd w:color="auto" w:fill="FFFFFF" w:val="clear"/>
          </w:tcPr>
          <w:p>
            <w:pPr>
              <w:pStyle w:val="Normal"/>
              <w:widowControl w:val="false"/>
              <w:rPr>
                <w:color w:val="000000"/>
              </w:rPr>
            </w:pPr>
            <w:r>
              <w:rPr>
                <w:color w:val="000000"/>
              </w:rPr>
              <w:t>Адрес местонахождения:</w:t>
            </w:r>
          </w:p>
          <w:p>
            <w:pPr>
              <w:pStyle w:val="Normal"/>
              <w:widowControl w:val="false"/>
              <w:rPr>
                <w:color w:val="000000"/>
              </w:rPr>
            </w:pPr>
            <w:r>
              <w:rPr>
                <w:color w:val="000000"/>
              </w:rPr>
            </w:r>
          </w:p>
          <w:p>
            <w:pPr>
              <w:pStyle w:val="Normal"/>
              <w:widowControl w:val="false"/>
              <w:rPr>
                <w:color w:val="000000"/>
              </w:rPr>
            </w:pPr>
            <w:r>
              <w:rPr>
                <w:color w:val="000000"/>
              </w:rPr>
              <w:t>ИНН</w:t>
            </w:r>
          </w:p>
          <w:p>
            <w:pPr>
              <w:pStyle w:val="Normal"/>
              <w:widowControl w:val="false"/>
              <w:rPr>
                <w:color w:val="000000"/>
              </w:rPr>
            </w:pPr>
            <w:r>
              <w:rPr>
                <w:color w:val="000000"/>
              </w:rPr>
              <w:t>КПП</w:t>
            </w:r>
          </w:p>
          <w:p>
            <w:pPr>
              <w:pStyle w:val="Normal"/>
              <w:widowControl w:val="false"/>
              <w:rPr>
                <w:color w:val="000000"/>
              </w:rPr>
            </w:pPr>
            <w:r>
              <w:rPr>
                <w:color w:val="000000"/>
              </w:rPr>
              <w:t>ОГРН</w:t>
            </w:r>
          </w:p>
          <w:p>
            <w:pPr>
              <w:pStyle w:val="Normal"/>
              <w:widowControl w:val="false"/>
              <w:rPr>
                <w:color w:val="000000"/>
              </w:rPr>
            </w:pPr>
            <w:r>
              <w:rPr>
                <w:color w:val="000000"/>
              </w:rPr>
              <w:t>Банковские реквизиты:</w:t>
            </w:r>
          </w:p>
          <w:p>
            <w:pPr>
              <w:pStyle w:val="Normal"/>
              <w:widowControl w:val="false"/>
              <w:rPr>
                <w:color w:val="000000"/>
              </w:rPr>
            </w:pPr>
            <w:r>
              <w:rPr>
                <w:color w:val="000000"/>
              </w:rPr>
            </w:r>
          </w:p>
          <w:p>
            <w:pPr>
              <w:pStyle w:val="Normal"/>
              <w:widowControl w:val="false"/>
              <w:rPr>
                <w:color w:val="000000"/>
              </w:rPr>
            </w:pPr>
            <w:r>
              <w:rPr>
                <w:color w:val="000000"/>
              </w:rPr>
              <w:t>р/с</w:t>
            </w:r>
          </w:p>
          <w:p>
            <w:pPr>
              <w:pStyle w:val="Normal"/>
              <w:widowControl w:val="false"/>
              <w:rPr>
                <w:color w:val="000000"/>
              </w:rPr>
            </w:pPr>
            <w:r>
              <w:rPr>
                <w:color w:val="000000"/>
              </w:rPr>
              <w:t>к/с</w:t>
            </w:r>
          </w:p>
          <w:p>
            <w:pPr>
              <w:pStyle w:val="Normal"/>
              <w:widowControl w:val="false"/>
              <w:rPr/>
            </w:pPr>
            <w:r>
              <w:fldChar w:fldCharType="begin"/>
            </w:r>
            <w:r>
              <w:rPr>
                <w:color w:val="000000"/>
              </w:rPr>
              <w:instrText> HYPERLINK "https://demo.garant.ru/" \l "/document/555333/entry/0"</w:instrText>
            </w:r>
            <w:r>
              <w:rPr>
                <w:color w:val="000000"/>
              </w:rPr>
              <w:fldChar w:fldCharType="separate"/>
            </w:r>
            <w:r>
              <w:rPr>
                <w:color w:val="000000"/>
              </w:rPr>
              <w:t>БИК</w:t>
            </w:r>
            <w:r>
              <w:rPr>
                <w:color w:val="000000"/>
              </w:rPr>
              <w:fldChar w:fldCharType="end"/>
            </w:r>
          </w:p>
          <w:p>
            <w:pPr>
              <w:pStyle w:val="Normal"/>
              <w:widowControl w:val="false"/>
              <w:rPr/>
            </w:pPr>
            <w:r>
              <w:fldChar w:fldCharType="begin"/>
            </w:r>
            <w:r>
              <w:rPr>
                <w:color w:val="000000"/>
              </w:rPr>
              <w:instrText> HYPERLINK "https://demo.garant.ru/" \l "/document/70465940/entry/0"</w:instrText>
            </w:r>
            <w:r>
              <w:rPr>
                <w:color w:val="000000"/>
              </w:rPr>
              <w:fldChar w:fldCharType="separate"/>
            </w:r>
            <w:r>
              <w:rPr>
                <w:color w:val="000000"/>
              </w:rPr>
              <w:t>ОКТМО</w:t>
            </w:r>
            <w:r>
              <w:rPr>
                <w:color w:val="000000"/>
              </w:rPr>
              <w:fldChar w:fldCharType="end"/>
            </w:r>
            <w:r>
              <w:rPr>
                <w:color w:val="000000"/>
              </w:rPr>
              <w:t xml:space="preserve"> </w:t>
              <w:br/>
              <w:t>Адрес электронной почты:</w:t>
            </w:r>
          </w:p>
          <w:p>
            <w:pPr>
              <w:pStyle w:val="Normal"/>
              <w:widowControl w:val="false"/>
              <w:rPr>
                <w:color w:val="000000"/>
              </w:rPr>
            </w:pPr>
            <w:r>
              <w:rPr>
                <w:color w:val="000000"/>
              </w:rPr>
            </w:r>
          </w:p>
          <w:p>
            <w:pPr>
              <w:pStyle w:val="Normal"/>
              <w:widowControl w:val="false"/>
              <w:rPr>
                <w:color w:val="000000"/>
              </w:rPr>
            </w:pPr>
            <w:r>
              <w:rPr>
                <w:color w:val="000000"/>
              </w:rPr>
              <w:t>Телефон: +7(____) _________</w:t>
            </w:r>
          </w:p>
          <w:p>
            <w:pPr>
              <w:pStyle w:val="Normal"/>
              <w:widowControl w:val="false"/>
              <w:rPr>
                <w:color w:val="000000"/>
              </w:rPr>
            </w:pPr>
            <w:r>
              <w:rPr>
                <w:color w:val="000000"/>
              </w:rPr>
            </w:r>
          </w:p>
          <w:p>
            <w:pPr>
              <w:pStyle w:val="Normal"/>
              <w:widowControl w:val="false"/>
              <w:jc w:val="center"/>
              <w:rPr>
                <w:color w:val="000000"/>
              </w:rPr>
            </w:pPr>
            <w:r>
              <w:rPr>
                <w:color w:val="000000"/>
              </w:rPr>
            </w:r>
          </w:p>
        </w:tc>
      </w:tr>
      <w:tr>
        <w:trPr/>
        <w:tc>
          <w:tcPr>
            <w:tcW w:w="4882" w:type="dxa"/>
            <w:tcBorders/>
            <w:shd w:color="auto" w:fill="FFFFFF" w:val="clear"/>
          </w:tcPr>
          <w:p>
            <w:pPr>
              <w:pStyle w:val="Normal"/>
              <w:widowControl w:val="false"/>
              <w:rPr>
                <w:color w:val="000000"/>
              </w:rPr>
            </w:pPr>
            <w:r>
              <w:rPr>
                <w:color w:val="000000"/>
              </w:rPr>
              <w:t>СТРАХОВАТЕЛЬ:</w:t>
            </w:r>
          </w:p>
          <w:p>
            <w:pPr>
              <w:pStyle w:val="Normal"/>
              <w:widowControl w:val="false"/>
              <w:rPr>
                <w:color w:val="000000"/>
              </w:rPr>
            </w:pPr>
            <w:r>
              <w:rPr>
                <w:color w:val="000000"/>
              </w:rPr>
            </w:r>
          </w:p>
          <w:p>
            <w:pPr>
              <w:pStyle w:val="Normal"/>
              <w:widowControl w:val="false"/>
              <w:rPr>
                <w:color w:val="000000"/>
              </w:rPr>
            </w:pPr>
            <w:r>
              <w:rPr>
                <w:color w:val="000000"/>
              </w:rPr>
              <w:t>______________/_____________/</w:t>
            </w:r>
          </w:p>
          <w:p>
            <w:pPr>
              <w:pStyle w:val="Normal"/>
              <w:widowControl w:val="false"/>
              <w:jc w:val="center"/>
              <w:rPr>
                <w:color w:val="000000"/>
              </w:rPr>
            </w:pPr>
            <w:r>
              <w:rPr>
                <w:color w:val="000000"/>
              </w:rPr>
            </w:r>
          </w:p>
        </w:tc>
        <w:tc>
          <w:tcPr>
            <w:tcW w:w="4771" w:type="dxa"/>
            <w:tcBorders/>
            <w:shd w:color="auto" w:fill="FFFFFF" w:val="clear"/>
          </w:tcPr>
          <w:p>
            <w:pPr>
              <w:pStyle w:val="Normal"/>
              <w:widowControl w:val="false"/>
              <w:rPr>
                <w:color w:val="000000"/>
              </w:rPr>
            </w:pPr>
            <w:r>
              <w:rPr>
                <w:color w:val="000000"/>
              </w:rPr>
              <w:t>СТРАХОВЩИК:</w:t>
            </w:r>
          </w:p>
          <w:p>
            <w:pPr>
              <w:pStyle w:val="Normal"/>
              <w:widowControl w:val="false"/>
              <w:rPr>
                <w:color w:val="000000"/>
              </w:rPr>
            </w:pPr>
            <w:r>
              <w:rPr>
                <w:color w:val="000000"/>
              </w:rPr>
            </w:r>
          </w:p>
          <w:p>
            <w:pPr>
              <w:pStyle w:val="Normal"/>
              <w:widowControl w:val="false"/>
              <w:rPr>
                <w:color w:val="000000"/>
              </w:rPr>
            </w:pPr>
            <w:r>
              <w:rPr>
                <w:color w:val="000000"/>
              </w:rPr>
              <w:t>________________ /________________/</w:t>
            </w:r>
          </w:p>
          <w:p>
            <w:pPr>
              <w:pStyle w:val="Normal"/>
              <w:widowControl w:val="false"/>
              <w:jc w:val="center"/>
              <w:rPr>
                <w:color w:val="000000"/>
              </w:rPr>
            </w:pPr>
            <w:r>
              <w:rPr>
                <w:color w:val="000000"/>
              </w:rPr>
            </w:r>
          </w:p>
          <w:p>
            <w:pPr>
              <w:pStyle w:val="Normal"/>
              <w:widowControl w:val="false"/>
              <w:jc w:val="center"/>
              <w:rPr>
                <w:color w:val="000000"/>
              </w:rPr>
            </w:pPr>
            <w:r>
              <w:rPr>
                <w:color w:val="000000"/>
              </w:rPr>
            </w:r>
          </w:p>
        </w:tc>
      </w:tr>
    </w:tbl>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rPr>
          <w:rFonts w:ascii="Times New Roman" w:hAnsi="Times New Roman" w:cs="Times New Roman"/>
          <w:sz w:val="24"/>
          <w:szCs w:val="24"/>
          <w:shd w:fill="FFFF00" w:val="clear"/>
        </w:rPr>
      </w:pPr>
      <w:r>
        <w:rPr>
          <w:rFonts w:cs="Times New Roman" w:ascii="Times New Roman" w:hAnsi="Times New Roman"/>
          <w:sz w:val="24"/>
          <w:szCs w:val="24"/>
          <w:shd w:fill="FFFF00" w:val="clear"/>
        </w:rPr>
      </w:r>
    </w:p>
    <w:p>
      <w:pPr>
        <w:pStyle w:val="NoSpacing"/>
        <w:jc w:val="right"/>
        <w:rPr>
          <w:rFonts w:ascii="Times New Roman" w:hAnsi="Times New Roman" w:cs="Times New Roman"/>
          <w:sz w:val="24"/>
          <w:szCs w:val="24"/>
        </w:rPr>
      </w:pPr>
      <w:r>
        <w:rPr>
          <w:rFonts w:cs="Times New Roman" w:ascii="Times New Roman" w:hAnsi="Times New Roman"/>
          <w:sz w:val="24"/>
          <w:szCs w:val="24"/>
        </w:rPr>
        <w:t>Приложение № 1</w:t>
        <w:br/>
        <w:t>к государственному контракту</w:t>
        <w:br/>
        <w:t>от _____   ____________ 2026 г. № _____</w:t>
      </w:r>
    </w:p>
    <w:p>
      <w:pPr>
        <w:pStyle w:val="NoSpacing"/>
        <w:ind w:firstLine="709"/>
        <w:jc w:val="center"/>
        <w:rPr>
          <w:rFonts w:ascii="Times New Roman" w:hAnsi="Times New Roman" w:cs="Times New Roman"/>
          <w:b/>
          <w:b/>
          <w:bCs/>
          <w:sz w:val="24"/>
          <w:szCs w:val="24"/>
          <w:shd w:fill="FFFF00" w:val="clear"/>
        </w:rPr>
      </w:pPr>
      <w:r>
        <w:rPr>
          <w:rFonts w:cs="Times New Roman" w:ascii="Times New Roman" w:hAnsi="Times New Roman"/>
          <w:b/>
          <w:bCs/>
          <w:sz w:val="24"/>
          <w:szCs w:val="24"/>
          <w:shd w:fill="FFFF00" w:val="clear"/>
        </w:rPr>
      </w:r>
    </w:p>
    <w:p>
      <w:pPr>
        <w:pStyle w:val="Normal"/>
        <w:widowControl w:val="false"/>
        <w:jc w:val="center"/>
        <w:rPr/>
      </w:pPr>
      <w:r>
        <w:rPr>
          <w:b/>
        </w:rPr>
        <w:t>ТЕХНИЧЕСКОЕ ЗАДАНИЕ</w:t>
      </w:r>
    </w:p>
    <w:p>
      <w:pPr>
        <w:pStyle w:val="Style45"/>
        <w:tabs>
          <w:tab w:val="clear" w:pos="709"/>
          <w:tab w:val="right" w:pos="9639" w:leader="none"/>
        </w:tabs>
        <w:spacing w:before="0" w:after="0"/>
        <w:ind w:left="283" w:right="-1" w:hanging="0"/>
        <w:jc w:val="center"/>
        <w:rPr>
          <w:b/>
          <w:b/>
        </w:rPr>
      </w:pPr>
      <w:r>
        <w:rPr>
          <w:b/>
        </w:rPr>
        <w:t xml:space="preserve">на оказание услуг по обязательному государственному страхованию жизни и здоровья работников федеральной противопожарной службы Государственной противопожарной службы </w:t>
      </w:r>
      <w:bookmarkStart w:id="4" w:name="_GoBack"/>
      <w:bookmarkEnd w:id="4"/>
      <w:r>
        <w:rPr>
          <w:b/>
        </w:rPr>
        <w:t>Главного управления МЧС России по Иркутской области</w:t>
      </w:r>
    </w:p>
    <w:p>
      <w:pPr>
        <w:pStyle w:val="Normal"/>
        <w:widowControl w:val="false"/>
        <w:rPr/>
      </w:pPr>
      <w:r>
        <w:rPr/>
      </w:r>
    </w:p>
    <w:p>
      <w:pPr>
        <w:pStyle w:val="Normal"/>
        <w:widowControl w:val="false"/>
        <w:ind w:firstLine="567"/>
        <w:jc w:val="both"/>
        <w:rPr/>
      </w:pPr>
      <w:r>
        <w:rPr>
          <w:b/>
        </w:rPr>
        <w:t>1. Общие требования:</w:t>
      </w:r>
    </w:p>
    <w:p>
      <w:pPr>
        <w:pStyle w:val="Normal"/>
        <w:widowControl w:val="false"/>
        <w:ind w:firstLine="567"/>
        <w:jc w:val="both"/>
        <w:rPr/>
      </w:pPr>
      <w:r>
        <w:rPr>
          <w:b/>
        </w:rPr>
        <w:t>1.1. Код (коды) по Общероссийскому классификатору продукции по видам экономической деятельности и наименование услуг:</w:t>
      </w:r>
    </w:p>
    <w:p>
      <w:pPr>
        <w:pStyle w:val="Normal"/>
        <w:widowControl w:val="false"/>
        <w:ind w:firstLine="567"/>
        <w:jc w:val="both"/>
        <w:rPr/>
      </w:pPr>
      <w:r>
        <w:rPr/>
        <w:t xml:space="preserve">Код ОКПД 2: 65.11.10.110 – Услуги по страхованию жизни на случай смерти, дожития до определенного возраста или срока либо наступления иного события. </w:t>
      </w:r>
    </w:p>
    <w:p>
      <w:pPr>
        <w:pStyle w:val="Normal"/>
        <w:widowControl w:val="false"/>
        <w:ind w:firstLine="567"/>
        <w:jc w:val="both"/>
        <w:rPr/>
      </w:pPr>
      <w:r>
        <w:rPr/>
        <w:t>Код КТРУ: отсутствует.</w:t>
      </w:r>
    </w:p>
    <w:p>
      <w:pPr>
        <w:pStyle w:val="Normal"/>
        <w:widowControl w:val="false"/>
        <w:ind w:firstLine="567"/>
        <w:jc w:val="both"/>
        <w:rPr/>
      </w:pPr>
      <w:r>
        <w:rPr/>
        <w:t>Наименование услуг: оказание услуг по государственному страхованию жизни и здоровья работников федеральной противопожарной службы Государственной противопожарной службы Главного управления МЧС России по Иркутской области (далее – услуги).</w:t>
      </w:r>
    </w:p>
    <w:p>
      <w:pPr>
        <w:pStyle w:val="Normal"/>
        <w:widowControl w:val="false"/>
        <w:ind w:firstLine="567"/>
        <w:jc w:val="both"/>
        <w:rPr/>
      </w:pPr>
      <w:r>
        <w:rPr>
          <w:b/>
        </w:rPr>
        <w:t xml:space="preserve">1.2. Цели и правовое основание для оказания услуг </w:t>
      </w:r>
    </w:p>
    <w:p>
      <w:pPr>
        <w:pStyle w:val="Normal"/>
        <w:widowControl w:val="false"/>
        <w:ind w:firstLine="567"/>
        <w:jc w:val="both"/>
        <w:rPr/>
      </w:pPr>
      <w:r>
        <w:rPr/>
        <w:t>1. Целями данной закупки является обеспечение деятельности Главного управления                 МЧС России по Иркутской области.</w:t>
      </w:r>
    </w:p>
    <w:p>
      <w:pPr>
        <w:pStyle w:val="Normal"/>
        <w:widowControl w:val="false"/>
        <w:ind w:firstLine="567"/>
        <w:jc w:val="both"/>
        <w:rPr/>
      </w:pPr>
      <w:r>
        <w:rPr/>
        <w:t>Основанием для закупки услуг является план-график закупок Главного управления                   МЧС России по Иркутской области на 2026-2028 год.</w:t>
      </w:r>
    </w:p>
    <w:p>
      <w:pPr>
        <w:pStyle w:val="Normal"/>
        <w:widowControl w:val="false"/>
        <w:ind w:firstLine="567"/>
        <w:jc w:val="both"/>
        <w:rPr/>
      </w:pPr>
      <w:r>
        <w:rPr>
          <w:b/>
        </w:rPr>
        <w:t>2. Требования к описанию объекта закупки и условия оказания услуг, исполнения государственного контракта:</w:t>
      </w:r>
    </w:p>
    <w:tbl>
      <w:tblPr>
        <w:tblW w:w="10221" w:type="dxa"/>
        <w:jc w:val="left"/>
        <w:tblInd w:w="-10" w:type="dxa"/>
        <w:tblLayout w:type="fixed"/>
        <w:tblCellMar>
          <w:top w:w="0" w:type="dxa"/>
          <w:left w:w="5" w:type="dxa"/>
          <w:bottom w:w="0" w:type="dxa"/>
          <w:right w:w="5" w:type="dxa"/>
        </w:tblCellMar>
        <w:tblLook w:noVBand="0" w:val="0000" w:noHBand="0" w:lastColumn="0" w:firstColumn="0" w:lastRow="0" w:firstRow="0"/>
      </w:tblPr>
      <w:tblGrid>
        <w:gridCol w:w="449"/>
        <w:gridCol w:w="4952"/>
        <w:gridCol w:w="993"/>
        <w:gridCol w:w="850"/>
        <w:gridCol w:w="993"/>
        <w:gridCol w:w="991"/>
        <w:gridCol w:w="992"/>
      </w:tblGrid>
      <w:tr>
        <w:trPr/>
        <w:tc>
          <w:tcPr>
            <w:tcW w:w="449" w:type="dxa"/>
            <w:tcBorders>
              <w:top w:val="single" w:sz="4" w:space="0" w:color="000000"/>
              <w:left w:val="single" w:sz="4" w:space="0" w:color="000000"/>
              <w:bottom w:val="single" w:sz="4" w:space="0" w:color="000000"/>
              <w:right w:val="single" w:sz="4" w:space="0" w:color="000000"/>
            </w:tcBorders>
            <w:shd w:color="auto" w:fill="auto" w:val="clear"/>
          </w:tcPr>
          <w:p>
            <w:pPr>
              <w:pStyle w:val="Style39"/>
              <w:widowControl w:val="false"/>
              <w:jc w:val="center"/>
              <w:rPr/>
            </w:pPr>
            <w:r>
              <w:rPr/>
              <w:t xml:space="preserve">№  </w:t>
            </w:r>
            <w:r>
              <w:rPr/>
              <w:t>п/п</w:t>
            </w:r>
          </w:p>
        </w:tc>
        <w:tc>
          <w:tcPr>
            <w:tcW w:w="4952" w:type="dxa"/>
            <w:tcBorders>
              <w:top w:val="single" w:sz="4" w:space="0" w:color="000000"/>
              <w:left w:val="single" w:sz="4" w:space="0" w:color="000000"/>
              <w:bottom w:val="single" w:sz="4" w:space="0" w:color="000000"/>
              <w:right w:val="single" w:sz="4" w:space="0" w:color="000000"/>
            </w:tcBorders>
            <w:shd w:color="auto" w:fill="auto" w:val="clear"/>
          </w:tcPr>
          <w:p>
            <w:pPr>
              <w:pStyle w:val="Style39"/>
              <w:widowControl w:val="false"/>
              <w:jc w:val="center"/>
              <w:rPr/>
            </w:pPr>
            <w:r>
              <w:rPr/>
              <w:t>Наименование услуг</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Style39"/>
              <w:widowControl w:val="false"/>
              <w:jc w:val="center"/>
              <w:rPr/>
            </w:pPr>
            <w:r>
              <w:rPr/>
              <w:t>Ед. изм.</w:t>
            </w:r>
          </w:p>
        </w:tc>
        <w:tc>
          <w:tcPr>
            <w:tcW w:w="850"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t>Кол-во дней</w:t>
            </w:r>
          </w:p>
        </w:tc>
        <w:tc>
          <w:tcPr>
            <w:tcW w:w="993"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t>Кол-во человек</w:t>
            </w:r>
          </w:p>
        </w:tc>
        <w:tc>
          <w:tcPr>
            <w:tcW w:w="991"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t>Цена за ед. руб.</w:t>
            </w:r>
          </w:p>
        </w:tc>
        <w:tc>
          <w:tcPr>
            <w:tcW w:w="992"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t>Сумма, руб.</w:t>
            </w:r>
          </w:p>
        </w:tc>
      </w:tr>
      <w:tr>
        <w:trPr/>
        <w:tc>
          <w:tcPr>
            <w:tcW w:w="449" w:type="dxa"/>
            <w:tcBorders>
              <w:top w:val="single" w:sz="4" w:space="0" w:color="000000"/>
              <w:left w:val="single" w:sz="4" w:space="0" w:color="000000"/>
              <w:bottom w:val="single" w:sz="4" w:space="0" w:color="000000"/>
              <w:right w:val="single" w:sz="4" w:space="0" w:color="000000"/>
            </w:tcBorders>
            <w:shd w:color="auto" w:fill="auto" w:val="clear"/>
          </w:tcPr>
          <w:p>
            <w:pPr>
              <w:pStyle w:val="Style39"/>
              <w:widowControl w:val="false"/>
              <w:jc w:val="center"/>
              <w:rPr/>
            </w:pPr>
            <w:r>
              <w:rPr/>
              <w:t>1</w:t>
            </w:r>
          </w:p>
        </w:tc>
        <w:tc>
          <w:tcPr>
            <w:tcW w:w="49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1134" w:leader="none"/>
              </w:tabs>
              <w:rPr/>
            </w:pPr>
            <w:r>
              <w:rPr/>
              <w:t>Оказание услуг по обязательному государственному страхованию жизни и здоровья работников федеральной противопожарной службы Государственной противопожарной службы Главного управления МЧС России по Иркутской области</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Style39"/>
              <w:widowControl w:val="false"/>
              <w:jc w:val="center"/>
              <w:rPr/>
            </w:pPr>
            <w:r>
              <w:rPr/>
              <w:t>Человеко-день (чел.дн.)</w:t>
            </w:r>
          </w:p>
        </w:tc>
        <w:tc>
          <w:tcPr>
            <w:tcW w:w="850"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t>91</w:t>
            </w:r>
          </w:p>
        </w:tc>
        <w:tc>
          <w:tcPr>
            <w:tcW w:w="993"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t>1550</w:t>
            </w:r>
          </w:p>
        </w:tc>
        <w:tc>
          <w:tcPr>
            <w:tcW w:w="991"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Style39"/>
              <w:widowControl w:val="false"/>
              <w:jc w:val="center"/>
              <w:rPr/>
            </w:pPr>
            <w:r>
              <w:rPr/>
            </w:r>
          </w:p>
        </w:tc>
      </w:tr>
      <w:tr>
        <w:trPr/>
        <w:tc>
          <w:tcPr>
            <w:tcW w:w="1022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Style39"/>
              <w:widowControl w:val="false"/>
              <w:rPr/>
            </w:pPr>
            <w:r>
              <w:rPr/>
              <w:t>Итого:</w:t>
            </w:r>
          </w:p>
        </w:tc>
      </w:tr>
    </w:tbl>
    <w:p>
      <w:pPr>
        <w:pStyle w:val="Normal"/>
        <w:widowControl w:val="false"/>
        <w:tabs>
          <w:tab w:val="clear" w:pos="709"/>
          <w:tab w:val="left" w:pos="1134" w:leader="none"/>
        </w:tabs>
        <w:ind w:firstLine="567"/>
        <w:jc w:val="both"/>
        <w:rPr/>
      </w:pPr>
      <w:r>
        <w:rPr>
          <w:b/>
        </w:rPr>
        <w:t>2.1. Объект страхования:</w:t>
      </w:r>
      <w:r>
        <w:rPr/>
        <w:t xml:space="preserve"> объектом страхования является не противоречащие законодательству Российской Федерации имущественные интересы, связанные с жизнью, здоровьем и трудоспособностью работников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Иркутской области, в период исполнения ими трудовых обязанностей.</w:t>
      </w:r>
    </w:p>
    <w:p>
      <w:pPr>
        <w:pStyle w:val="Normal"/>
        <w:widowControl w:val="false"/>
        <w:tabs>
          <w:tab w:val="clear" w:pos="709"/>
          <w:tab w:val="left" w:pos="1134" w:leader="none"/>
        </w:tabs>
        <w:ind w:firstLine="567"/>
        <w:jc w:val="both"/>
        <w:rPr/>
      </w:pPr>
      <w:r>
        <w:rPr>
          <w:b/>
        </w:rPr>
        <w:t>2.2. Объём оказываемых услуг:</w:t>
      </w:r>
      <w:r>
        <w:rPr/>
        <w:t xml:space="preserve"> определяется на основании заявок Страхователя, но не более 1550 человек.</w:t>
      </w:r>
    </w:p>
    <w:p>
      <w:pPr>
        <w:pStyle w:val="Normal"/>
        <w:ind w:firstLine="720"/>
        <w:jc w:val="both"/>
        <w:rPr/>
      </w:pPr>
      <w:r>
        <w:rPr>
          <w:b/>
        </w:rPr>
        <w:t>2.3. Период страхования:</w:t>
      </w:r>
      <w:r>
        <w:rPr/>
        <w:t xml:space="preserve"> с 1 сентября по 30 ноября 2026 года включительно. </w:t>
      </w:r>
      <w:r>
        <w:rPr>
          <w:iCs/>
        </w:rPr>
        <w:t>Период страхования начинается не ранее, чем с 00 час.00 мин. 1 сентября 2026 года. Период страхования прекращается в 23 часа 59 минут 30 ноября 2026 года.</w:t>
      </w:r>
    </w:p>
    <w:p>
      <w:pPr>
        <w:pStyle w:val="Normal"/>
        <w:widowControl w:val="false"/>
        <w:tabs>
          <w:tab w:val="clear" w:pos="709"/>
          <w:tab w:val="left" w:pos="1134" w:leader="none"/>
        </w:tabs>
        <w:ind w:firstLine="567"/>
        <w:jc w:val="both"/>
        <w:rPr/>
      </w:pPr>
      <w:r>
        <w:rPr>
          <w:b/>
        </w:rPr>
        <w:t>2.4. Размер страховой суммы на одно Застрахованное лицо:</w:t>
      </w:r>
      <w:r>
        <w:rPr/>
        <w:t xml:space="preserve"> </w:t>
      </w:r>
      <w:r>
        <w:rPr>
          <w:color w:val="000000"/>
        </w:rPr>
        <w:t>600 000 (шестьсот тысяч) рублей 00 копеек.</w:t>
      </w:r>
    </w:p>
    <w:p>
      <w:pPr>
        <w:pStyle w:val="Normal"/>
        <w:widowControl w:val="false"/>
        <w:numPr>
          <w:ilvl w:val="1"/>
          <w:numId w:val="5"/>
        </w:numPr>
        <w:tabs>
          <w:tab w:val="clear" w:pos="709"/>
          <w:tab w:val="left" w:pos="993" w:leader="none"/>
        </w:tabs>
        <w:ind w:left="0" w:firstLine="567"/>
        <w:jc w:val="both"/>
        <w:rPr/>
      </w:pPr>
      <w:r>
        <w:rPr>
          <w:b/>
        </w:rPr>
        <w:t>Страховые случаи:</w:t>
      </w:r>
    </w:p>
    <w:p>
      <w:pPr>
        <w:pStyle w:val="Normal"/>
        <w:widowControl w:val="false"/>
        <w:tabs>
          <w:tab w:val="clear" w:pos="709"/>
          <w:tab w:val="left" w:pos="1134" w:leader="none"/>
        </w:tabs>
        <w:ind w:firstLine="567"/>
        <w:jc w:val="both"/>
        <w:rPr/>
      </w:pPr>
      <w:r>
        <w:rPr/>
        <w:t>-  временная утрата Застрахованным лицом общей трудоспособности в результате несчастного случая;</w:t>
      </w:r>
    </w:p>
    <w:p>
      <w:pPr>
        <w:pStyle w:val="Normal"/>
        <w:widowControl w:val="false"/>
        <w:tabs>
          <w:tab w:val="clear" w:pos="709"/>
          <w:tab w:val="left" w:pos="1134" w:leader="none"/>
        </w:tabs>
        <w:ind w:firstLine="567"/>
        <w:jc w:val="both"/>
        <w:rPr/>
      </w:pPr>
      <w:r>
        <w:rPr/>
        <w:t>- постоянная утрата Застрахованным лицом общей трудоспособности с назначением Застрахованному лицу инвалидности в результате несчастного случая;</w:t>
      </w:r>
    </w:p>
    <w:p>
      <w:pPr>
        <w:pStyle w:val="Normal"/>
        <w:widowControl w:val="false"/>
        <w:tabs>
          <w:tab w:val="clear" w:pos="709"/>
          <w:tab w:val="left" w:pos="1134" w:leader="none"/>
        </w:tabs>
        <w:ind w:firstLine="567"/>
        <w:jc w:val="both"/>
        <w:rPr/>
      </w:pPr>
      <w:r>
        <w:rPr/>
        <w:t>-  гибель (смерть) Застрахованного лица при исполнении им возложенных на него трудовым договором (контрактом) обязанностей или смерть в результате несчастного случая. Под несчастным случаем понимается одномоментное неожиданное и внезапное воздействие различных неподдающихся воле и контролю Застрахованного лица внешних факторов, в результате которого Застрахованное лицо получило увечье (травму, ранение, контузию) или заболевание в период действия контракта;</w:t>
      </w:r>
    </w:p>
    <w:p>
      <w:pPr>
        <w:pStyle w:val="Normal"/>
        <w:widowControl w:val="false"/>
        <w:tabs>
          <w:tab w:val="clear" w:pos="709"/>
          <w:tab w:val="left" w:pos="0" w:leader="none"/>
        </w:tabs>
        <w:ind w:firstLine="567"/>
        <w:jc w:val="both"/>
        <w:rPr/>
      </w:pPr>
      <w:r>
        <w:rPr/>
        <w:t>- инвалидность или смерть Застрахованного лица, наступившие в течение года со дня страхового случая, происшедшего в период действия Контракта, и явившаяся его следствием.</w:t>
      </w:r>
    </w:p>
    <w:p>
      <w:pPr>
        <w:pStyle w:val="Normal"/>
        <w:widowControl w:val="false"/>
        <w:numPr>
          <w:ilvl w:val="1"/>
          <w:numId w:val="5"/>
        </w:numPr>
        <w:tabs>
          <w:tab w:val="clear" w:pos="709"/>
          <w:tab w:val="left" w:pos="1134" w:leader="none"/>
        </w:tabs>
        <w:ind w:left="0" w:firstLine="567"/>
        <w:jc w:val="both"/>
        <w:rPr/>
      </w:pPr>
      <w:r>
        <w:rPr>
          <w:b/>
        </w:rPr>
        <w:t>Размеры страховых выплат:</w:t>
      </w:r>
    </w:p>
    <w:p>
      <w:pPr>
        <w:pStyle w:val="Style45"/>
        <w:widowControl w:val="false"/>
        <w:numPr>
          <w:ilvl w:val="0"/>
          <w:numId w:val="6"/>
        </w:numPr>
        <w:tabs>
          <w:tab w:val="clear" w:pos="709"/>
          <w:tab w:val="left" w:pos="993" w:leader="none"/>
        </w:tabs>
        <w:spacing w:before="0" w:after="0"/>
        <w:ind w:left="0" w:right="-1" w:firstLine="567"/>
        <w:jc w:val="both"/>
        <w:rPr/>
      </w:pPr>
      <w:r>
        <w:rPr/>
        <w:t>в</w:t>
      </w:r>
      <w:r>
        <w:rPr>
          <w:spacing w:val="-2"/>
        </w:rPr>
        <w:t xml:space="preserve"> случае временной утраты трудоспособности в результате несчастного случая</w:t>
      </w:r>
      <w:r>
        <w:rPr/>
        <w:t xml:space="preserve"> - в размере 0,5% от размера страховой суммы за каждый день временной нетрудоспособности, начиная с первого дня, но не более 25% от страховой суммы.</w:t>
      </w:r>
    </w:p>
    <w:p>
      <w:pPr>
        <w:pStyle w:val="Style45"/>
        <w:widowControl w:val="false"/>
        <w:numPr>
          <w:ilvl w:val="0"/>
          <w:numId w:val="6"/>
        </w:numPr>
        <w:tabs>
          <w:tab w:val="clear" w:pos="709"/>
          <w:tab w:val="left" w:pos="993" w:leader="none"/>
        </w:tabs>
        <w:spacing w:before="0" w:after="0"/>
        <w:ind w:left="0" w:right="-1" w:firstLine="567"/>
        <w:jc w:val="both"/>
        <w:rPr/>
      </w:pPr>
      <w:r>
        <w:rPr/>
        <w:t>в случае постоянной утраты общей трудоспособности с установлением инвалидности в результате несчастного случая: при установлении I группы инвалидности – 100% от размера страховой суммы, II группы – 80% от размера страховой суммы, III группы – 60% от размера страховой суммы.</w:t>
      </w:r>
    </w:p>
    <w:p>
      <w:pPr>
        <w:pStyle w:val="Style45"/>
        <w:widowControl w:val="false"/>
        <w:numPr>
          <w:ilvl w:val="0"/>
          <w:numId w:val="6"/>
        </w:numPr>
        <w:tabs>
          <w:tab w:val="clear" w:pos="709"/>
          <w:tab w:val="left" w:pos="993" w:leader="none"/>
        </w:tabs>
        <w:spacing w:before="0" w:after="0"/>
        <w:ind w:left="0" w:right="-1" w:firstLine="567"/>
        <w:jc w:val="both"/>
        <w:rPr/>
      </w:pPr>
      <w:r>
        <w:rPr/>
        <w:t>в случае гибели (смерти) в результате несчастного случая – 100% от размера страховой суммы.</w:t>
      </w:r>
    </w:p>
    <w:p>
      <w:pPr>
        <w:pStyle w:val="Normal"/>
        <w:widowControl w:val="false"/>
        <w:numPr>
          <w:ilvl w:val="1"/>
          <w:numId w:val="5"/>
        </w:numPr>
        <w:tabs>
          <w:tab w:val="clear" w:pos="709"/>
          <w:tab w:val="left" w:pos="1134" w:leader="none"/>
        </w:tabs>
        <w:ind w:left="0" w:firstLine="567"/>
        <w:jc w:val="both"/>
        <w:rPr/>
      </w:pPr>
      <w:r>
        <w:rPr>
          <w:b/>
        </w:rPr>
        <w:t>Порядок осуществления страховых выплат:</w:t>
      </w:r>
    </w:p>
    <w:p>
      <w:pPr>
        <w:pStyle w:val="ListParagraph"/>
        <w:numPr>
          <w:ilvl w:val="0"/>
          <w:numId w:val="3"/>
        </w:numPr>
        <w:tabs>
          <w:tab w:val="clear" w:pos="709"/>
          <w:tab w:val="left" w:pos="1134" w:leader="none"/>
        </w:tabs>
        <w:ind w:left="0" w:firstLine="567"/>
        <w:jc w:val="both"/>
        <w:rPr>
          <w:sz w:val="24"/>
        </w:rPr>
      </w:pPr>
      <w:r>
        <w:rPr>
          <w:sz w:val="24"/>
        </w:rPr>
        <w:t>Выплата страховых сумм производится Страховщиком на основании документов, подтверждающих наступление страхового случая.</w:t>
      </w:r>
    </w:p>
    <w:p>
      <w:pPr>
        <w:pStyle w:val="ListParagraph"/>
        <w:numPr>
          <w:ilvl w:val="0"/>
          <w:numId w:val="3"/>
        </w:numPr>
        <w:tabs>
          <w:tab w:val="clear" w:pos="709"/>
          <w:tab w:val="left" w:pos="1134" w:leader="none"/>
        </w:tabs>
        <w:ind w:left="0" w:firstLine="567"/>
        <w:jc w:val="both"/>
        <w:rPr>
          <w:sz w:val="24"/>
        </w:rPr>
      </w:pPr>
      <w:r>
        <w:rPr>
          <w:sz w:val="24"/>
        </w:rPr>
        <w:t>Выплата страховых сумм Застрахованным лицам, а в случае их гибели (смерти) - выгодоприобретателям производится Страховщиком путем перечисления причитающихся сумм в рублях способом, определенным Контрактом.</w:t>
      </w:r>
    </w:p>
    <w:p>
      <w:pPr>
        <w:pStyle w:val="ListParagraph"/>
        <w:numPr>
          <w:ilvl w:val="0"/>
          <w:numId w:val="3"/>
        </w:numPr>
        <w:tabs>
          <w:tab w:val="clear" w:pos="709"/>
          <w:tab w:val="left" w:pos="1134" w:leader="none"/>
        </w:tabs>
        <w:ind w:left="0" w:firstLine="567"/>
        <w:jc w:val="both"/>
        <w:rPr>
          <w:sz w:val="24"/>
        </w:rPr>
      </w:pPr>
      <w:r>
        <w:rPr>
          <w:sz w:val="24"/>
        </w:rPr>
        <w:t>Страховая выплата производится страховщиком в 15-дневный срок со дня получения документов, необходимых для принятия решения о выплате.</w:t>
      </w:r>
    </w:p>
    <w:p>
      <w:pPr>
        <w:pStyle w:val="Normal"/>
        <w:widowControl w:val="false"/>
        <w:numPr>
          <w:ilvl w:val="1"/>
          <w:numId w:val="5"/>
        </w:numPr>
        <w:tabs>
          <w:tab w:val="clear" w:pos="709"/>
          <w:tab w:val="left" w:pos="993" w:leader="none"/>
        </w:tabs>
        <w:ind w:left="0" w:firstLine="567"/>
        <w:jc w:val="both"/>
        <w:rPr/>
      </w:pPr>
      <w:r>
        <w:rPr>
          <w:rFonts w:eastAsia="Tinos"/>
          <w:b/>
        </w:rPr>
        <w:t xml:space="preserve"> </w:t>
      </w:r>
      <w:r>
        <w:rPr>
          <w:b/>
        </w:rPr>
        <w:t>Требования к качеству услуг:</w:t>
      </w:r>
    </w:p>
    <w:p>
      <w:pPr>
        <w:pStyle w:val="Normal"/>
        <w:widowControl w:val="false"/>
        <w:numPr>
          <w:ilvl w:val="0"/>
          <w:numId w:val="7"/>
        </w:numPr>
        <w:tabs>
          <w:tab w:val="clear" w:pos="709"/>
          <w:tab w:val="left" w:pos="993" w:leader="none"/>
        </w:tabs>
        <w:ind w:left="0" w:firstLine="567"/>
        <w:jc w:val="both"/>
        <w:rPr/>
      </w:pPr>
      <w:r>
        <w:rPr/>
        <w:t>Территорией страхования является любая территория (за исключением районов (зон) военных действий, гражданских волнений, которые признаны таковыми в соответствии с действующим законодательством Российской Федерации и (или) международным законодательством на дату заключения Контракта (вступления его в силу или начала срока действия страхования)), в пределах которой может произойти событие, предусмотренное Контрактом и которое будет рассматриваться Страховщиком в качестве страхового случая.</w:t>
      </w:r>
    </w:p>
    <w:p>
      <w:pPr>
        <w:pStyle w:val="Normal"/>
        <w:widowControl w:val="false"/>
        <w:numPr>
          <w:ilvl w:val="0"/>
          <w:numId w:val="7"/>
        </w:numPr>
        <w:tabs>
          <w:tab w:val="clear" w:pos="709"/>
          <w:tab w:val="left" w:pos="993" w:leader="none"/>
        </w:tabs>
        <w:ind w:left="0" w:firstLine="567"/>
        <w:jc w:val="both"/>
        <w:rPr/>
      </w:pPr>
      <w:r>
        <w:rPr/>
        <w:t>Услуги должны оказываться в соответствии с законом Российской Федерации от 27.11.1992 г. № 4015-1 «Об организации страхового дела в Российской Федерации».</w:t>
      </w:r>
    </w:p>
    <w:p>
      <w:pPr>
        <w:pStyle w:val="Normal"/>
        <w:widowControl w:val="false"/>
        <w:numPr>
          <w:ilvl w:val="1"/>
          <w:numId w:val="5"/>
        </w:numPr>
        <w:tabs>
          <w:tab w:val="clear" w:pos="709"/>
          <w:tab w:val="left" w:pos="1134" w:leader="none"/>
        </w:tabs>
        <w:ind w:left="0" w:firstLine="567"/>
        <w:jc w:val="both"/>
        <w:rPr/>
      </w:pPr>
      <w:r>
        <w:rPr>
          <w:b/>
        </w:rPr>
        <w:t>Специальные требования:</w:t>
      </w:r>
    </w:p>
    <w:p>
      <w:pPr>
        <w:pStyle w:val="Normal"/>
        <w:widowControl w:val="false"/>
        <w:numPr>
          <w:ilvl w:val="0"/>
          <w:numId w:val="4"/>
        </w:numPr>
        <w:tabs>
          <w:tab w:val="clear" w:pos="709"/>
          <w:tab w:val="left" w:pos="1134" w:leader="none"/>
        </w:tabs>
        <w:ind w:left="64" w:firstLine="503"/>
        <w:jc w:val="both"/>
        <w:rPr/>
      </w:pPr>
      <w:r>
        <w:rPr/>
        <w:t>Наличие действующей лицензии на осуществление страховой деятельности с указанием вида страхования: добровольное личное страхование, за исключением добровольного страхования жизни в соответствии со статьей 32 Федерального закона от 27.11.1992 г. № 4015-1-ФЗ «Об организации страхового дела в Российской Федерации», внесенной в Единый государственный реестр субъектов страхового дела.</w:t>
      </w:r>
    </w:p>
    <w:p>
      <w:pPr>
        <w:pStyle w:val="ConsPlusNormal1"/>
        <w:numPr>
          <w:ilvl w:val="0"/>
          <w:numId w:val="4"/>
        </w:numPr>
        <w:tabs>
          <w:tab w:val="clear" w:pos="709"/>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Расчеты между Заказчиком и Поставщиком производятся не позднее 10 (десяти) рабочих дней с даты подписания Заказчиком документа о приемке за расчетный период. Расчетный период – один месяц (с первой до крайней даты месяца).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Авансирование не предусмотрено.</w:t>
        <w:tab/>
      </w:r>
    </w:p>
    <w:p>
      <w:pPr>
        <w:pStyle w:val="ConsPlusNormal1"/>
        <w:tabs>
          <w:tab w:val="clear" w:pos="709"/>
          <w:tab w:val="left" w:pos="1134" w:leader="none"/>
        </w:tabs>
        <w:ind w:left="567" w:hanging="0"/>
        <w:jc w:val="both"/>
        <w:rPr>
          <w:rFonts w:ascii="Times New Roman" w:hAnsi="Times New Roman" w:cs="Times New Roman"/>
          <w:sz w:val="24"/>
          <w:szCs w:val="24"/>
        </w:rPr>
      </w:pPr>
      <w:r>
        <w:rPr>
          <w:rFonts w:cs="Times New Roman" w:ascii="Times New Roman" w:hAnsi="Times New Roman"/>
          <w:b/>
          <w:sz w:val="24"/>
          <w:szCs w:val="24"/>
        </w:rPr>
        <w:t>2.10</w:t>
      </w:r>
      <w:r>
        <w:rPr>
          <w:rFonts w:cs="Times New Roman" w:ascii="Times New Roman" w:hAnsi="Times New Roman"/>
          <w:sz w:val="24"/>
          <w:szCs w:val="24"/>
        </w:rPr>
        <w:t xml:space="preserve">. </w:t>
      </w:r>
      <w:r>
        <w:rPr>
          <w:rFonts w:cs="Times New Roman" w:ascii="Times New Roman" w:hAnsi="Times New Roman"/>
          <w:b/>
          <w:sz w:val="24"/>
          <w:szCs w:val="24"/>
        </w:rPr>
        <w:t>Дополнительные условия:</w:t>
      </w:r>
    </w:p>
    <w:p>
      <w:pPr>
        <w:pStyle w:val="ConsPlusNormal1"/>
        <w:tabs>
          <w:tab w:val="clear" w:pos="709"/>
          <w:tab w:val="left" w:pos="567" w:leader="none"/>
        </w:tabs>
        <w:ind w:hanging="0"/>
        <w:jc w:val="both"/>
        <w:rPr>
          <w:rFonts w:ascii="Times New Roman" w:hAnsi="Times New Roman" w:cs="Times New Roman"/>
          <w:sz w:val="24"/>
          <w:szCs w:val="24"/>
        </w:rPr>
      </w:pPr>
      <w:r>
        <w:rPr>
          <w:rFonts w:cs="Times New Roman" w:ascii="Times New Roman" w:hAnsi="Times New Roman"/>
          <w:sz w:val="24"/>
          <w:szCs w:val="24"/>
        </w:rPr>
        <w:tab/>
        <w:t>Излишне полученные страховщиком страховые взносы по договору страхования в связи с изменением численности застрахованных лиц подлежит возврату.</w:t>
      </w:r>
    </w:p>
    <w:tbl>
      <w:tblPr>
        <w:tblW w:w="9925" w:type="dxa"/>
        <w:jc w:val="left"/>
        <w:tblInd w:w="224" w:type="dxa"/>
        <w:tblLayout w:type="fixed"/>
        <w:tblCellMar>
          <w:top w:w="0" w:type="dxa"/>
          <w:left w:w="108" w:type="dxa"/>
          <w:bottom w:w="0" w:type="dxa"/>
          <w:right w:w="108" w:type="dxa"/>
        </w:tblCellMar>
        <w:tblLook w:noVBand="1" w:val="04a0" w:noHBand="0" w:lastColumn="0" w:firstColumn="1" w:lastRow="0" w:firstRow="1"/>
      </w:tblPr>
      <w:tblGrid>
        <w:gridCol w:w="4919"/>
        <w:gridCol w:w="5005"/>
      </w:tblGrid>
      <w:tr>
        <w:trPr>
          <w:trHeight w:val="80" w:hRule="atLeast"/>
        </w:trPr>
        <w:tc>
          <w:tcPr>
            <w:tcW w:w="4919" w:type="dxa"/>
            <w:tcBorders/>
          </w:tcPr>
          <w:p>
            <w:pPr>
              <w:pStyle w:val="Normal"/>
              <w:widowControl w:val="false"/>
              <w:rPr/>
            </w:pPr>
            <w:r>
              <w:rPr/>
              <w:t>СТРАХОВАТЕЛЬ:</w:t>
            </w:r>
          </w:p>
          <w:p>
            <w:pPr>
              <w:pStyle w:val="Normal"/>
              <w:widowControl w:val="false"/>
              <w:rPr/>
            </w:pPr>
            <w:r>
              <w:rPr/>
            </w:r>
          </w:p>
          <w:p>
            <w:pPr>
              <w:pStyle w:val="Normal"/>
              <w:widowControl w:val="false"/>
              <w:rPr/>
            </w:pPr>
            <w:r>
              <w:rPr/>
              <w:t>_______________/_________________/</w:t>
            </w:r>
          </w:p>
          <w:p>
            <w:pPr>
              <w:pStyle w:val="Normal"/>
              <w:widowControl w:val="false"/>
              <w:jc w:val="center"/>
              <w:rPr/>
            </w:pPr>
            <w:r>
              <w:rPr/>
            </w:r>
          </w:p>
        </w:tc>
        <w:tc>
          <w:tcPr>
            <w:tcW w:w="5005" w:type="dxa"/>
            <w:tcBorders/>
          </w:tcPr>
          <w:p>
            <w:pPr>
              <w:pStyle w:val="Normal"/>
              <w:widowControl w:val="false"/>
              <w:rPr/>
            </w:pPr>
            <w:r>
              <w:rPr/>
              <w:t>СТРАХОВЩИК:</w:t>
            </w:r>
          </w:p>
          <w:p>
            <w:pPr>
              <w:pStyle w:val="Normal"/>
              <w:widowControl w:val="false"/>
              <w:rPr/>
            </w:pPr>
            <w:r>
              <w:rPr/>
            </w:r>
          </w:p>
          <w:p>
            <w:pPr>
              <w:pStyle w:val="Normal"/>
              <w:widowControl w:val="false"/>
              <w:rPr/>
            </w:pPr>
            <w:r>
              <w:rPr/>
              <w:t>_____________________/ ______________/</w:t>
            </w:r>
          </w:p>
        </w:tc>
      </w:tr>
    </w:tbl>
    <w:p>
      <w:pPr>
        <w:sectPr>
          <w:footnotePr>
            <w:numFmt w:val="decimal"/>
          </w:footnotePr>
          <w:type w:val="nextPage"/>
          <w:pgSz w:w="11926" w:h="16867"/>
          <w:pgMar w:left="1134" w:right="567" w:gutter="0" w:header="0" w:top="968" w:footer="0" w:bottom="994"/>
          <w:pgNumType w:fmt="decimal"/>
          <w:formProt w:val="false"/>
          <w:textDirection w:val="lrTb"/>
          <w:docGrid w:type="default" w:linePitch="326" w:charSpace="0"/>
        </w:sectPr>
      </w:pPr>
    </w:p>
    <w:p>
      <w:pPr>
        <w:pStyle w:val="Normal"/>
        <w:ind w:left="5040" w:firstLine="720"/>
        <w:jc w:val="right"/>
        <w:rPr/>
      </w:pPr>
      <w:r>
        <w:rPr>
          <w:color w:val="000000"/>
        </w:rPr>
        <w:t>Приложение № 2</w:t>
      </w:r>
    </w:p>
    <w:p>
      <w:pPr>
        <w:pStyle w:val="Normal"/>
        <w:widowControl w:val="false"/>
        <w:ind w:left="5760" w:hanging="0"/>
        <w:jc w:val="right"/>
        <w:rPr/>
      </w:pPr>
      <w:r>
        <w:rPr>
          <w:color w:val="000000"/>
        </w:rPr>
        <w:t>к Государственному контракту</w:t>
        <w:br/>
        <w:t>от ____ ______ 2026 г. № _____</w:t>
      </w:r>
    </w:p>
    <w:p>
      <w:pPr>
        <w:pStyle w:val="Normal"/>
        <w:tabs>
          <w:tab w:val="clear" w:pos="709"/>
          <w:tab w:val="left" w:pos="0" w:leader="none"/>
          <w:tab w:val="left" w:pos="540" w:leader="none"/>
          <w:tab w:val="left" w:pos="900" w:leader="none"/>
          <w:tab w:val="left" w:pos="1080" w:leader="none"/>
        </w:tabs>
        <w:ind w:firstLine="851"/>
        <w:jc w:val="right"/>
        <w:rPr>
          <w:lang w:eastAsia="ar-SA"/>
        </w:rPr>
      </w:pPr>
      <w:r>
        <w:rPr>
          <w:lang w:eastAsia="ar-SA"/>
        </w:rPr>
      </w:r>
    </w:p>
    <w:p>
      <w:pPr>
        <w:pStyle w:val="Normal"/>
        <w:jc w:val="center"/>
        <w:rPr/>
      </w:pPr>
      <w:r>
        <w:rPr>
          <w:b/>
          <w:bCs/>
        </w:rPr>
        <w:t>АКТ №______</w:t>
      </w:r>
    </w:p>
    <w:p>
      <w:pPr>
        <w:pStyle w:val="Normal"/>
        <w:jc w:val="center"/>
        <w:rPr/>
      </w:pPr>
      <w:r>
        <w:rPr/>
        <w:t>экспертизы исполнения контракта (образец)</w:t>
      </w:r>
    </w:p>
    <w:p>
      <w:pPr>
        <w:pStyle w:val="Normal"/>
        <w:ind w:firstLine="709"/>
        <w:rPr>
          <w:color w:val="000000"/>
        </w:rPr>
      </w:pPr>
      <w:r>
        <w:rPr>
          <w:color w:val="000000"/>
        </w:rPr>
      </w:r>
    </w:p>
    <w:p>
      <w:pPr>
        <w:pStyle w:val="Normal"/>
        <w:jc w:val="both"/>
        <w:rPr/>
      </w:pPr>
      <w:r>
        <w:rPr/>
        <w:t>1. Место составления акта:_________________________________________________________</w:t>
      </w:r>
    </w:p>
    <w:p>
      <w:pPr>
        <w:pStyle w:val="Normal"/>
        <w:jc w:val="both"/>
        <w:rPr/>
      </w:pPr>
      <w:r>
        <w:rPr/>
        <w:t>2. Дата составления акта:__________________________________________________________</w:t>
      </w:r>
    </w:p>
    <w:p>
      <w:pPr>
        <w:pStyle w:val="ListParagraph"/>
        <w:ind w:left="0" w:hanging="0"/>
        <w:jc w:val="both"/>
        <w:rPr>
          <w:sz w:val="24"/>
        </w:rPr>
      </w:pPr>
      <w:r>
        <w:rPr>
          <w:sz w:val="24"/>
        </w:rPr>
        <w:t>3. Дата, номер, предмет государственного контракта:__________________________________</w:t>
      </w:r>
    </w:p>
    <w:p>
      <w:pPr>
        <w:pStyle w:val="Normal"/>
        <w:jc w:val="both"/>
        <w:rPr/>
      </w:pPr>
      <w:r>
        <w:rPr/>
        <w:t>____________________________________________________________________</w:t>
      </w:r>
    </w:p>
    <w:p>
      <w:pPr>
        <w:pStyle w:val="Normal"/>
        <w:jc w:val="both"/>
        <w:rPr/>
      </w:pPr>
      <w:r>
        <w:rPr/>
        <w:t>4. Наименование, реквизиты, почтовый адрес, контактные телефоны Страховщика __________</w:t>
      </w:r>
      <w:r>
        <mc:AlternateContent>
          <mc:Choice Requires="wps">
            <w:drawing>
              <wp:anchor behindDoc="1" distT="0" distB="0" distL="0" distR="0" simplePos="0" locked="0" layoutInCell="0" allowOverlap="1" relativeHeight="2" wp14:anchorId="1947D0C5">
                <wp:simplePos x="0" y="0"/>
                <wp:positionH relativeFrom="column">
                  <wp:posOffset>-239395</wp:posOffset>
                </wp:positionH>
                <wp:positionV relativeFrom="paragraph">
                  <wp:posOffset>2105660</wp:posOffset>
                </wp:positionV>
                <wp:extent cx="6409055" cy="1978025"/>
                <wp:effectExtent l="0" t="0" r="0" b="0"/>
                <wp:wrapNone/>
                <wp:docPr id="1" name="Изображение1"/>
                <a:graphic xmlns:a="http://schemas.openxmlformats.org/drawingml/2006/main">
                  <a:graphicData uri="http://schemas.microsoft.com/office/word/2010/wordprocessingShape">
                    <wps:wsp>
                      <wps:cNvSpPr/>
                      <wps:spPr>
                        <a:xfrm rot="18660000">
                          <a:off x="0" y="0"/>
                          <a:ext cx="6408360" cy="1977480"/>
                        </a:xfrm>
                        <a:prstGeom prst="rect">
                          <a:avLst/>
                        </a:prstGeom>
                        <a:noFill/>
                        <a:ln w="0">
                          <a:noFill/>
                        </a:ln>
                      </wps:spPr>
                      <wps:style>
                        <a:lnRef idx="0"/>
                        <a:fillRef idx="0"/>
                        <a:effectRef idx="0"/>
                        <a:fontRef idx="minor"/>
                      </wps:style>
                      <wps:txbx>
                        <w:txbxContent>
                          <w:p>
                            <w:pPr>
                              <w:pStyle w:val="Style46"/>
                              <w:overflowPunct w:val="true"/>
                              <w:rPr/>
                            </w:pPr>
                            <w:r>
                              <w:rPr>
                                <w:rFonts w:eastAsia="Tahoma" w:cs="Tinos" w:ascii="Tinos" w:hAnsi="Tinos"/>
                                <w:color w:val="B2B2B2"/>
                                <w:kern w:val="2"/>
                                <w:sz w:val="230"/>
                                <w:lang w:eastAsia="zh-CN" w:bidi="hi-IN"/>
                              </w:rPr>
                              <w:t>ОБРАЗЕЦ</w:t>
                            </w:r>
                          </w:p>
                        </w:txbxContent>
                      </wps:txbx>
                      <wps:bodyPr lIns="0" rIns="0" tIns="0" bIns="0" anchor="t">
                        <a:noAutofit/>
                      </wps:bodyPr>
                    </wps:wsp>
                  </a:graphicData>
                </a:graphic>
              </wp:anchor>
            </w:drawing>
          </mc:Choice>
          <mc:Fallback>
            <w:pict>
              <v:rect id="shape_0" ID="Изображение1" path="m0,0l-2147483645,0l-2147483645,-2147483646l0,-2147483646xe" stroked="f" o:allowincell="f" style="position:absolute;margin-left:-18.85pt;margin-top:165.8pt;width:504.55pt;height:155.65pt;mso-wrap-style:square;v-text-anchor:top;rotation:311" wp14:anchorId="1947D0C5">
                <v:fill o:detectmouseclick="t" on="false"/>
                <v:stroke color="#3465a4" joinstyle="round" endcap="flat"/>
                <v:textbox>
                  <w:txbxContent>
                    <w:p>
                      <w:pPr>
                        <w:pStyle w:val="Style46"/>
                        <w:overflowPunct w:val="true"/>
                        <w:rPr/>
                      </w:pPr>
                      <w:r>
                        <w:rPr>
                          <w:rFonts w:eastAsia="Tahoma" w:cs="Tinos" w:ascii="Tinos" w:hAnsi="Tinos"/>
                          <w:color w:val="B2B2B2"/>
                          <w:kern w:val="2"/>
                          <w:sz w:val="230"/>
                          <w:lang w:eastAsia="zh-CN" w:bidi="hi-IN"/>
                        </w:rPr>
                        <w:t>ОБРАЗЕЦ</w:t>
                      </w:r>
                    </w:p>
                  </w:txbxContent>
                </v:textbox>
                <w10:wrap type="none"/>
              </v:rect>
            </w:pict>
          </mc:Fallback>
        </mc:AlternateContent>
      </w:r>
      <w:r>
        <w:rPr/>
        <w:t>______________________________________________________________________________________________________________________________________________________</w:t>
      </w:r>
    </w:p>
    <w:p>
      <w:pPr>
        <w:pStyle w:val="Normal"/>
        <w:jc w:val="both"/>
        <w:rPr/>
      </w:pPr>
      <w:r>
        <w:rPr/>
        <w:t>5. Результат проведенной экспертизы: в соответствии со ст.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Страхователем проведена экспертиза результатов предусмотренных государственным контрактом № _____ от «___» __________ 202__ г. (далее – Контракт), в части их соответствия условиям Контракта.</w:t>
      </w:r>
    </w:p>
    <w:p>
      <w:pPr>
        <w:pStyle w:val="Normal"/>
        <w:jc w:val="both"/>
        <w:rPr/>
      </w:pPr>
      <w:r>
        <w:rPr/>
        <w:t>В ходе экспертизы установлено, что в период с «___» ___________202___ г. по «___» ___________ 202__ г. оказаны услуги_________________</w:t>
      </w:r>
      <w:r>
        <w:rPr>
          <w:rStyle w:val="Style19"/>
        </w:rPr>
        <w:footnoteReference w:id="6"/>
      </w:r>
      <w:r>
        <w:rPr>
          <w:i/>
          <w:iCs/>
        </w:rPr>
        <w:t>.</w:t>
      </w:r>
    </w:p>
    <w:p>
      <w:pPr>
        <w:pStyle w:val="Normal"/>
        <w:jc w:val="both"/>
        <w:rPr/>
      </w:pPr>
      <w:r>
        <w:rPr/>
        <w:t xml:space="preserve">Услуги оказаны: </w:t>
      </w:r>
      <w:r>
        <w:rPr>
          <w:i/>
        </w:rPr>
        <w:t>своевременно, в полном объеме и надлежащего качества</w:t>
      </w:r>
      <w:r>
        <w:rPr>
          <w:rStyle w:val="Style19"/>
        </w:rPr>
        <w:footnoteReference w:id="7"/>
      </w:r>
      <w:r>
        <w:rPr/>
        <w:t>.</w:t>
      </w:r>
    </w:p>
    <w:p>
      <w:pPr>
        <w:pStyle w:val="Normal"/>
        <w:jc w:val="both"/>
        <w:rPr/>
      </w:pPr>
      <w:r>
        <w:rPr/>
        <w:t xml:space="preserve">6. Вывод: Результат исполнения Контракта </w:t>
      </w:r>
      <w:r>
        <w:rPr>
          <w:i/>
        </w:rPr>
        <w:t>соответствует его условиям</w:t>
      </w:r>
      <w:r>
        <w:rPr>
          <w:rStyle w:val="Style19"/>
          <w:i/>
        </w:rPr>
        <w:footnoteReference w:id="8"/>
      </w:r>
      <w:r>
        <w:rPr/>
        <w:t>.</w:t>
      </w:r>
    </w:p>
    <w:p>
      <w:pPr>
        <w:pStyle w:val="Normal"/>
        <w:ind w:firstLine="709"/>
        <w:rPr>
          <w:color w:val="000000"/>
        </w:rPr>
      </w:pPr>
      <w:r>
        <w:rPr>
          <w:color w:val="000000"/>
        </w:rPr>
      </w:r>
    </w:p>
    <w:tbl>
      <w:tblPr>
        <w:tblW w:w="10224"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114"/>
        <w:gridCol w:w="4601"/>
        <w:gridCol w:w="212"/>
        <w:gridCol w:w="1987"/>
        <w:gridCol w:w="2556"/>
        <w:gridCol w:w="753"/>
      </w:tblGrid>
      <w:tr>
        <w:trPr/>
        <w:tc>
          <w:tcPr>
            <w:tcW w:w="4715" w:type="dxa"/>
            <w:gridSpan w:val="2"/>
            <w:tcBorders/>
          </w:tcPr>
          <w:p>
            <w:pPr>
              <w:pStyle w:val="Normal"/>
              <w:widowControl w:val="false"/>
              <w:rPr/>
            </w:pPr>
            <w:r>
              <w:rPr/>
              <w:t>__________________________________</w:t>
            </w:r>
          </w:p>
        </w:tc>
        <w:tc>
          <w:tcPr>
            <w:tcW w:w="2199" w:type="dxa"/>
            <w:gridSpan w:val="2"/>
            <w:tcBorders/>
          </w:tcPr>
          <w:p>
            <w:pPr>
              <w:pStyle w:val="Normal"/>
              <w:widowControl w:val="false"/>
              <w:rPr/>
            </w:pPr>
            <w:r>
              <w:rPr/>
              <w:t>________________</w:t>
            </w:r>
          </w:p>
        </w:tc>
        <w:tc>
          <w:tcPr>
            <w:tcW w:w="3309" w:type="dxa"/>
            <w:gridSpan w:val="2"/>
            <w:tcBorders/>
          </w:tcPr>
          <w:p>
            <w:pPr>
              <w:pStyle w:val="Normal"/>
              <w:widowControl w:val="false"/>
              <w:rPr/>
            </w:pPr>
            <w:r>
              <w:rPr/>
              <w:t>_______________________</w:t>
            </w:r>
          </w:p>
        </w:tc>
      </w:tr>
      <w:tr>
        <w:trPr/>
        <w:tc>
          <w:tcPr>
            <w:tcW w:w="4715" w:type="dxa"/>
            <w:gridSpan w:val="2"/>
            <w:tcBorders/>
          </w:tcPr>
          <w:p>
            <w:pPr>
              <w:pStyle w:val="Normal"/>
              <w:widowControl w:val="false"/>
              <w:jc w:val="center"/>
              <w:rPr>
                <w:vertAlign w:val="superscript"/>
              </w:rPr>
            </w:pPr>
            <w:r>
              <w:rPr>
                <w:vertAlign w:val="superscript"/>
              </w:rPr>
              <w:t>(должностное лицо Страхователя, ответственное</w:t>
            </w:r>
          </w:p>
          <w:p>
            <w:pPr>
              <w:pStyle w:val="Normal"/>
              <w:widowControl w:val="false"/>
              <w:jc w:val="center"/>
              <w:rPr>
                <w:vertAlign w:val="superscript"/>
              </w:rPr>
            </w:pPr>
            <w:r>
              <w:rPr>
                <w:vertAlign w:val="superscript"/>
              </w:rPr>
              <w:t>за проведение экспертизы)</w:t>
            </w:r>
          </w:p>
        </w:tc>
        <w:tc>
          <w:tcPr>
            <w:tcW w:w="2199" w:type="dxa"/>
            <w:gridSpan w:val="2"/>
            <w:tcBorders/>
          </w:tcPr>
          <w:p>
            <w:pPr>
              <w:pStyle w:val="Normal"/>
              <w:widowControl w:val="false"/>
              <w:jc w:val="center"/>
              <w:rPr>
                <w:vertAlign w:val="superscript"/>
              </w:rPr>
            </w:pPr>
            <w:r>
              <w:rPr>
                <w:vertAlign w:val="superscript"/>
              </w:rPr>
              <w:t>(Подпись)</w:t>
            </w:r>
          </w:p>
        </w:tc>
        <w:tc>
          <w:tcPr>
            <w:tcW w:w="3309" w:type="dxa"/>
            <w:gridSpan w:val="2"/>
            <w:tcBorders/>
          </w:tcPr>
          <w:p>
            <w:pPr>
              <w:pStyle w:val="Normal"/>
              <w:widowControl w:val="false"/>
              <w:jc w:val="center"/>
              <w:rPr>
                <w:vertAlign w:val="superscript"/>
              </w:rPr>
            </w:pPr>
            <w:r>
              <w:rPr>
                <w:vertAlign w:val="superscript"/>
              </w:rPr>
              <w:t>(Ф.И.О.)</w:t>
            </w:r>
          </w:p>
        </w:tc>
      </w:tr>
      <w:tr>
        <w:trPr>
          <w:trHeight w:val="80" w:hRule="atLeast"/>
        </w:trPr>
        <w:tc>
          <w:tcPr>
            <w:tcW w:w="114" w:type="dxa"/>
            <w:tcBorders/>
            <w:tcMar>
              <w:left w:w="0" w:type="dxa"/>
              <w:right w:w="0" w:type="dxa"/>
            </w:tcMar>
          </w:tcPr>
          <w:p>
            <w:pPr>
              <w:pStyle w:val="Normal"/>
              <w:widowControl w:val="false"/>
              <w:rPr>
                <w:vertAlign w:val="superscript"/>
              </w:rPr>
            </w:pPr>
            <w:r>
              <w:rPr>
                <w:vertAlign w:val="superscript"/>
              </w:rPr>
            </w:r>
          </w:p>
        </w:tc>
        <w:tc>
          <w:tcPr>
            <w:tcW w:w="4813" w:type="dxa"/>
            <w:gridSpan w:val="2"/>
            <w:tcBorders/>
          </w:tcPr>
          <w:p>
            <w:pPr>
              <w:pStyle w:val="Normal"/>
              <w:widowControl w:val="false"/>
              <w:rPr>
                <w:color w:val="000000"/>
              </w:rPr>
            </w:pPr>
            <w:r>
              <w:rPr>
                <w:color w:val="000000"/>
              </w:rPr>
            </w:r>
          </w:p>
          <w:p>
            <w:pPr>
              <w:pStyle w:val="Normal"/>
              <w:widowControl w:val="false"/>
              <w:rPr/>
            </w:pPr>
            <w:r>
              <w:rPr/>
              <w:t>СТРАХОВАТЕЛЬ</w:t>
            </w:r>
          </w:p>
          <w:p>
            <w:pPr>
              <w:pStyle w:val="Normal"/>
              <w:widowControl w:val="false"/>
              <w:rPr/>
            </w:pPr>
            <w:r>
              <w:rPr/>
            </w:r>
          </w:p>
          <w:p>
            <w:pPr>
              <w:pStyle w:val="Normal"/>
              <w:widowControl w:val="false"/>
              <w:rPr/>
            </w:pPr>
            <w:r>
              <w:rPr/>
              <w:t>_____________/ __________/</w:t>
            </w:r>
          </w:p>
          <w:p>
            <w:pPr>
              <w:pStyle w:val="Normal"/>
              <w:widowControl w:val="false"/>
              <w:jc w:val="center"/>
              <w:rPr/>
            </w:pPr>
            <w:r>
              <w:rPr/>
            </w:r>
          </w:p>
        </w:tc>
        <w:tc>
          <w:tcPr>
            <w:tcW w:w="4543" w:type="dxa"/>
            <w:gridSpan w:val="2"/>
            <w:tcBorders/>
          </w:tcPr>
          <w:p>
            <w:pPr>
              <w:pStyle w:val="Normal"/>
              <w:widowControl w:val="false"/>
              <w:rPr>
                <w:color w:val="000000"/>
              </w:rPr>
            </w:pPr>
            <w:r>
              <w:rPr>
                <w:color w:val="000000"/>
              </w:rPr>
            </w:r>
          </w:p>
          <w:p>
            <w:pPr>
              <w:pStyle w:val="Normal"/>
              <w:widowControl w:val="false"/>
              <w:rPr/>
            </w:pPr>
            <w:r>
              <w:rPr/>
              <w:t>СТРАХОВЩИК</w:t>
            </w:r>
          </w:p>
          <w:p>
            <w:pPr>
              <w:pStyle w:val="Normal"/>
              <w:widowControl w:val="false"/>
              <w:rPr/>
            </w:pPr>
            <w:r>
              <w:rPr/>
            </w:r>
          </w:p>
          <w:p>
            <w:pPr>
              <w:pStyle w:val="Normal"/>
              <w:widowControl w:val="false"/>
              <w:rPr/>
            </w:pPr>
            <w:r>
              <w:rPr/>
              <w:t xml:space="preserve"> </w:t>
            </w:r>
            <w:r>
              <w:rPr/>
              <w:t>_________________/ ________________/</w:t>
            </w:r>
          </w:p>
          <w:p>
            <w:pPr>
              <w:pStyle w:val="Normal"/>
              <w:widowControl w:val="false"/>
              <w:ind w:firstLine="34"/>
              <w:jc w:val="center"/>
              <w:rPr/>
            </w:pPr>
            <w:r>
              <w:rPr/>
            </w:r>
          </w:p>
        </w:tc>
        <w:tc>
          <w:tcPr>
            <w:tcW w:w="753" w:type="dxa"/>
            <w:tcBorders/>
            <w:tcMar>
              <w:left w:w="0" w:type="dxa"/>
              <w:right w:w="0" w:type="dxa"/>
            </w:tcMar>
          </w:tcPr>
          <w:p>
            <w:pPr>
              <w:pStyle w:val="Normal"/>
              <w:widowControl w:val="false"/>
              <w:rPr>
                <w:color w:val="000000"/>
              </w:rPr>
            </w:pPr>
            <w:r>
              <w:rPr>
                <w:color w:val="000000"/>
              </w:rPr>
            </w:r>
          </w:p>
        </w:tc>
      </w:tr>
    </w:tbl>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r>
        <w:br w:type="page"/>
      </w:r>
    </w:p>
    <w:p>
      <w:pPr>
        <w:pStyle w:val="Normal"/>
        <w:ind w:left="5040" w:firstLine="720"/>
        <w:jc w:val="right"/>
        <w:rPr/>
      </w:pPr>
      <w:r>
        <w:rPr>
          <w:color w:val="000000"/>
        </w:rPr>
        <w:t>Приложение № 3</w:t>
      </w:r>
    </w:p>
    <w:p>
      <w:pPr>
        <w:pStyle w:val="Normal"/>
        <w:widowControl w:val="false"/>
        <w:ind w:left="5760" w:hanging="0"/>
        <w:jc w:val="right"/>
        <w:rPr/>
      </w:pPr>
      <w:r>
        <w:rPr>
          <w:color w:val="000000"/>
        </w:rPr>
        <w:t>к Государственному контракту</w:t>
        <w:br/>
        <w:t>от ____ ______ 2026 г. № _____</w:t>
      </w:r>
    </w:p>
    <w:p>
      <w:pPr>
        <w:pStyle w:val="Normal"/>
        <w:tabs>
          <w:tab w:val="clear" w:pos="709"/>
          <w:tab w:val="left" w:pos="0" w:leader="none"/>
          <w:tab w:val="left" w:pos="540" w:leader="none"/>
          <w:tab w:val="left" w:pos="900" w:leader="none"/>
          <w:tab w:val="left" w:pos="1080" w:leader="none"/>
        </w:tabs>
        <w:ind w:firstLine="851"/>
        <w:jc w:val="right"/>
        <w:rPr>
          <w:lang w:eastAsia="ar-SA"/>
        </w:rPr>
      </w:pPr>
      <w:r>
        <w:rPr>
          <w:lang w:eastAsia="ar-SA"/>
        </w:rPr>
      </w:r>
    </w:p>
    <w:p>
      <w:pPr>
        <w:pStyle w:val="Normal"/>
        <w:ind w:right="-1" w:hanging="0"/>
        <w:jc w:val="center"/>
        <w:rPr>
          <w:b/>
          <w:b/>
          <w:bCs/>
        </w:rPr>
      </w:pPr>
      <w:r>
        <w:rPr>
          <w:b/>
          <w:bCs/>
        </w:rPr>
      </w:r>
    </w:p>
    <w:p>
      <w:pPr>
        <w:pStyle w:val="Normal"/>
        <w:ind w:right="-1" w:hanging="0"/>
        <w:jc w:val="center"/>
        <w:rPr>
          <w:b/>
          <w:b/>
          <w:bCs/>
        </w:rPr>
      </w:pPr>
      <w:r>
        <w:rPr>
          <w:b/>
          <w:bCs/>
        </w:rPr>
        <w:t>АКТ</w:t>
      </w:r>
    </w:p>
    <w:p>
      <w:pPr>
        <w:pStyle w:val="Normal"/>
        <w:ind w:right="-1" w:hanging="0"/>
        <w:jc w:val="center"/>
        <w:rPr>
          <w:b/>
          <w:b/>
          <w:bCs/>
        </w:rPr>
      </w:pPr>
      <w:r>
        <w:rPr>
          <w:b/>
          <w:bCs/>
        </w:rPr>
        <w:t>приема-передачи полиса (образец)</w:t>
      </w:r>
    </w:p>
    <w:p>
      <w:pPr>
        <w:pStyle w:val="Normal"/>
        <w:ind w:right="-1" w:hanging="0"/>
        <w:jc w:val="center"/>
        <w:rPr>
          <w:b/>
          <w:b/>
          <w:bCs/>
        </w:rPr>
      </w:pPr>
      <w:r>
        <w:rPr>
          <w:b/>
          <w:bCs/>
        </w:rPr>
      </w:r>
    </w:p>
    <w:p>
      <w:pPr>
        <w:pStyle w:val="Normal"/>
        <w:tabs>
          <w:tab w:val="clear" w:pos="709"/>
          <w:tab w:val="left" w:pos="6663" w:leader="none"/>
        </w:tabs>
        <w:ind w:right="-1" w:hanging="0"/>
        <w:rPr/>
      </w:pPr>
      <w:r>
        <w:rPr/>
        <w:t>г. Иркутск</w:t>
        <w:tab/>
        <w:t xml:space="preserve">              «____» _________ 20__  г.</w:t>
      </w:r>
    </w:p>
    <w:p>
      <w:pPr>
        <w:pStyle w:val="Normal"/>
        <w:ind w:right="-1" w:firstLine="567"/>
        <w:rPr/>
      </w:pPr>
      <w:r>
        <w:rPr/>
      </w:r>
    </w:p>
    <w:p>
      <w:pPr>
        <w:pStyle w:val="Normal"/>
        <w:widowControl w:val="false"/>
        <w:ind w:firstLine="709"/>
        <w:jc w:val="both"/>
        <w:rPr/>
      </w:pPr>
      <w:r>
        <w:rPr/>
        <w:t>Главное управление МЧС России по Иркутской области в лице __________________________, действующего на основании ________________________________, именуемое «Страхователь», с одной стороны, и __________________ в лице _________________, действующего на основании _______________, именуемый «Страховщик» с другой стороны, при совместном упоминании – «Стороны», составили настоящий акт о нижеследующем:</w:t>
      </w:r>
    </w:p>
    <w:p>
      <w:pPr>
        <w:pStyle w:val="Normal"/>
        <w:widowControl w:val="false"/>
        <w:ind w:firstLine="709"/>
        <w:jc w:val="both"/>
        <w:rPr>
          <w:bCs/>
        </w:rPr>
      </w:pPr>
      <w:r>
        <w:rPr>
          <w:bCs/>
        </w:rPr>
      </w:r>
    </w:p>
    <w:p>
      <w:pPr>
        <w:pStyle w:val="Normal"/>
        <w:ind w:firstLine="709"/>
        <w:jc w:val="both"/>
        <w:rPr/>
      </w:pPr>
      <w:r>
        <w:rPr/>
        <w:t>1. В соответствии с контрактом от «__» __________ 20__ г. №_____Страховщик выполнил обязательства по</w:t>
      </w:r>
      <w:r>
        <mc:AlternateContent>
          <mc:Choice Requires="wps">
            <w:drawing>
              <wp:anchor behindDoc="1" distT="0" distB="0" distL="0" distR="0" simplePos="0" locked="0" layoutInCell="0" allowOverlap="1" relativeHeight="6" wp14:anchorId="4CD8D0A4">
                <wp:simplePos x="0" y="0"/>
                <wp:positionH relativeFrom="column">
                  <wp:posOffset>-239395</wp:posOffset>
                </wp:positionH>
                <wp:positionV relativeFrom="paragraph">
                  <wp:posOffset>2105660</wp:posOffset>
                </wp:positionV>
                <wp:extent cx="6409055" cy="1978025"/>
                <wp:effectExtent l="0" t="0" r="0" b="0"/>
                <wp:wrapNone/>
                <wp:docPr id="3" name="Изображение2"/>
                <a:graphic xmlns:a="http://schemas.openxmlformats.org/drawingml/2006/main">
                  <a:graphicData uri="http://schemas.microsoft.com/office/word/2010/wordprocessingShape">
                    <wps:wsp>
                      <wps:cNvSpPr/>
                      <wps:spPr>
                        <a:xfrm rot="18660000">
                          <a:off x="0" y="0"/>
                          <a:ext cx="6408360" cy="1977480"/>
                        </a:xfrm>
                        <a:prstGeom prst="rect">
                          <a:avLst/>
                        </a:prstGeom>
                        <a:noFill/>
                        <a:ln w="0">
                          <a:noFill/>
                        </a:ln>
                      </wps:spPr>
                      <wps:style>
                        <a:lnRef idx="0"/>
                        <a:fillRef idx="0"/>
                        <a:effectRef idx="0"/>
                        <a:fontRef idx="minor"/>
                      </wps:style>
                      <wps:txbx>
                        <w:txbxContent>
                          <w:p>
                            <w:pPr>
                              <w:pStyle w:val="Style46"/>
                              <w:overflowPunct w:val="true"/>
                              <w:rPr/>
                            </w:pPr>
                            <w:r>
                              <w:rPr>
                                <w:rFonts w:eastAsia="Tahoma" w:cs="Tinos" w:ascii="Tinos" w:hAnsi="Tinos"/>
                                <w:color w:val="B2B2B2"/>
                                <w:kern w:val="2"/>
                                <w:sz w:val="230"/>
                                <w:lang w:eastAsia="zh-CN" w:bidi="hi-IN"/>
                              </w:rPr>
                              <w:t>ОБРАЗЕЦ</w:t>
                            </w:r>
                          </w:p>
                        </w:txbxContent>
                      </wps:txbx>
                      <wps:bodyPr lIns="0" rIns="0" tIns="0" bIns="0" anchor="t">
                        <a:noAutofit/>
                      </wps:bodyPr>
                    </wps:wsp>
                  </a:graphicData>
                </a:graphic>
              </wp:anchor>
            </w:drawing>
          </mc:Choice>
          <mc:Fallback>
            <w:pict>
              <v:rect id="shape_0" ID="Изображение2" path="m0,0l-2147483645,0l-2147483645,-2147483646l0,-2147483646xe" stroked="f" o:allowincell="f" style="position:absolute;margin-left:-18.85pt;margin-top:165.8pt;width:504.55pt;height:155.65pt;mso-wrap-style:square;v-text-anchor:top;rotation:311" wp14:anchorId="4CD8D0A4">
                <v:fill o:detectmouseclick="t" on="false"/>
                <v:stroke color="#3465a4" joinstyle="round" endcap="flat"/>
                <v:textbox>
                  <w:txbxContent>
                    <w:p>
                      <w:pPr>
                        <w:pStyle w:val="Style46"/>
                        <w:overflowPunct w:val="true"/>
                        <w:rPr/>
                      </w:pPr>
                      <w:r>
                        <w:rPr>
                          <w:rFonts w:eastAsia="Tahoma" w:cs="Tinos" w:ascii="Tinos" w:hAnsi="Tinos"/>
                          <w:color w:val="B2B2B2"/>
                          <w:kern w:val="2"/>
                          <w:sz w:val="230"/>
                          <w:lang w:eastAsia="zh-CN" w:bidi="hi-IN"/>
                        </w:rPr>
                        <w:t>ОБРАЗЕЦ</w:t>
                      </w:r>
                    </w:p>
                  </w:txbxContent>
                </v:textbox>
                <w10:wrap type="none"/>
              </v:rect>
            </w:pict>
          </mc:Fallback>
        </mc:AlternateContent>
      </w:r>
      <w:r>
        <w:rPr/>
        <w:t>:</w:t>
      </w:r>
    </w:p>
    <w:p>
      <w:pPr>
        <w:pStyle w:val="Normal"/>
        <w:ind w:firstLine="709"/>
        <w:jc w:val="both"/>
        <w:rPr/>
      </w:pPr>
      <w:r>
        <w:rPr/>
        <w:t xml:space="preserve">передаче страхового полиса (полюсов) в количестве _____ шт. на общую сумму (страховая премия) __________________________ рублей. Общая численность застрахованных определяется заявкой Страхователя и составляет ______ человек. Страховая сумма на одного Застрахованного составляет ____________  рублей. Общая страховая сумма по контракту: ______________ рублей. Срок действия полиса с 00.00 часов </w:t>
      </w:r>
      <w:r>
        <w:rPr>
          <w:u w:val="single"/>
        </w:rPr>
        <w:t>_______________</w:t>
      </w:r>
      <w:r>
        <w:rPr/>
        <w:t xml:space="preserve"> года до 24.00 часов </w:t>
      </w:r>
      <w:r>
        <w:rPr>
          <w:u w:val="single"/>
        </w:rPr>
        <w:t>_______________</w:t>
      </w:r>
      <w:r>
        <w:rPr/>
        <w:t>.</w:t>
      </w:r>
    </w:p>
    <w:p>
      <w:pPr>
        <w:pStyle w:val="Normal"/>
        <w:ind w:firstLine="709"/>
        <w:jc w:val="both"/>
        <w:rPr/>
      </w:pPr>
      <w:r>
        <w:rPr/>
        <w:t>2. Страховой полис согласно Контракта должен быть передан «__» ____________ 20__ г., фактически передан «__» _____________ 20__ г.</w:t>
      </w:r>
    </w:p>
    <w:p>
      <w:pPr>
        <w:pStyle w:val="Normal"/>
        <w:ind w:firstLine="709"/>
        <w:jc w:val="both"/>
        <w:rPr/>
      </w:pPr>
      <w:r>
        <w:rPr/>
        <w:t>3. Недостатки выявлены / не выявлены ____________________________________________.</w:t>
      </w:r>
    </w:p>
    <w:p>
      <w:pPr>
        <w:pStyle w:val="Normal"/>
        <w:ind w:firstLine="709"/>
        <w:jc w:val="both"/>
        <w:rPr/>
      </w:pPr>
      <w:r>
        <w:rPr/>
        <w:t>4.  Итоговая сумма, подлежащая оплате Страховщику с учетом (без) удержания штрафных санкций (при наличии), составляет ______________________________________________________.</w:t>
      </w:r>
    </w:p>
    <w:p>
      <w:pPr>
        <w:pStyle w:val="Normal"/>
        <w:ind w:firstLine="709"/>
        <w:jc w:val="both"/>
        <w:rPr>
          <w:rFonts w:eastAsia="Courier New"/>
        </w:rPr>
      </w:pPr>
      <w:r>
        <w:rPr>
          <w:rFonts w:eastAsia="Courier New"/>
        </w:rPr>
        <w:t>Настоящий акт составлен на русском языке в 2 (двух) экземплярах, каждый из которых имеет равную юридическую силу, по одному экземпляру для каждой стороны.</w:t>
      </w:r>
    </w:p>
    <w:p>
      <w:pPr>
        <w:pStyle w:val="Normal"/>
        <w:ind w:firstLine="709"/>
        <w:jc w:val="both"/>
        <w:rPr/>
      </w:pPr>
      <w:r>
        <w:rPr/>
      </w:r>
    </w:p>
    <w:p>
      <w:pPr>
        <w:pStyle w:val="Normal"/>
        <w:widowControl w:val="false"/>
        <w:rPr/>
      </w:pPr>
      <w:r>
        <w:rPr/>
      </w:r>
    </w:p>
    <w:tbl>
      <w:tblPr>
        <w:tblW w:w="10224"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114"/>
        <w:gridCol w:w="4601"/>
        <w:gridCol w:w="212"/>
        <w:gridCol w:w="1987"/>
        <w:gridCol w:w="2556"/>
        <w:gridCol w:w="753"/>
      </w:tblGrid>
      <w:tr>
        <w:trPr/>
        <w:tc>
          <w:tcPr>
            <w:tcW w:w="4715" w:type="dxa"/>
            <w:gridSpan w:val="2"/>
            <w:tcBorders/>
          </w:tcPr>
          <w:p>
            <w:pPr>
              <w:pStyle w:val="Normal"/>
              <w:widowControl w:val="false"/>
              <w:rPr/>
            </w:pPr>
            <w:r>
              <w:rPr/>
              <w:t>__________________________________</w:t>
            </w:r>
          </w:p>
        </w:tc>
        <w:tc>
          <w:tcPr>
            <w:tcW w:w="2199" w:type="dxa"/>
            <w:gridSpan w:val="2"/>
            <w:tcBorders/>
          </w:tcPr>
          <w:p>
            <w:pPr>
              <w:pStyle w:val="Normal"/>
              <w:widowControl w:val="false"/>
              <w:rPr/>
            </w:pPr>
            <w:r>
              <w:rPr/>
              <w:t>________________</w:t>
            </w:r>
          </w:p>
        </w:tc>
        <w:tc>
          <w:tcPr>
            <w:tcW w:w="3309" w:type="dxa"/>
            <w:gridSpan w:val="2"/>
            <w:tcBorders/>
          </w:tcPr>
          <w:p>
            <w:pPr>
              <w:pStyle w:val="Normal"/>
              <w:widowControl w:val="false"/>
              <w:rPr/>
            </w:pPr>
            <w:r>
              <w:rPr/>
              <w:t>_______________________</w:t>
            </w:r>
          </w:p>
        </w:tc>
      </w:tr>
      <w:tr>
        <w:trPr/>
        <w:tc>
          <w:tcPr>
            <w:tcW w:w="4715" w:type="dxa"/>
            <w:gridSpan w:val="2"/>
            <w:tcBorders/>
          </w:tcPr>
          <w:p>
            <w:pPr>
              <w:pStyle w:val="Normal"/>
              <w:widowControl w:val="false"/>
              <w:jc w:val="center"/>
              <w:rPr>
                <w:vertAlign w:val="superscript"/>
              </w:rPr>
            </w:pPr>
            <w:r>
              <w:rPr>
                <w:vertAlign w:val="superscript"/>
              </w:rPr>
              <w:t>(должностное лицо Страхователя, ответственное</w:t>
            </w:r>
          </w:p>
          <w:p>
            <w:pPr>
              <w:pStyle w:val="Normal"/>
              <w:widowControl w:val="false"/>
              <w:jc w:val="center"/>
              <w:rPr>
                <w:vertAlign w:val="superscript"/>
              </w:rPr>
            </w:pPr>
            <w:r>
              <w:rPr>
                <w:vertAlign w:val="superscript"/>
              </w:rPr>
              <w:t>за мониторинг исполнения контракта)</w:t>
            </w:r>
          </w:p>
        </w:tc>
        <w:tc>
          <w:tcPr>
            <w:tcW w:w="2199" w:type="dxa"/>
            <w:gridSpan w:val="2"/>
            <w:tcBorders/>
          </w:tcPr>
          <w:p>
            <w:pPr>
              <w:pStyle w:val="Normal"/>
              <w:widowControl w:val="false"/>
              <w:jc w:val="center"/>
              <w:rPr>
                <w:vertAlign w:val="superscript"/>
              </w:rPr>
            </w:pPr>
            <w:r>
              <w:rPr>
                <w:vertAlign w:val="superscript"/>
              </w:rPr>
              <w:t>(Подпись)</w:t>
            </w:r>
          </w:p>
        </w:tc>
        <w:tc>
          <w:tcPr>
            <w:tcW w:w="3309" w:type="dxa"/>
            <w:gridSpan w:val="2"/>
            <w:tcBorders/>
          </w:tcPr>
          <w:p>
            <w:pPr>
              <w:pStyle w:val="Normal"/>
              <w:widowControl w:val="false"/>
              <w:jc w:val="center"/>
              <w:rPr>
                <w:vertAlign w:val="superscript"/>
              </w:rPr>
            </w:pPr>
            <w:r>
              <w:rPr>
                <w:vertAlign w:val="superscript"/>
              </w:rPr>
              <w:t>(Ф.И.О.)</w:t>
            </w:r>
          </w:p>
        </w:tc>
      </w:tr>
      <w:tr>
        <w:trPr>
          <w:trHeight w:val="80" w:hRule="atLeast"/>
        </w:trPr>
        <w:tc>
          <w:tcPr>
            <w:tcW w:w="114" w:type="dxa"/>
            <w:tcBorders/>
            <w:tcMar>
              <w:left w:w="0" w:type="dxa"/>
              <w:right w:w="0" w:type="dxa"/>
            </w:tcMar>
          </w:tcPr>
          <w:p>
            <w:pPr>
              <w:pStyle w:val="Normal"/>
              <w:widowControl w:val="false"/>
              <w:rPr>
                <w:vertAlign w:val="superscript"/>
              </w:rPr>
            </w:pPr>
            <w:r>
              <w:rPr>
                <w:vertAlign w:val="superscript"/>
              </w:rPr>
            </w:r>
          </w:p>
        </w:tc>
        <w:tc>
          <w:tcPr>
            <w:tcW w:w="4813" w:type="dxa"/>
            <w:gridSpan w:val="2"/>
            <w:tcBorders/>
          </w:tcPr>
          <w:p>
            <w:pPr>
              <w:pStyle w:val="Normal"/>
              <w:widowControl w:val="false"/>
              <w:rPr>
                <w:color w:val="000000"/>
              </w:rPr>
            </w:pPr>
            <w:r>
              <w:rPr>
                <w:color w:val="000000"/>
              </w:rPr>
            </w:r>
          </w:p>
          <w:p>
            <w:pPr>
              <w:pStyle w:val="Normal"/>
              <w:widowControl w:val="false"/>
              <w:rPr/>
            </w:pPr>
            <w:r>
              <w:rPr/>
              <w:t>СТРАХОВАТЕЛЬ:</w:t>
            </w:r>
          </w:p>
          <w:p>
            <w:pPr>
              <w:pStyle w:val="Normal"/>
              <w:widowControl w:val="false"/>
              <w:rPr/>
            </w:pPr>
            <w:r>
              <w:rPr/>
            </w:r>
          </w:p>
          <w:p>
            <w:pPr>
              <w:pStyle w:val="Normal"/>
              <w:widowControl w:val="false"/>
              <w:rPr/>
            </w:pPr>
            <w:r>
              <w:rPr/>
              <w:t>_______________/ ______________/</w:t>
            </w:r>
          </w:p>
          <w:p>
            <w:pPr>
              <w:pStyle w:val="Normal"/>
              <w:widowControl w:val="false"/>
              <w:jc w:val="center"/>
              <w:rPr/>
            </w:pPr>
            <w:r>
              <w:rPr/>
            </w:r>
          </w:p>
        </w:tc>
        <w:tc>
          <w:tcPr>
            <w:tcW w:w="4543" w:type="dxa"/>
            <w:gridSpan w:val="2"/>
            <w:tcBorders/>
          </w:tcPr>
          <w:p>
            <w:pPr>
              <w:pStyle w:val="Normal"/>
              <w:widowControl w:val="false"/>
              <w:rPr>
                <w:color w:val="000000"/>
              </w:rPr>
            </w:pPr>
            <w:r>
              <w:rPr>
                <w:color w:val="000000"/>
              </w:rPr>
            </w:r>
          </w:p>
          <w:p>
            <w:pPr>
              <w:pStyle w:val="Normal"/>
              <w:widowControl w:val="false"/>
              <w:rPr/>
            </w:pPr>
            <w:r>
              <w:rPr/>
              <w:t>СТРАХОВЩИК:</w:t>
            </w:r>
          </w:p>
          <w:p>
            <w:pPr>
              <w:pStyle w:val="Normal"/>
              <w:widowControl w:val="false"/>
              <w:rPr/>
            </w:pPr>
            <w:r>
              <w:rPr/>
            </w:r>
          </w:p>
          <w:p>
            <w:pPr>
              <w:pStyle w:val="Normal"/>
              <w:widowControl w:val="false"/>
              <w:rPr/>
            </w:pPr>
            <w:r>
              <w:rPr/>
              <w:t xml:space="preserve"> </w:t>
            </w:r>
            <w:r>
              <w:rPr/>
              <w:t>_________________/ ________________/</w:t>
            </w:r>
          </w:p>
          <w:p>
            <w:pPr>
              <w:pStyle w:val="Normal"/>
              <w:widowControl w:val="false"/>
              <w:ind w:firstLine="34"/>
              <w:jc w:val="center"/>
              <w:rPr/>
            </w:pPr>
            <w:r>
              <w:rPr/>
            </w:r>
          </w:p>
        </w:tc>
        <w:tc>
          <w:tcPr>
            <w:tcW w:w="753" w:type="dxa"/>
            <w:tcBorders/>
            <w:tcMar>
              <w:left w:w="0" w:type="dxa"/>
              <w:right w:w="0" w:type="dxa"/>
            </w:tcMar>
          </w:tcPr>
          <w:p>
            <w:pPr>
              <w:pStyle w:val="Normal"/>
              <w:widowControl w:val="false"/>
              <w:rPr>
                <w:color w:val="000000"/>
              </w:rPr>
            </w:pPr>
            <w:r>
              <w:rPr>
                <w:color w:val="000000"/>
              </w:rPr>
            </w:r>
          </w:p>
        </w:tc>
      </w:tr>
    </w:tbl>
    <w:p>
      <w:pPr>
        <w:pStyle w:val="Normal"/>
        <w:rPr/>
      </w:pPr>
      <w:r>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jc w:val="right"/>
        <w:rPr/>
      </w:pPr>
      <w:r>
        <w:rPr/>
      </w:r>
    </w:p>
    <w:p>
      <w:pPr>
        <w:pStyle w:val="Normal"/>
        <w:ind w:left="6521" w:hanging="0"/>
        <w:jc w:val="right"/>
        <w:rPr/>
      </w:pPr>
      <w:r>
        <w:rPr/>
        <w:t>Приложение № 4</w:t>
      </w:r>
    </w:p>
    <w:p>
      <w:pPr>
        <w:pStyle w:val="Normal"/>
        <w:ind w:left="6521" w:hanging="0"/>
        <w:jc w:val="right"/>
        <w:rPr/>
      </w:pPr>
      <w:r>
        <w:rPr>
          <w:rFonts w:eastAsia="A"/>
        </w:rPr>
        <w:t>к</w:t>
      </w:r>
      <w:r>
        <w:rPr/>
        <w:t xml:space="preserve"> государственному </w:t>
      </w:r>
      <w:r>
        <w:rPr>
          <w:rFonts w:eastAsia="A"/>
        </w:rPr>
        <w:t>контракту</w:t>
      </w:r>
    </w:p>
    <w:p>
      <w:pPr>
        <w:pStyle w:val="Normal"/>
        <w:ind w:left="6521" w:hanging="0"/>
        <w:jc w:val="right"/>
        <w:rPr/>
      </w:pPr>
      <w:r>
        <w:rPr/>
        <w:t>от «___» ________ 2026</w:t>
      </w:r>
      <w:r>
        <w:rPr>
          <w:rFonts w:eastAsia="A"/>
        </w:rPr>
        <w:t xml:space="preserve"> г.</w:t>
      </w:r>
      <w:r>
        <w:rPr/>
        <w:t xml:space="preserve"> №  ___</w:t>
      </w:r>
    </w:p>
    <w:p>
      <w:pPr>
        <w:pStyle w:val="Normal"/>
        <w:jc w:val="center"/>
        <w:rPr>
          <w:rFonts w:eastAsia="Calibri"/>
          <w:b/>
          <w:b/>
          <w:bCs/>
          <w:lang w:eastAsia="en-US"/>
        </w:rPr>
      </w:pPr>
      <w:r>
        <w:rPr>
          <w:rFonts w:eastAsia="Calibri"/>
          <w:b/>
          <w:bCs/>
          <w:lang w:eastAsia="en-US"/>
        </w:rPr>
      </w:r>
    </w:p>
    <w:p>
      <w:pPr>
        <w:pStyle w:val="Normal"/>
        <w:jc w:val="center"/>
        <w:rPr/>
      </w:pPr>
      <w:r>
        <w:rPr>
          <w:rFonts w:eastAsia="Calibri"/>
          <w:b/>
          <w:bCs/>
          <w:lang w:eastAsia="en-US"/>
        </w:rPr>
        <w:t>Список застрахованных лиц</w:t>
      </w:r>
    </w:p>
    <w:p>
      <w:pPr>
        <w:pStyle w:val="Normal"/>
        <w:jc w:val="center"/>
        <w:rPr/>
      </w:pPr>
      <w:r>
        <w:rPr>
          <w:rFonts w:eastAsia="Calibri"/>
          <w:bCs/>
          <w:lang w:eastAsia="en-US"/>
        </w:rPr>
        <w:t>(образец заявки)</w:t>
      </w:r>
    </w:p>
    <w:p>
      <w:pPr>
        <w:pStyle w:val="Normal"/>
        <w:rPr>
          <w:rFonts w:eastAsia="Calibri"/>
          <w:bCs/>
          <w:lang w:eastAsia="en-US"/>
        </w:rPr>
      </w:pPr>
      <w:r>
        <w:rPr>
          <w:rFonts w:eastAsia="Calibri"/>
          <w:bCs/>
          <w:lang w:eastAsia="en-US"/>
        </w:rPr>
      </w:r>
    </w:p>
    <w:p>
      <w:pPr>
        <w:pStyle w:val="6"/>
        <w:numPr>
          <w:ilvl w:val="8"/>
          <w:numId w:val="2"/>
        </w:numPr>
        <w:spacing w:before="0" w:after="0"/>
        <w:ind w:firstLine="709"/>
        <w:jc w:val="both"/>
        <w:rPr>
          <w:rFonts w:ascii="Times New Roman" w:hAnsi="Times New Roman"/>
          <w:sz w:val="24"/>
          <w:szCs w:val="24"/>
        </w:rPr>
      </w:pPr>
      <w:r>
        <w:rPr>
          <w:rFonts w:ascii="Times New Roman" w:hAnsi="Times New Roman"/>
          <w:sz w:val="24"/>
          <w:szCs w:val="24"/>
        </w:rPr>
        <w:t>Валюта страховых сумм и взносов: RUB</w:t>
      </w:r>
    </w:p>
    <w:p>
      <w:pPr>
        <w:pStyle w:val="Normal"/>
        <w:ind w:firstLine="708"/>
        <w:rPr/>
      </w:pPr>
      <w:r>
        <w:rPr>
          <w:rFonts w:eastAsia="Calibri"/>
          <w:bCs/>
          <w:lang w:eastAsia="en-US"/>
        </w:rPr>
        <w:t>Количество лиц, подлежащих страхованию в период с «___» ______ 202__г. по «___» ______ 202__г.  составляет _________ человек, согласно списку:</w:t>
      </w:r>
    </w:p>
    <w:p>
      <w:pPr>
        <w:pStyle w:val="Normal"/>
        <w:rPr>
          <w:rFonts w:eastAsia="Calibri"/>
          <w:bCs/>
          <w:lang w:eastAsia="en-US"/>
        </w:rPr>
      </w:pPr>
      <w:r>
        <w:rPr>
          <w:rFonts w:eastAsia="Calibri"/>
          <w:bCs/>
          <w:lang w:eastAsia="en-US"/>
        </w:rPr>
        <mc:AlternateContent>
          <mc:Choice Requires="wps">
            <w:drawing>
              <wp:anchor behindDoc="1" distT="0" distB="0" distL="0" distR="0" simplePos="0" locked="0" layoutInCell="0" allowOverlap="1" relativeHeight="8" wp14:anchorId="1DAEC38C">
                <wp:simplePos x="0" y="0"/>
                <wp:positionH relativeFrom="column">
                  <wp:posOffset>-239395</wp:posOffset>
                </wp:positionH>
                <wp:positionV relativeFrom="paragraph">
                  <wp:posOffset>2105660</wp:posOffset>
                </wp:positionV>
                <wp:extent cx="6409055" cy="1978025"/>
                <wp:effectExtent l="0" t="0" r="0" b="0"/>
                <wp:wrapNone/>
                <wp:docPr id="5" name="Изображение3"/>
                <a:graphic xmlns:a="http://schemas.openxmlformats.org/drawingml/2006/main">
                  <a:graphicData uri="http://schemas.microsoft.com/office/word/2010/wordprocessingShape">
                    <wps:wsp>
                      <wps:cNvSpPr/>
                      <wps:spPr>
                        <a:xfrm rot="18660000">
                          <a:off x="0" y="0"/>
                          <a:ext cx="6408360" cy="1977480"/>
                        </a:xfrm>
                        <a:prstGeom prst="rect">
                          <a:avLst/>
                        </a:prstGeom>
                        <a:noFill/>
                        <a:ln w="0">
                          <a:noFill/>
                        </a:ln>
                      </wps:spPr>
                      <wps:style>
                        <a:lnRef idx="0"/>
                        <a:fillRef idx="0"/>
                        <a:effectRef idx="0"/>
                        <a:fontRef idx="minor"/>
                      </wps:style>
                      <wps:txbx>
                        <w:txbxContent>
                          <w:p>
                            <w:pPr>
                              <w:pStyle w:val="Style46"/>
                              <w:overflowPunct w:val="true"/>
                              <w:rPr/>
                            </w:pPr>
                            <w:r>
                              <w:rPr>
                                <w:rFonts w:eastAsia="Tahoma" w:cs="Tinos" w:ascii="Tinos" w:hAnsi="Tinos"/>
                                <w:color w:val="B2B2B2"/>
                                <w:kern w:val="2"/>
                                <w:sz w:val="230"/>
                                <w:lang w:eastAsia="zh-CN" w:bidi="hi-IN"/>
                              </w:rPr>
                              <w:t>ОБРАЗЕЦ</w:t>
                            </w:r>
                          </w:p>
                        </w:txbxContent>
                      </wps:txbx>
                      <wps:bodyPr lIns="0" rIns="0" tIns="0" bIns="0" anchor="t">
                        <a:noAutofit/>
                      </wps:bodyPr>
                    </wps:wsp>
                  </a:graphicData>
                </a:graphic>
              </wp:anchor>
            </w:drawing>
          </mc:Choice>
          <mc:Fallback>
            <w:pict>
              <v:rect id="shape_0" ID="Изображение3" path="m0,0l-2147483645,0l-2147483645,-2147483646l0,-2147483646xe" stroked="f" o:allowincell="f" style="position:absolute;margin-left:-18.85pt;margin-top:165.8pt;width:504.55pt;height:155.65pt;mso-wrap-style:square;v-text-anchor:top;rotation:311" wp14:anchorId="1DAEC38C">
                <v:fill o:detectmouseclick="t" on="false"/>
                <v:stroke color="#3465a4" joinstyle="round" endcap="flat"/>
                <v:textbox>
                  <w:txbxContent>
                    <w:p>
                      <w:pPr>
                        <w:pStyle w:val="Style46"/>
                        <w:overflowPunct w:val="true"/>
                        <w:rPr/>
                      </w:pPr>
                      <w:r>
                        <w:rPr>
                          <w:rFonts w:eastAsia="Tahoma" w:cs="Tinos" w:ascii="Tinos" w:hAnsi="Tinos"/>
                          <w:color w:val="B2B2B2"/>
                          <w:kern w:val="2"/>
                          <w:sz w:val="230"/>
                          <w:lang w:eastAsia="zh-CN" w:bidi="hi-IN"/>
                        </w:rPr>
                        <w:t>ОБРАЗЕЦ</w:t>
                      </w:r>
                    </w:p>
                  </w:txbxContent>
                </v:textbox>
                <w10:wrap type="none"/>
              </v:rect>
            </w:pict>
          </mc:Fallback>
        </mc:AlternateContent>
      </w:r>
    </w:p>
    <w:tbl>
      <w:tblPr>
        <w:tblW w:w="10138" w:type="dxa"/>
        <w:jc w:val="left"/>
        <w:tblInd w:w="-30" w:type="dxa"/>
        <w:tblLayout w:type="fixed"/>
        <w:tblCellMar>
          <w:top w:w="0" w:type="dxa"/>
          <w:left w:w="30" w:type="dxa"/>
          <w:bottom w:w="0" w:type="dxa"/>
          <w:right w:w="30" w:type="dxa"/>
        </w:tblCellMar>
        <w:tblLook w:noVBand="0" w:val="0000" w:noHBand="0" w:lastColumn="0" w:firstColumn="0" w:lastRow="0" w:firstRow="0"/>
      </w:tblPr>
      <w:tblGrid>
        <w:gridCol w:w="500"/>
        <w:gridCol w:w="2787"/>
        <w:gridCol w:w="916"/>
        <w:gridCol w:w="836"/>
        <w:gridCol w:w="859"/>
        <w:gridCol w:w="851"/>
        <w:gridCol w:w="844"/>
        <w:gridCol w:w="851"/>
        <w:gridCol w:w="855"/>
        <w:gridCol w:w="838"/>
      </w:tblGrid>
      <w:tr>
        <w:trPr>
          <w:trHeight w:val="390" w:hRule="atLeast"/>
        </w:trPr>
        <w:tc>
          <w:tcPr>
            <w:tcW w:w="50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pPr>
            <w:r>
              <w:rPr/>
            </w:r>
          </w:p>
          <w:p>
            <w:pPr>
              <w:pStyle w:val="Normal"/>
              <w:widowControl w:val="false"/>
              <w:jc w:val="center"/>
              <w:rPr/>
            </w:pPr>
            <w:r>
              <w:rPr>
                <w:b/>
              </w:rPr>
              <w:t>№</w:t>
            </w:r>
            <w:r>
              <w:rPr>
                <w:rFonts w:eastAsia="Tinos"/>
                <w:b/>
              </w:rPr>
              <w:t xml:space="preserve"> </w:t>
            </w:r>
            <w:r>
              <w:rPr>
                <w:b/>
              </w:rPr>
              <w:t>п/п</w:t>
            </w:r>
          </w:p>
        </w:tc>
        <w:tc>
          <w:tcPr>
            <w:tcW w:w="278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pPr>
            <w:r>
              <w:rPr/>
            </w:r>
          </w:p>
          <w:p>
            <w:pPr>
              <w:pStyle w:val="Normal"/>
              <w:widowControl w:val="false"/>
              <w:jc w:val="center"/>
              <w:rPr/>
            </w:pPr>
            <w:r>
              <w:rPr>
                <w:b/>
              </w:rPr>
              <w:t>ФИО</w:t>
            </w:r>
          </w:p>
        </w:tc>
        <w:tc>
          <w:tcPr>
            <w:tcW w:w="9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pPr>
            <w:r>
              <w:rPr/>
            </w:r>
          </w:p>
          <w:p>
            <w:pPr>
              <w:pStyle w:val="Normal"/>
              <w:widowControl w:val="false"/>
              <w:jc w:val="center"/>
              <w:rPr/>
            </w:pPr>
            <w:r>
              <w:rPr>
                <w:b/>
              </w:rPr>
              <w:t>Дата рождения</w:t>
            </w:r>
          </w:p>
        </w:tc>
        <w:tc>
          <w:tcPr>
            <w:tcW w:w="169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Lines w:val="false"/>
              <w:widowControl w:val="false"/>
              <w:numPr>
                <w:ilvl w:val="0"/>
                <w:numId w:val="2"/>
              </w:numPr>
              <w:spacing w:before="0" w:after="0"/>
              <w:jc w:val="center"/>
              <w:rPr>
                <w:rFonts w:ascii="Times New Roman" w:hAnsi="Times New Roman" w:cs="Times New Roman"/>
                <w:sz w:val="24"/>
                <w:szCs w:val="24"/>
              </w:rPr>
            </w:pPr>
            <w:r>
              <w:rPr>
                <w:rFonts w:cs="Times New Roman" w:ascii="Times New Roman" w:hAnsi="Times New Roman"/>
                <w:color w:val="auto"/>
                <w:sz w:val="24"/>
                <w:szCs w:val="24"/>
              </w:rPr>
              <w:t>Смерть НС</w:t>
            </w:r>
          </w:p>
        </w:tc>
        <w:tc>
          <w:tcPr>
            <w:tcW w:w="169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widowControl w:val="false"/>
              <w:spacing w:before="480" w:after="0"/>
              <w:jc w:val="center"/>
              <w:rPr>
                <w:rFonts w:ascii="Times New Roman" w:hAnsi="Times New Roman" w:cs="Times New Roman"/>
                <w:color w:val="auto"/>
                <w:sz w:val="24"/>
                <w:szCs w:val="24"/>
              </w:rPr>
            </w:pPr>
            <w:r>
              <w:rPr>
                <w:rFonts w:cs="Times New Roman" w:ascii="Times New Roman" w:hAnsi="Times New Roman"/>
                <w:color w:val="auto"/>
                <w:sz w:val="24"/>
                <w:szCs w:val="24"/>
              </w:rPr>
              <w:t>Инвалидность НС</w:t>
            </w:r>
          </w:p>
          <w:p>
            <w:pPr>
              <w:pStyle w:val="1"/>
              <w:keepLines w:val="false"/>
              <w:widowControl w:val="false"/>
              <w:spacing w:before="0" w:after="0"/>
              <w:jc w:val="center"/>
              <w:rPr>
                <w:rFonts w:ascii="Times New Roman" w:hAnsi="Times New Roman" w:cs="Times New Roman"/>
                <w:sz w:val="24"/>
                <w:szCs w:val="24"/>
              </w:rPr>
            </w:pPr>
            <w:r>
              <w:rPr>
                <w:rFonts w:cs="Times New Roman" w:ascii="Times New Roman" w:hAnsi="Times New Roman"/>
                <w:color w:val="auto"/>
                <w:sz w:val="24"/>
                <w:szCs w:val="24"/>
              </w:rPr>
              <w:t>(1, 2, 3 гр. (100/80/60))</w:t>
            </w:r>
          </w:p>
        </w:tc>
        <w:tc>
          <w:tcPr>
            <w:tcW w:w="17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Lines w:val="false"/>
              <w:widowControl w:val="false"/>
              <w:numPr>
                <w:ilvl w:val="0"/>
                <w:numId w:val="2"/>
              </w:numPr>
              <w:spacing w:before="0" w:after="0"/>
              <w:jc w:val="center"/>
              <w:rPr>
                <w:rFonts w:ascii="Times New Roman" w:hAnsi="Times New Roman" w:cs="Times New Roman"/>
                <w:sz w:val="24"/>
                <w:szCs w:val="24"/>
              </w:rPr>
            </w:pPr>
            <w:r>
              <w:rPr>
                <w:rFonts w:cs="Times New Roman" w:ascii="Times New Roman" w:hAnsi="Times New Roman"/>
                <w:color w:val="auto"/>
                <w:sz w:val="24"/>
                <w:szCs w:val="24"/>
              </w:rPr>
              <w:t>Временная утрата трудоспособности (временное нарушение здоровья) в результате несчастного случая (по дням)</w:t>
            </w:r>
          </w:p>
        </w:tc>
        <w:tc>
          <w:tcPr>
            <w:tcW w:w="83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1"/>
              <w:keepLines w:val="false"/>
              <w:widowControl w:val="false"/>
              <w:numPr>
                <w:ilvl w:val="0"/>
                <w:numId w:val="2"/>
              </w:numPr>
              <w:spacing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t>Общая страховая премия</w:t>
            </w:r>
          </w:p>
        </w:tc>
      </w:tr>
      <w:tr>
        <w:trPr>
          <w:trHeight w:val="390" w:hRule="atLeast"/>
        </w:trPr>
        <w:tc>
          <w:tcPr>
            <w:tcW w:w="50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pPr>
            <w:r>
              <w:rPr/>
            </w:r>
          </w:p>
        </w:tc>
        <w:tc>
          <w:tcPr>
            <w:tcW w:w="278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pPr>
            <w:r>
              <w:rPr/>
            </w:r>
          </w:p>
        </w:tc>
        <w:tc>
          <w:tcPr>
            <w:tcW w:w="9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pPr>
            <w:r>
              <w:rPr/>
            </w:r>
          </w:p>
        </w:tc>
        <w:tc>
          <w:tcPr>
            <w:tcW w:w="8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bookmarkStart w:id="5" w:name="ListObjSubName31"/>
            <w:bookmarkEnd w:id="5"/>
            <w:r>
              <w:rPr/>
              <w:t>Страховая сумма</w:t>
            </w:r>
          </w:p>
        </w:tc>
        <w:tc>
          <w:tcPr>
            <w:tcW w:w="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Страховая премия</w:t>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bookmarkStart w:id="6" w:name="ListObjSubName311"/>
            <w:bookmarkEnd w:id="6"/>
            <w:r>
              <w:rPr/>
              <w:t>Страховая сумма</w:t>
            </w:r>
          </w:p>
        </w:tc>
        <w:tc>
          <w:tcPr>
            <w:tcW w:w="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Страховая премия</w:t>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bookmarkStart w:id="7" w:name="ListObjSubName3111"/>
            <w:bookmarkEnd w:id="7"/>
            <w:r>
              <w:rPr/>
              <w:t>Страховая сумма</w:t>
            </w:r>
          </w:p>
        </w:tc>
        <w:tc>
          <w:tcPr>
            <w:tcW w:w="8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Страховая премия</w:t>
            </w:r>
          </w:p>
        </w:tc>
        <w:tc>
          <w:tcPr>
            <w:tcW w:w="83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pPr>
            <w:r>
              <w:rPr/>
            </w:r>
          </w:p>
        </w:tc>
      </w:tr>
      <w:tr>
        <w:trPr>
          <w:trHeight w:val="23" w:hRule="atLeast"/>
        </w:trPr>
        <w:tc>
          <w:tcPr>
            <w:tcW w:w="5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rPr>
              <w:t>1</w:t>
            </w:r>
          </w:p>
        </w:tc>
        <w:tc>
          <w:tcPr>
            <w:tcW w:w="27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r>
          </w:p>
        </w:tc>
        <w:tc>
          <w:tcPr>
            <w:tcW w:w="9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r>
      <w:tr>
        <w:trPr>
          <w:trHeight w:val="23" w:hRule="atLeast"/>
        </w:trPr>
        <w:tc>
          <w:tcPr>
            <w:tcW w:w="5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rPr>
              <w:t>2</w:t>
            </w:r>
          </w:p>
        </w:tc>
        <w:tc>
          <w:tcPr>
            <w:tcW w:w="27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r>
          </w:p>
        </w:tc>
        <w:tc>
          <w:tcPr>
            <w:tcW w:w="9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pPr>
            <w:r>
              <w:rPr/>
            </w:r>
          </w:p>
        </w:tc>
      </w:tr>
    </w:tbl>
    <w:p>
      <w:pPr>
        <w:pStyle w:val="Normal"/>
        <w:rPr>
          <w:rFonts w:eastAsia="Calibri"/>
          <w:b/>
          <w:b/>
          <w:bCs/>
          <w:color w:val="000000"/>
          <w:lang w:eastAsia="en-US"/>
        </w:rPr>
      </w:pPr>
      <w:r>
        <w:rPr>
          <w:rFonts w:eastAsia="Calibri"/>
          <w:b/>
          <w:bCs/>
          <w:color w:val="000000"/>
          <w:lang w:eastAsia="en-US"/>
        </w:rPr>
      </w:r>
    </w:p>
    <w:p>
      <w:pPr>
        <w:pStyle w:val="Normal"/>
        <w:rPr>
          <w:rFonts w:eastAsia="Calibri"/>
          <w:b/>
          <w:b/>
          <w:bCs/>
          <w:color w:val="000000"/>
          <w:lang w:eastAsia="en-US"/>
        </w:rPr>
      </w:pPr>
      <w:r>
        <w:rPr>
          <w:rFonts w:eastAsia="Calibri"/>
          <w:b/>
          <w:bCs/>
          <w:color w:val="000000"/>
          <w:lang w:eastAsia="en-US"/>
        </w:rPr>
      </w:r>
    </w:p>
    <w:p>
      <w:pPr>
        <w:pStyle w:val="Normal"/>
        <w:rPr>
          <w:rFonts w:eastAsia="Calibri"/>
          <w:b/>
          <w:b/>
          <w:bCs/>
          <w:color w:val="000000"/>
          <w:lang w:eastAsia="en-US"/>
        </w:rPr>
      </w:pPr>
      <w:r>
        <w:rPr>
          <w:rFonts w:eastAsia="Calibri"/>
          <w:b/>
          <w:bCs/>
          <w:color w:val="000000"/>
          <w:lang w:eastAsia="en-US"/>
        </w:rPr>
      </w:r>
    </w:p>
    <w:tbl>
      <w:tblPr>
        <w:tblW w:w="9925" w:type="dxa"/>
        <w:jc w:val="left"/>
        <w:tblInd w:w="224" w:type="dxa"/>
        <w:tblLayout w:type="fixed"/>
        <w:tblCellMar>
          <w:top w:w="0" w:type="dxa"/>
          <w:left w:w="108" w:type="dxa"/>
          <w:bottom w:w="0" w:type="dxa"/>
          <w:right w:w="108" w:type="dxa"/>
        </w:tblCellMar>
        <w:tblLook w:noVBand="1" w:val="04a0" w:noHBand="0" w:lastColumn="0" w:firstColumn="1" w:lastRow="0" w:firstRow="1"/>
      </w:tblPr>
      <w:tblGrid>
        <w:gridCol w:w="4919"/>
        <w:gridCol w:w="5005"/>
      </w:tblGrid>
      <w:tr>
        <w:trPr>
          <w:trHeight w:val="80" w:hRule="atLeast"/>
        </w:trPr>
        <w:tc>
          <w:tcPr>
            <w:tcW w:w="4919" w:type="dxa"/>
            <w:tcBorders/>
          </w:tcPr>
          <w:p>
            <w:pPr>
              <w:pStyle w:val="Normal"/>
              <w:widowControl w:val="false"/>
              <w:rPr/>
            </w:pPr>
            <w:r>
              <w:rPr/>
              <w:t>СТРАХОВАТЕЛЬ:</w:t>
            </w:r>
          </w:p>
          <w:p>
            <w:pPr>
              <w:pStyle w:val="Normal"/>
              <w:widowControl w:val="false"/>
              <w:rPr/>
            </w:pPr>
            <w:r>
              <w:rPr/>
            </w:r>
          </w:p>
          <w:p>
            <w:pPr>
              <w:pStyle w:val="Normal"/>
              <w:widowControl w:val="false"/>
              <w:rPr/>
            </w:pPr>
            <w:r>
              <w:rPr/>
              <w:t>_______________/_________________/</w:t>
            </w:r>
          </w:p>
          <w:p>
            <w:pPr>
              <w:pStyle w:val="Normal"/>
              <w:widowControl w:val="false"/>
              <w:jc w:val="center"/>
              <w:rPr/>
            </w:pPr>
            <w:r>
              <w:rPr/>
            </w:r>
          </w:p>
        </w:tc>
        <w:tc>
          <w:tcPr>
            <w:tcW w:w="5005" w:type="dxa"/>
            <w:tcBorders/>
          </w:tcPr>
          <w:p>
            <w:pPr>
              <w:pStyle w:val="Normal"/>
              <w:widowControl w:val="false"/>
              <w:rPr/>
            </w:pPr>
            <w:r>
              <w:rPr/>
              <w:t>СТРАХОВЩИК:</w:t>
            </w:r>
          </w:p>
          <w:p>
            <w:pPr>
              <w:pStyle w:val="Normal"/>
              <w:widowControl w:val="false"/>
              <w:rPr/>
            </w:pPr>
            <w:r>
              <w:rPr/>
            </w:r>
          </w:p>
          <w:p>
            <w:pPr>
              <w:pStyle w:val="Normal"/>
              <w:widowControl w:val="false"/>
              <w:rPr/>
            </w:pPr>
            <w:r>
              <w:rPr/>
              <w:t>_____________________/ ______________/</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ind w:left="6521" w:hanging="0"/>
        <w:jc w:val="right"/>
        <w:rPr/>
      </w:pPr>
      <w:r>
        <w:rPr/>
        <w:t>Приложение № 5</w:t>
      </w:r>
    </w:p>
    <w:p>
      <w:pPr>
        <w:pStyle w:val="Normal"/>
        <w:ind w:left="6521" w:hanging="0"/>
        <w:jc w:val="right"/>
        <w:rPr/>
      </w:pPr>
      <w:r>
        <w:rPr>
          <w:rFonts w:eastAsia="A"/>
        </w:rPr>
        <w:t>к</w:t>
      </w:r>
      <w:r>
        <w:rPr/>
        <w:t xml:space="preserve"> государственному </w:t>
      </w:r>
      <w:r>
        <w:rPr>
          <w:rFonts w:eastAsia="A"/>
        </w:rPr>
        <w:t>контракту</w:t>
      </w:r>
    </w:p>
    <w:p>
      <w:pPr>
        <w:pStyle w:val="Normal"/>
        <w:ind w:left="6521" w:hanging="0"/>
        <w:jc w:val="right"/>
        <w:rPr/>
      </w:pPr>
      <w:r>
        <w:rPr/>
        <w:t>от «___» ________ 2026</w:t>
      </w:r>
      <w:r>
        <w:rPr>
          <w:rFonts w:eastAsia="A"/>
        </w:rPr>
        <w:t xml:space="preserve"> г.</w:t>
      </w:r>
      <w:r>
        <w:rPr/>
        <w:t xml:space="preserve"> №  ___</w:t>
      </w:r>
    </w:p>
    <w:p>
      <w:pPr>
        <w:pStyle w:val="Normal"/>
        <w:ind w:left="720" w:hanging="0"/>
        <w:jc w:val="center"/>
        <w:rPr>
          <w:rFonts w:eastAsia="Calibri"/>
          <w:b/>
          <w:b/>
          <w:bCs/>
          <w:color w:val="000000"/>
          <w:lang w:eastAsia="en-US"/>
        </w:rPr>
      </w:pPr>
      <w:r>
        <w:rPr>
          <w:rFonts w:eastAsia="Calibri"/>
          <w:b/>
          <w:bCs/>
          <w:color w:val="000000"/>
          <w:lang w:eastAsia="en-US"/>
        </w:rPr>
      </w:r>
    </w:p>
    <w:p>
      <w:pPr>
        <w:pStyle w:val="Normal"/>
        <w:jc w:val="center"/>
        <w:rPr>
          <w:b/>
          <w:b/>
        </w:rPr>
      </w:pPr>
      <w:r>
        <w:rPr>
          <w:b/>
        </w:rPr>
        <w:t>Заявление на внесение изменений в список Застрахованных лиц (образец)</w:t>
      </w:r>
    </w:p>
    <w:p>
      <w:pPr>
        <w:pStyle w:val="Normal"/>
        <w:jc w:val="center"/>
        <w:rPr>
          <w:rFonts w:eastAsia="Calibri"/>
          <w:b/>
          <w:b/>
          <w:bCs/>
          <w:color w:val="000000"/>
          <w:lang w:eastAsia="en-US"/>
        </w:rPr>
      </w:pPr>
      <w:r>
        <w:rPr>
          <w:rFonts w:eastAsia="Calibri"/>
          <w:b/>
          <w:bCs/>
          <w:color w:val="000000"/>
          <w:lang w:eastAsia="en-US"/>
        </w:rPr>
      </w:r>
    </w:p>
    <w:p>
      <w:pPr>
        <w:pStyle w:val="Normal"/>
        <w:ind w:left="720" w:hanging="0"/>
        <w:jc w:val="center"/>
        <w:rPr/>
      </w:pPr>
      <w:r>
        <w:rPr>
          <w:rFonts w:eastAsia="Calibri"/>
          <w:b/>
          <w:bCs/>
          <w:color w:val="000000"/>
          <w:lang w:eastAsia="en-US"/>
        </w:rPr>
        <w:t>Список исключаемых из списка Застрахованных лиц</w:t>
      </w:r>
    </w:p>
    <w:p>
      <w:pPr>
        <w:pStyle w:val="Normal"/>
        <w:jc w:val="center"/>
        <w:rPr>
          <w:rFonts w:eastAsia="Calibri"/>
          <w:b/>
          <w:b/>
          <w:bCs/>
          <w:color w:val="000000"/>
          <w:lang w:eastAsia="en-US"/>
        </w:rPr>
      </w:pPr>
      <w:r>
        <w:rPr>
          <w:rFonts w:eastAsia="Calibri"/>
          <w:b/>
          <w:bCs/>
          <w:color w:val="000000"/>
          <w:lang w:eastAsia="en-US"/>
        </w:rPr>
      </w:r>
    </w:p>
    <w:tbl>
      <w:tblPr>
        <w:tblW w:w="10126" w:type="dxa"/>
        <w:jc w:val="left"/>
        <w:tblInd w:w="-5" w:type="dxa"/>
        <w:tblLayout w:type="fixed"/>
        <w:tblCellMar>
          <w:top w:w="0" w:type="dxa"/>
          <w:left w:w="108" w:type="dxa"/>
          <w:bottom w:w="0" w:type="dxa"/>
          <w:right w:w="108" w:type="dxa"/>
        </w:tblCellMar>
        <w:tblLook w:noVBand="0" w:val="0000" w:noHBand="0" w:lastColumn="0" w:firstColumn="0" w:lastRow="0" w:firstRow="0"/>
      </w:tblPr>
      <w:tblGrid>
        <w:gridCol w:w="525"/>
        <w:gridCol w:w="2259"/>
        <w:gridCol w:w="3975"/>
        <w:gridCol w:w="1296"/>
        <w:gridCol w:w="2071"/>
      </w:tblGrid>
      <w:tr>
        <w:trPr/>
        <w:tc>
          <w:tcPr>
            <w:tcW w:w="525"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w:t>
            </w:r>
          </w:p>
          <w:p>
            <w:pPr>
              <w:pStyle w:val="Normal"/>
              <w:widowControl w:val="false"/>
              <w:jc w:val="center"/>
              <w:rPr/>
            </w:pPr>
            <w:r>
              <w:rPr>
                <w:rFonts w:eastAsia="Calibri"/>
                <w:bCs/>
                <w:color w:val="000000"/>
                <w:lang w:eastAsia="en-US"/>
              </w:rPr>
              <w:t>п/п</w:t>
            </w:r>
          </w:p>
        </w:tc>
        <w:tc>
          <w:tcPr>
            <w:tcW w:w="2259"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Фамилия, имя, отчество</w:t>
            </w:r>
          </w:p>
        </w:tc>
        <w:tc>
          <w:tcPr>
            <w:tcW w:w="3975"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Должность</w:t>
            </w:r>
          </w:p>
        </w:tc>
        <w:tc>
          <w:tcPr>
            <w:tcW w:w="1296"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Число, месяц, год рождения</w:t>
            </w:r>
          </w:p>
        </w:tc>
        <w:tc>
          <w:tcPr>
            <w:tcW w:w="2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eastAsia="Calibri"/>
                <w:bCs/>
                <w:color w:val="000000"/>
                <w:lang w:eastAsia="en-US"/>
              </w:rPr>
              <w:t>Дата исключения работника</w:t>
            </w:r>
          </w:p>
        </w:tc>
      </w:tr>
      <w:tr>
        <w:trPr/>
        <w:tc>
          <w:tcPr>
            <w:tcW w:w="525"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1</w:t>
            </w:r>
          </w:p>
        </w:tc>
        <w:tc>
          <w:tcPr>
            <w:tcW w:w="225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rPr>
                <w:color w:val="000000"/>
              </w:rPr>
            </w:pPr>
            <w:r>
              <w:rPr>
                <w:color w:val="000000"/>
              </w:rPr>
            </w:r>
          </w:p>
        </w:tc>
        <w:tc>
          <w:tcPr>
            <w:tcW w:w="3975"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both"/>
              <w:rPr>
                <w:color w:val="000000"/>
              </w:rPr>
            </w:pPr>
            <w:r>
              <w:rPr>
                <w:color w:val="000000"/>
              </w:rPr>
            </w:r>
          </w:p>
        </w:tc>
        <w:tc>
          <w:tcPr>
            <w:tcW w:w="1296"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rFonts w:eastAsia="Calibri"/>
                <w:bCs/>
                <w:color w:val="000000"/>
                <w:lang w:eastAsia="en-US"/>
              </w:rPr>
            </w:pPr>
            <w:r>
              <w:rPr>
                <w:rFonts w:eastAsia="Calibri"/>
                <w:bCs/>
                <w:color w:val="000000"/>
                <w:lang w:eastAsia="en-US"/>
              </w:rPr>
            </w:r>
          </w:p>
        </w:tc>
        <w:tc>
          <w:tcPr>
            <w:tcW w:w="2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eastAsia="Calibri"/>
                <w:bCs/>
                <w:color w:val="000000"/>
                <w:lang w:eastAsia="en-US"/>
              </w:rPr>
            </w:pPr>
            <w:r>
              <w:rPr>
                <w:rFonts w:eastAsia="Calibri"/>
                <w:bCs/>
                <w:color w:val="000000"/>
                <w:lang w:eastAsia="en-US"/>
              </w:rPr>
            </w:r>
          </w:p>
        </w:tc>
      </w:tr>
    </w:tbl>
    <w:p>
      <w:pPr>
        <w:pStyle w:val="Normal"/>
        <w:jc w:val="center"/>
        <w:rPr>
          <w:rFonts w:eastAsia="Calibri"/>
          <w:b/>
          <w:b/>
          <w:bCs/>
          <w:color w:val="000000"/>
          <w:lang w:eastAsia="en-US"/>
        </w:rPr>
      </w:pPr>
      <w:r>
        <w:rPr>
          <w:rFonts w:eastAsia="Calibri"/>
          <w:b/>
          <w:bCs/>
          <w:color w:val="000000"/>
          <w:lang w:eastAsia="en-US"/>
        </w:rPr>
        <mc:AlternateContent>
          <mc:Choice Requires="wps">
            <w:drawing>
              <wp:anchor behindDoc="1" distT="0" distB="0" distL="0" distR="0" simplePos="0" locked="0" layoutInCell="0" allowOverlap="1" relativeHeight="10" wp14:anchorId="4746C6B1">
                <wp:simplePos x="0" y="0"/>
                <wp:positionH relativeFrom="column">
                  <wp:posOffset>-239395</wp:posOffset>
                </wp:positionH>
                <wp:positionV relativeFrom="paragraph">
                  <wp:posOffset>2105660</wp:posOffset>
                </wp:positionV>
                <wp:extent cx="6409055" cy="1978025"/>
                <wp:effectExtent l="0" t="0" r="0" b="0"/>
                <wp:wrapNone/>
                <wp:docPr id="7" name="Изображение4"/>
                <a:graphic xmlns:a="http://schemas.openxmlformats.org/drawingml/2006/main">
                  <a:graphicData uri="http://schemas.microsoft.com/office/word/2010/wordprocessingShape">
                    <wps:wsp>
                      <wps:cNvSpPr/>
                      <wps:spPr>
                        <a:xfrm rot="18660000">
                          <a:off x="0" y="0"/>
                          <a:ext cx="6408360" cy="1977480"/>
                        </a:xfrm>
                        <a:prstGeom prst="rect">
                          <a:avLst/>
                        </a:prstGeom>
                        <a:noFill/>
                        <a:ln w="0">
                          <a:noFill/>
                        </a:ln>
                      </wps:spPr>
                      <wps:style>
                        <a:lnRef idx="0"/>
                        <a:fillRef idx="0"/>
                        <a:effectRef idx="0"/>
                        <a:fontRef idx="minor"/>
                      </wps:style>
                      <wps:txbx>
                        <w:txbxContent>
                          <w:p>
                            <w:pPr>
                              <w:pStyle w:val="Style46"/>
                              <w:overflowPunct w:val="true"/>
                              <w:rPr/>
                            </w:pPr>
                            <w:r>
                              <w:rPr>
                                <w:rFonts w:eastAsia="Tahoma" w:cs="Tinos" w:ascii="Tinos" w:hAnsi="Tinos"/>
                                <w:color w:val="B2B2B2"/>
                                <w:kern w:val="2"/>
                                <w:sz w:val="230"/>
                                <w:lang w:eastAsia="zh-CN" w:bidi="hi-IN"/>
                              </w:rPr>
                              <w:t>ОБРАЗЕЦ</w:t>
                            </w:r>
                          </w:p>
                        </w:txbxContent>
                      </wps:txbx>
                      <wps:bodyPr lIns="0" rIns="0" tIns="0" bIns="0" anchor="t">
                        <a:noAutofit/>
                      </wps:bodyPr>
                    </wps:wsp>
                  </a:graphicData>
                </a:graphic>
              </wp:anchor>
            </w:drawing>
          </mc:Choice>
          <mc:Fallback>
            <w:pict>
              <v:rect id="shape_0" ID="Изображение4" path="m0,0l-2147483645,0l-2147483645,-2147483646l0,-2147483646xe" stroked="f" o:allowincell="f" style="position:absolute;margin-left:-18.85pt;margin-top:165.8pt;width:504.55pt;height:155.65pt;mso-wrap-style:square;v-text-anchor:top;rotation:311" wp14:anchorId="4746C6B1">
                <v:fill o:detectmouseclick="t" on="false"/>
                <v:stroke color="#3465a4" joinstyle="round" endcap="flat"/>
                <v:textbox>
                  <w:txbxContent>
                    <w:p>
                      <w:pPr>
                        <w:pStyle w:val="Style46"/>
                        <w:overflowPunct w:val="true"/>
                        <w:rPr/>
                      </w:pPr>
                      <w:r>
                        <w:rPr>
                          <w:rFonts w:eastAsia="Tahoma" w:cs="Tinos" w:ascii="Tinos" w:hAnsi="Tinos"/>
                          <w:color w:val="B2B2B2"/>
                          <w:kern w:val="2"/>
                          <w:sz w:val="230"/>
                          <w:lang w:eastAsia="zh-CN" w:bidi="hi-IN"/>
                        </w:rPr>
                        <w:t>ОБРАЗЕЦ</w:t>
                      </w:r>
                    </w:p>
                  </w:txbxContent>
                </v:textbox>
                <w10:wrap type="none"/>
              </v:rect>
            </w:pict>
          </mc:Fallback>
        </mc:AlternateContent>
      </w:r>
    </w:p>
    <w:p>
      <w:pPr>
        <w:pStyle w:val="3"/>
        <w:keepLines w:val="false"/>
        <w:numPr>
          <w:ilvl w:val="2"/>
          <w:numId w:val="2"/>
        </w:numPr>
        <w:spacing w:before="240" w:after="60"/>
        <w:rPr>
          <w:rFonts w:ascii="Times New Roman" w:hAnsi="Times New Roman" w:cs="Times New Roman"/>
          <w:color w:val="auto"/>
        </w:rPr>
      </w:pPr>
      <w:r>
        <w:rPr>
          <w:rFonts w:cs="Times New Roman" w:ascii="Times New Roman" w:hAnsi="Times New Roman"/>
          <w:b w:val="false"/>
          <w:color w:val="auto"/>
        </w:rPr>
        <w:t>Общее количество</w:t>
      </w:r>
      <w:r>
        <w:rPr>
          <w:rFonts w:eastAsia="Symbol" w:cs="Times New Roman" w:ascii="Times New Roman" w:hAnsi="Times New Roman"/>
          <w:b w:val="false"/>
          <w:color w:val="auto"/>
        </w:rPr>
        <w:t xml:space="preserve"> исключаемых:</w:t>
      </w:r>
      <w:r>
        <w:rPr>
          <w:rFonts w:cs="Times New Roman" w:ascii="Times New Roman" w:hAnsi="Times New Roman"/>
          <w:b w:val="false"/>
          <w:color w:val="auto"/>
        </w:rPr>
        <w:t xml:space="preserve"> _____ человек.</w:t>
      </w:r>
    </w:p>
    <w:p>
      <w:pPr>
        <w:pStyle w:val="Normal"/>
        <w:rPr>
          <w:rFonts w:eastAsia="Calibri"/>
          <w:b/>
          <w:b/>
          <w:bCs/>
          <w:color w:val="000000"/>
          <w:lang w:eastAsia="en-US"/>
        </w:rPr>
      </w:pPr>
      <w:r>
        <w:rPr>
          <w:rFonts w:eastAsia="Calibri"/>
          <w:b/>
          <w:bCs/>
          <w:color w:val="000000"/>
          <w:lang w:eastAsia="en-US"/>
        </w:rPr>
      </w:r>
    </w:p>
    <w:p>
      <w:pPr>
        <w:pStyle w:val="Normal"/>
        <w:ind w:left="720" w:hanging="0"/>
        <w:jc w:val="center"/>
        <w:rPr/>
      </w:pPr>
      <w:r>
        <w:rPr>
          <w:rFonts w:eastAsia="Calibri"/>
          <w:b/>
          <w:bCs/>
          <w:color w:val="000000"/>
          <w:lang w:eastAsia="en-US"/>
        </w:rPr>
        <w:t>Список включаемых в список Застрахованных лиц</w:t>
      </w:r>
    </w:p>
    <w:p>
      <w:pPr>
        <w:pStyle w:val="Normal"/>
        <w:jc w:val="center"/>
        <w:rPr>
          <w:rFonts w:eastAsia="Calibri"/>
          <w:b/>
          <w:b/>
          <w:bCs/>
          <w:color w:val="000000"/>
          <w:lang w:eastAsia="en-US"/>
        </w:rPr>
      </w:pPr>
      <w:r>
        <w:rPr>
          <w:rFonts w:eastAsia="Calibri"/>
          <w:b/>
          <w:bCs/>
          <w:color w:val="000000"/>
          <w:lang w:eastAsia="en-US"/>
        </w:rPr>
      </w:r>
    </w:p>
    <w:tbl>
      <w:tblPr>
        <w:tblW w:w="10126" w:type="dxa"/>
        <w:jc w:val="left"/>
        <w:tblInd w:w="-5" w:type="dxa"/>
        <w:tblLayout w:type="fixed"/>
        <w:tblCellMar>
          <w:top w:w="0" w:type="dxa"/>
          <w:left w:w="108" w:type="dxa"/>
          <w:bottom w:w="0" w:type="dxa"/>
          <w:right w:w="108" w:type="dxa"/>
        </w:tblCellMar>
        <w:tblLook w:noVBand="0" w:val="0000" w:noHBand="0" w:lastColumn="0" w:firstColumn="0" w:lastRow="0" w:firstRow="0"/>
      </w:tblPr>
      <w:tblGrid>
        <w:gridCol w:w="525"/>
        <w:gridCol w:w="2259"/>
        <w:gridCol w:w="3975"/>
        <w:gridCol w:w="1296"/>
        <w:gridCol w:w="2071"/>
      </w:tblGrid>
      <w:tr>
        <w:trPr/>
        <w:tc>
          <w:tcPr>
            <w:tcW w:w="525"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w:t>
            </w:r>
          </w:p>
          <w:p>
            <w:pPr>
              <w:pStyle w:val="Normal"/>
              <w:widowControl w:val="false"/>
              <w:jc w:val="center"/>
              <w:rPr/>
            </w:pPr>
            <w:r>
              <w:rPr>
                <w:rFonts w:eastAsia="Calibri"/>
                <w:bCs/>
                <w:color w:val="000000"/>
                <w:lang w:eastAsia="en-US"/>
              </w:rPr>
              <w:t>п/п</w:t>
            </w:r>
          </w:p>
        </w:tc>
        <w:tc>
          <w:tcPr>
            <w:tcW w:w="2259"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Фамилия, имя, отчество</w:t>
            </w:r>
          </w:p>
        </w:tc>
        <w:tc>
          <w:tcPr>
            <w:tcW w:w="3975"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Должность</w:t>
            </w:r>
          </w:p>
        </w:tc>
        <w:tc>
          <w:tcPr>
            <w:tcW w:w="1296"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Число, месяц, год рождения</w:t>
            </w:r>
          </w:p>
        </w:tc>
        <w:tc>
          <w:tcPr>
            <w:tcW w:w="2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eastAsia="Calibri"/>
                <w:bCs/>
                <w:color w:val="000000"/>
                <w:lang w:eastAsia="en-US"/>
              </w:rPr>
              <w:t>Дата включения работника</w:t>
            </w:r>
          </w:p>
        </w:tc>
      </w:tr>
      <w:tr>
        <w:trPr/>
        <w:tc>
          <w:tcPr>
            <w:tcW w:w="525"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Calibri"/>
                <w:bCs/>
                <w:color w:val="000000"/>
                <w:lang w:eastAsia="en-US"/>
              </w:rPr>
              <w:t>1</w:t>
            </w:r>
          </w:p>
        </w:tc>
        <w:tc>
          <w:tcPr>
            <w:tcW w:w="225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rPr>
                <w:color w:val="000000"/>
              </w:rPr>
            </w:pPr>
            <w:r>
              <w:rPr>
                <w:color w:val="000000"/>
              </w:rPr>
            </w:r>
          </w:p>
        </w:tc>
        <w:tc>
          <w:tcPr>
            <w:tcW w:w="3975"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both"/>
              <w:rPr>
                <w:color w:val="000000"/>
              </w:rPr>
            </w:pPr>
            <w:r>
              <w:rPr>
                <w:color w:val="000000"/>
              </w:rPr>
            </w:r>
          </w:p>
        </w:tc>
        <w:tc>
          <w:tcPr>
            <w:tcW w:w="1296"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rFonts w:eastAsia="Calibri"/>
                <w:bCs/>
                <w:color w:val="000000"/>
                <w:lang w:eastAsia="en-US"/>
              </w:rPr>
            </w:pPr>
            <w:r>
              <w:rPr>
                <w:rFonts w:eastAsia="Calibri"/>
                <w:bCs/>
                <w:color w:val="000000"/>
                <w:lang w:eastAsia="en-US"/>
              </w:rPr>
            </w:r>
          </w:p>
        </w:tc>
        <w:tc>
          <w:tcPr>
            <w:tcW w:w="2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rFonts w:eastAsia="Calibri"/>
                <w:bCs/>
                <w:color w:val="000000"/>
                <w:lang w:eastAsia="en-US"/>
              </w:rPr>
            </w:pPr>
            <w:r>
              <w:rPr>
                <w:rFonts w:eastAsia="Calibri"/>
                <w:bCs/>
                <w:color w:val="000000"/>
                <w:lang w:eastAsia="en-US"/>
              </w:rPr>
            </w:r>
          </w:p>
        </w:tc>
      </w:tr>
    </w:tbl>
    <w:p>
      <w:pPr>
        <w:pStyle w:val="Normal"/>
        <w:rPr>
          <w:highlight w:val="yellow"/>
        </w:rPr>
      </w:pPr>
      <w:r>
        <w:rPr>
          <w:highlight w:val="yellow"/>
        </w:rPr>
      </w:r>
    </w:p>
    <w:p>
      <w:pPr>
        <w:pStyle w:val="3"/>
        <w:keepLines w:val="false"/>
        <w:numPr>
          <w:ilvl w:val="2"/>
          <w:numId w:val="2"/>
        </w:numPr>
        <w:spacing w:before="240" w:after="60"/>
        <w:rPr>
          <w:rFonts w:ascii="Times New Roman" w:hAnsi="Times New Roman" w:cs="Times New Roman"/>
          <w:b w:val="false"/>
          <w:b w:val="false"/>
          <w:color w:val="auto"/>
        </w:rPr>
      </w:pPr>
      <w:r>
        <w:rPr>
          <w:rFonts w:cs="Times New Roman" w:ascii="Times New Roman" w:hAnsi="Times New Roman"/>
          <w:b w:val="false"/>
          <w:color w:val="auto"/>
        </w:rPr>
        <w:t>Общее количество включаемых</w:t>
      </w:r>
      <w:r>
        <w:rPr>
          <w:rFonts w:eastAsia="Symbol" w:cs="Times New Roman" w:ascii="Times New Roman" w:hAnsi="Times New Roman"/>
          <w:b w:val="false"/>
          <w:color w:val="auto"/>
        </w:rPr>
        <w:t xml:space="preserve">: </w:t>
      </w:r>
      <w:r>
        <w:rPr>
          <w:rFonts w:cs="Times New Roman" w:ascii="Times New Roman" w:hAnsi="Times New Roman"/>
          <w:b w:val="false"/>
          <w:color w:val="auto"/>
        </w:rPr>
        <w:t>_____ человек.</w:t>
      </w:r>
    </w:p>
    <w:p>
      <w:pPr>
        <w:pStyle w:val="Normal"/>
        <w:rPr/>
      </w:pPr>
      <w:r>
        <w:rPr/>
      </w:r>
    </w:p>
    <w:p>
      <w:pPr>
        <w:pStyle w:val="Normal"/>
        <w:jc w:val="right"/>
        <w:rPr/>
      </w:pPr>
      <w:r>
        <w:rPr/>
      </w:r>
    </w:p>
    <w:tbl>
      <w:tblPr>
        <w:tblW w:w="9925" w:type="dxa"/>
        <w:jc w:val="left"/>
        <w:tblInd w:w="224" w:type="dxa"/>
        <w:tblLayout w:type="fixed"/>
        <w:tblCellMar>
          <w:top w:w="0" w:type="dxa"/>
          <w:left w:w="108" w:type="dxa"/>
          <w:bottom w:w="0" w:type="dxa"/>
          <w:right w:w="108" w:type="dxa"/>
        </w:tblCellMar>
        <w:tblLook w:noVBand="1" w:val="04a0" w:noHBand="0" w:lastColumn="0" w:firstColumn="1" w:lastRow="0" w:firstRow="1"/>
      </w:tblPr>
      <w:tblGrid>
        <w:gridCol w:w="4919"/>
        <w:gridCol w:w="5005"/>
      </w:tblGrid>
      <w:tr>
        <w:trPr>
          <w:trHeight w:val="80" w:hRule="atLeast"/>
        </w:trPr>
        <w:tc>
          <w:tcPr>
            <w:tcW w:w="4919" w:type="dxa"/>
            <w:tcBorders/>
          </w:tcPr>
          <w:p>
            <w:pPr>
              <w:pStyle w:val="Normal"/>
              <w:widowControl w:val="false"/>
              <w:rPr/>
            </w:pPr>
            <w:r>
              <w:rPr/>
              <w:t>СТРАХОВАТЕЛЬ:</w:t>
            </w:r>
          </w:p>
          <w:p>
            <w:pPr>
              <w:pStyle w:val="Normal"/>
              <w:widowControl w:val="false"/>
              <w:rPr/>
            </w:pPr>
            <w:r>
              <w:rPr/>
            </w:r>
          </w:p>
          <w:p>
            <w:pPr>
              <w:pStyle w:val="Normal"/>
              <w:widowControl w:val="false"/>
              <w:rPr/>
            </w:pPr>
            <w:r>
              <w:rPr/>
              <w:t>_______________/_________________/</w:t>
            </w:r>
          </w:p>
          <w:p>
            <w:pPr>
              <w:pStyle w:val="Normal"/>
              <w:widowControl w:val="false"/>
              <w:jc w:val="center"/>
              <w:rPr/>
            </w:pPr>
            <w:r>
              <w:rPr/>
            </w:r>
          </w:p>
        </w:tc>
        <w:tc>
          <w:tcPr>
            <w:tcW w:w="5005" w:type="dxa"/>
            <w:tcBorders/>
          </w:tcPr>
          <w:p>
            <w:pPr>
              <w:pStyle w:val="Normal"/>
              <w:widowControl w:val="false"/>
              <w:rPr/>
            </w:pPr>
            <w:r>
              <w:rPr/>
              <w:t>СТРАХОВЩИК:</w:t>
            </w:r>
          </w:p>
          <w:p>
            <w:pPr>
              <w:pStyle w:val="Normal"/>
              <w:widowControl w:val="false"/>
              <w:rPr/>
            </w:pPr>
            <w:r>
              <w:rPr/>
            </w:r>
          </w:p>
          <w:p>
            <w:pPr>
              <w:pStyle w:val="Normal"/>
              <w:widowControl w:val="false"/>
              <w:rPr/>
            </w:pPr>
            <w:r>
              <w:rPr/>
              <w:t>_____________________/ ______________/</w:t>
            </w:r>
          </w:p>
        </w:tc>
      </w:tr>
    </w:tbl>
    <w:p>
      <w:pPr>
        <w:pStyle w:val="Normal"/>
        <w:rPr/>
      </w:pPr>
      <w:r>
        <w:rPr/>
      </w:r>
    </w:p>
    <w:p>
      <w:pPr>
        <w:pStyle w:val="Normal"/>
        <w:rPr/>
      </w:pPr>
      <w:r>
        <w:rPr/>
      </w:r>
      <w:r>
        <w:br w:type="page"/>
      </w:r>
    </w:p>
    <w:p>
      <w:pPr>
        <w:pStyle w:val="Normal"/>
        <w:ind w:left="6521" w:hanging="0"/>
        <w:jc w:val="right"/>
        <w:rPr/>
      </w:pPr>
      <w:r>
        <w:rPr/>
        <w:t>Приложение № 6</w:t>
      </w:r>
    </w:p>
    <w:p>
      <w:pPr>
        <w:pStyle w:val="Normal"/>
        <w:ind w:left="6521" w:hanging="0"/>
        <w:jc w:val="right"/>
        <w:rPr/>
      </w:pPr>
      <w:r>
        <w:rPr>
          <w:rFonts w:eastAsia="A"/>
        </w:rPr>
        <w:t>к</w:t>
      </w:r>
      <w:r>
        <w:rPr/>
        <w:t xml:space="preserve"> государственному </w:t>
      </w:r>
      <w:r>
        <w:rPr>
          <w:rFonts w:eastAsia="A"/>
        </w:rPr>
        <w:t>контракту</w:t>
      </w:r>
    </w:p>
    <w:p>
      <w:pPr>
        <w:pStyle w:val="Normal"/>
        <w:ind w:left="6521" w:hanging="0"/>
        <w:jc w:val="right"/>
        <w:rPr/>
      </w:pPr>
      <w:r>
        <w:rPr/>
        <w:t>от «___» ________ 2026</w:t>
      </w:r>
      <w:r>
        <w:rPr>
          <w:rFonts w:eastAsia="A"/>
        </w:rPr>
        <w:t xml:space="preserve"> г.</w:t>
      </w:r>
      <w:r>
        <w:rPr/>
        <w:t xml:space="preserve"> №  ___</w:t>
      </w:r>
    </w:p>
    <w:p>
      <w:pPr>
        <w:pStyle w:val="Normal"/>
        <w:jc w:val="center"/>
        <w:rPr>
          <w:rFonts w:eastAsia="Calibri"/>
        </w:rPr>
      </w:pPr>
      <w:r>
        <w:rPr>
          <w:rFonts w:eastAsia="Calibri"/>
        </w:rPr>
      </w:r>
    </w:p>
    <w:p>
      <w:pPr>
        <w:pStyle w:val="Normal"/>
        <w:jc w:val="center"/>
        <w:rPr/>
      </w:pPr>
      <w:r>
        <w:rPr>
          <w:b/>
        </w:rPr>
        <w:t>Декларация о соответствии единым требованиям, предъявляемым к участникам закупки (образец)</w:t>
      </w:r>
    </w:p>
    <w:p>
      <w:pPr>
        <w:pStyle w:val="Normal"/>
        <w:jc w:val="both"/>
        <w:rPr>
          <w:b/>
          <w:b/>
        </w:rPr>
      </w:pPr>
      <w:r>
        <w:rPr>
          <w:b/>
        </w:rPr>
      </w:r>
    </w:p>
    <w:p>
      <w:pPr>
        <w:pStyle w:val="Normal"/>
        <w:tabs>
          <w:tab w:val="clear" w:pos="709"/>
          <w:tab w:val="left" w:pos="7555" w:leader="none"/>
        </w:tabs>
        <w:jc w:val="both"/>
        <w:rPr/>
      </w:pPr>
      <w:r>
        <w:rPr/>
        <w:t>г. Иркутск                                                                                                             «__» __________ 2026 г.</w:t>
      </w:r>
    </w:p>
    <w:p>
      <w:pPr>
        <w:pStyle w:val="Normal"/>
        <w:tabs>
          <w:tab w:val="clear" w:pos="709"/>
          <w:tab w:val="left" w:pos="7555" w:leader="none"/>
        </w:tabs>
        <w:jc w:val="both"/>
        <w:rPr/>
      </w:pPr>
      <w:r>
        <w:rPr/>
      </w:r>
    </w:p>
    <w:p>
      <w:pPr>
        <w:pStyle w:val="Normal"/>
        <w:ind w:firstLine="708"/>
        <w:jc w:val="both"/>
        <w:rPr/>
      </w:pPr>
      <w:r>
        <w:rPr/>
        <w:t>Настоящим подтверждаем соответствие следующим единым требованиям, установленным к участникам закупки статьей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также – Закон № 44-ФЗ):</w:t>
      </w:r>
    </w:p>
    <w:p>
      <w:pPr>
        <w:pStyle w:val="Normal"/>
        <w:jc w:val="both"/>
        <w:rPr/>
      </w:pPr>
      <w:r>
        <w:rPr/>
      </w:r>
    </w:p>
    <w:p>
      <w:pPr>
        <w:pStyle w:val="Normal"/>
        <w:ind w:firstLine="709"/>
        <w:jc w:val="both"/>
        <w:rPr/>
      </w:pPr>
      <w:r>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(п.1 ч. 1 ст. 31 Закона № 44-ФЗ); (если применимо);</w:t>
      </w:r>
    </w:p>
    <w:p>
      <w:pPr>
        <w:pStyle w:val="Normal"/>
        <w:ind w:firstLine="709"/>
        <w:jc w:val="both"/>
        <w:rPr/>
      </w:pPr>
      <w:r>
        <w:rPr/>
      </w:r>
    </w:p>
    <w:p>
      <w:pPr>
        <w:pStyle w:val="Normal"/>
        <w:ind w:firstLine="709"/>
        <w:jc w:val="both"/>
        <w:rPr/>
      </w:pPr>
      <w:r>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(п.3 ч.1 ст. 31 Закона № 44-ФЗ); </w:t>
      </w:r>
    </w:p>
    <w:p>
      <w:pPr>
        <w:pStyle w:val="Normal"/>
        <w:ind w:firstLine="709"/>
        <w:jc w:val="both"/>
        <w:rPr/>
      </w:pPr>
      <w:r>
        <w:rPr/>
      </w:r>
    </w:p>
    <w:p>
      <w:pPr>
        <w:pStyle w:val="Normal"/>
        <w:ind w:firstLine="709"/>
        <w:jc w:val="both"/>
        <w:rPr/>
      </w:pPr>
      <w:r>
        <w:rPr/>
        <w:t>3. Неприостановление деятельности участника закупки в порядке, установленном Кодексом Российской Федерации об административных правонарушениях (п.4 ч.1 ст. 31 Закона № 44-ФЗ);</w:t>
      </w:r>
    </w:p>
    <w:p>
      <w:pPr>
        <w:pStyle w:val="Normal"/>
        <w:ind w:firstLine="709"/>
        <w:jc w:val="both"/>
        <w:rPr/>
      </w:pPr>
      <w:r>
        <w:rPr/>
      </w:r>
    </w:p>
    <w:p>
      <w:pPr>
        <w:pStyle w:val="Normal"/>
        <w:ind w:firstLine="709"/>
        <w:jc w:val="both"/>
        <w:rPr/>
      </w:pPr>
      <w:r>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(п.5 ч.1 ст. 31 Закона № 44-ФЗ);</w:t>
      </w:r>
    </w:p>
    <w:p>
      <w:pPr>
        <w:pStyle w:val="Normal"/>
        <w:ind w:firstLine="709"/>
        <w:jc w:val="both"/>
        <w:rPr/>
      </w:pPr>
      <w:r>
        <w:rPr>
          <w:rFonts w:eastAsia="Liberation Serif"/>
        </w:rPr>
        <w:t xml:space="preserve"> </w:t>
      </w:r>
    </w:p>
    <w:p>
      <w:pPr>
        <w:pStyle w:val="Normal"/>
        <w:ind w:firstLine="709"/>
        <w:jc w:val="both"/>
        <w:rPr/>
      </w:pPr>
      <w:r>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 (п.7 ч.1 ст. 31 Закона № 44-ФЗ);</w:t>
      </w:r>
    </w:p>
    <w:p>
      <w:pPr>
        <w:pStyle w:val="Normal"/>
        <w:ind w:firstLine="709"/>
        <w:jc w:val="both"/>
        <w:rPr/>
      </w:pPr>
      <w:r>
        <w:rPr>
          <w:rFonts w:eastAsia="Liberation Serif"/>
        </w:rPr>
        <w:t xml:space="preserve"> </w:t>
      </w:r>
    </w:p>
    <w:p>
      <w:pPr>
        <w:pStyle w:val="Normal"/>
        <w:ind w:firstLine="709"/>
        <w:jc w:val="both"/>
        <w:rPr/>
      </w:pPr>
      <w:r>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(п.7.1 ч.1 ст. 31 Закона № 44-ФЗ); (если применимо); </w:t>
      </w:r>
    </w:p>
    <w:p>
      <w:pPr>
        <w:pStyle w:val="Normal"/>
        <w:ind w:firstLine="709"/>
        <w:jc w:val="both"/>
        <w:rPr/>
      </w:pPr>
      <w:r>
        <w:rPr/>
      </w:r>
    </w:p>
    <w:p>
      <w:pPr>
        <w:pStyle w:val="Normal"/>
        <w:ind w:firstLine="709"/>
        <w:jc w:val="both"/>
        <w:rPr/>
      </w:pPr>
      <w:r>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(п.8 ч.1 ст. 31 Закона № 44-ФЗ); (если применимо);</w:t>
      </w:r>
    </w:p>
    <w:p>
      <w:pPr>
        <w:pStyle w:val="Normal"/>
        <w:ind w:firstLine="709"/>
        <w:jc w:val="both"/>
        <w:rPr/>
      </w:pPr>
      <w:r>
        <w:rPr/>
      </w:r>
    </w:p>
    <w:p>
      <w:pPr>
        <w:pStyle w:val="Normal"/>
        <w:ind w:firstLine="709"/>
        <w:jc w:val="both"/>
        <w:rPr/>
      </w:pPr>
      <w:r>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ind w:firstLine="709"/>
        <w:jc w:val="both"/>
        <w:rPr/>
      </w:pPr>
      <w:r>
        <w:rPr/>
        <w:t>а) физическим лицом (в том числе зарегистрированным в качестве индивидуального предпринимателя), являющимся участником закупки;</w:t>
      </w:r>
    </w:p>
    <w:p>
      <w:pPr>
        <w:pStyle w:val="Normal"/>
        <w:ind w:firstLine="709"/>
        <w:jc w:val="both"/>
        <w:rPr/>
      </w:pPr>
      <w:r>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ind w:firstLine="709"/>
        <w:jc w:val="both"/>
        <w:rPr/>
      </w:pPr>
      <w:r>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(п. 9 ч. 1 ст. 31 Закона № 44-ФЗ);   </w:t>
      </w:r>
    </w:p>
    <w:p>
      <w:pPr>
        <w:pStyle w:val="Normal"/>
        <w:ind w:firstLine="709"/>
        <w:jc w:val="both"/>
        <w:rPr/>
      </w:pPr>
      <w:r>
        <w:rPr/>
      </w:r>
    </w:p>
    <w:p>
      <w:pPr>
        <w:pStyle w:val="Normal"/>
        <w:ind w:firstLine="709"/>
        <w:jc w:val="both"/>
        <w:rPr/>
      </w:pPr>
      <w:r>
        <w:rPr>
          <w:rFonts w:eastAsia="Liberation Serif"/>
        </w:rPr>
        <w:t xml:space="preserve"> </w:t>
      </w:r>
      <w:r>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(п. 10   ч. 1 ст. 31 Закона   № 44-ФЗ); (если применимо);</w:t>
      </w:r>
    </w:p>
    <w:p>
      <w:pPr>
        <w:pStyle w:val="Normal"/>
        <w:jc w:val="both"/>
        <w:rPr/>
      </w:pPr>
      <w:r>
        <w:rPr/>
      </w:r>
    </w:p>
    <w:p>
      <w:pPr>
        <w:pStyle w:val="Normal"/>
        <w:ind w:firstLine="709"/>
        <w:jc w:val="both"/>
        <w:rPr/>
      </w:pPr>
      <w:r>
        <w:rPr/>
        <w:t>10. Участник закупки не является иностранным агентом (п. 10</w:t>
      </w:r>
      <w:r>
        <w:rPr>
          <w:vertAlign w:val="superscript"/>
        </w:rPr>
        <w:t>1</w:t>
      </w:r>
      <w:r>
        <w:rPr/>
        <w:t xml:space="preserve"> ч. 1 ст. 31 Закона № 44-ФЗ);</w:t>
      </w:r>
    </w:p>
    <w:p>
      <w:pPr>
        <w:pStyle w:val="Normal"/>
        <w:ind w:firstLine="709"/>
        <w:jc w:val="both"/>
        <w:rPr/>
      </w:pPr>
      <w:r>
        <w:rPr/>
      </w:r>
    </w:p>
    <w:p>
      <w:pPr>
        <w:pStyle w:val="Normal"/>
        <w:ind w:firstLine="709"/>
        <w:jc w:val="both"/>
        <w:rPr/>
      </w:pPr>
      <w:r>
        <w:rPr/>
        <w:t>11. Отсутствие у участника закупки ограничений для участия в закупках, установленных законодательством Российской Федерации (п. 11 ч. 1 ст. 31 Закона № 44-ФЗ).</w:t>
      </w:r>
    </w:p>
    <w:p>
      <w:pPr>
        <w:pStyle w:val="Normal"/>
        <w:jc w:val="both"/>
        <w:rPr/>
      </w:pPr>
      <w:r>
        <w:rPr/>
      </w:r>
    </w:p>
    <w:p>
      <w:pPr>
        <w:pStyle w:val="Normal"/>
        <w:jc w:val="both"/>
        <w:rPr/>
      </w:pPr>
      <w:r>
        <w:rPr/>
      </w:r>
    </w:p>
    <w:tbl>
      <w:tblPr>
        <w:tblW w:w="9359"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4828"/>
        <w:gridCol w:w="4530"/>
      </w:tblGrid>
      <w:tr>
        <w:trPr>
          <w:trHeight w:val="80" w:hRule="atLeast"/>
        </w:trPr>
        <w:tc>
          <w:tcPr>
            <w:tcW w:w="4828" w:type="dxa"/>
            <w:tcBorders/>
            <w:shd w:color="auto" w:fill="auto" w:val="clear"/>
          </w:tcPr>
          <w:p>
            <w:pPr>
              <w:pStyle w:val="Normal"/>
              <w:widowControl w:val="false"/>
              <w:snapToGrid w:val="false"/>
              <w:jc w:val="both"/>
              <w:rPr/>
            </w:pPr>
            <w:r>
              <w:rPr/>
            </w:r>
          </w:p>
        </w:tc>
        <w:tc>
          <w:tcPr>
            <w:tcW w:w="4530" w:type="dxa"/>
            <w:tcBorders/>
            <w:shd w:color="auto" w:fill="auto" w:val="clear"/>
          </w:tcPr>
          <w:p>
            <w:pPr>
              <w:pStyle w:val="Normal"/>
              <w:widowControl w:val="false"/>
              <w:jc w:val="both"/>
              <w:rPr/>
            </w:pPr>
            <w:r>
              <w:rPr>
                <w:color w:val="22272F"/>
              </w:rPr>
              <w:t xml:space="preserve">       </w:t>
            </w:r>
            <w:r>
              <w:rPr>
                <w:color w:val="22272F"/>
              </w:rPr>
              <w:t>СТРАХОВЩИК:</w:t>
            </w:r>
          </w:p>
          <w:p>
            <w:pPr>
              <w:pStyle w:val="Normal"/>
              <w:widowControl w:val="false"/>
              <w:jc w:val="both"/>
              <w:rPr>
                <w:color w:val="22272F"/>
              </w:rPr>
            </w:pPr>
            <w:r>
              <w:rPr>
                <w:color w:val="22272F"/>
              </w:rPr>
            </w:r>
          </w:p>
          <w:p>
            <w:pPr>
              <w:pStyle w:val="Normal"/>
              <w:widowControl w:val="false"/>
              <w:jc w:val="both"/>
              <w:rPr/>
            </w:pPr>
            <w:r>
              <w:rPr>
                <w:color w:val="22272F"/>
              </w:rPr>
              <w:t xml:space="preserve">     </w:t>
            </w:r>
            <w:r>
              <w:rPr>
                <w:color w:val="22272F"/>
              </w:rPr>
              <w:t>________________________</w:t>
            </w:r>
          </w:p>
        </w:tc>
      </w:tr>
    </w:tbl>
    <w:p>
      <w:pPr>
        <w:pStyle w:val="17"/>
        <w:jc w:val="both"/>
        <w:rPr>
          <w:rFonts w:ascii="Times New Roman" w:hAnsi="Times New Roman" w:cs="Times New Roman"/>
          <w:sz w:val="24"/>
          <w:szCs w:val="24"/>
        </w:rPr>
      </w:pPr>
      <w:r>
        <w:rPr>
          <w:rFonts w:cs="Times New Roman" w:ascii="Times New Roman" w:hAnsi="Times New Roman"/>
          <w:sz w:val="24"/>
          <w:szCs w:val="24"/>
        </w:rPr>
      </w:r>
    </w:p>
    <w:p>
      <w:pPr>
        <w:pStyle w:val="17"/>
        <w:jc w:val="both"/>
        <w:rPr>
          <w:rFonts w:ascii="Times New Roman" w:hAnsi="Times New Roman" w:cs="Times New Roman"/>
          <w:sz w:val="24"/>
          <w:szCs w:val="24"/>
        </w:rPr>
      </w:pPr>
      <w:r>
        <w:rPr>
          <w:rFonts w:cs="Times New Roman" w:ascii="Times New Roman" w:hAnsi="Times New Roman"/>
          <w:sz w:val="24"/>
          <w:szCs w:val="24"/>
        </w:rPr>
      </w:r>
    </w:p>
    <w:p>
      <w:pPr>
        <w:pStyle w:val="17"/>
        <w:jc w:val="both"/>
        <w:rPr>
          <w:rFonts w:ascii="Times New Roman" w:hAnsi="Times New Roman" w:cs="Times New Roman"/>
          <w:sz w:val="24"/>
          <w:szCs w:val="24"/>
        </w:rPr>
      </w:pPr>
      <w:r>
        <w:rPr>
          <w:rFonts w:cs="Times New Roman" w:ascii="Times New Roman" w:hAnsi="Times New Roman"/>
          <w:sz w:val="24"/>
          <w:szCs w:val="24"/>
        </w:rPr>
      </w:r>
    </w:p>
    <w:tbl>
      <w:tblPr>
        <w:tblW w:w="9359"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4828"/>
        <w:gridCol w:w="4530"/>
      </w:tblGrid>
      <w:tr>
        <w:trPr>
          <w:trHeight w:val="80" w:hRule="atLeast"/>
        </w:trPr>
        <w:tc>
          <w:tcPr>
            <w:tcW w:w="4828" w:type="dxa"/>
            <w:tcBorders/>
            <w:shd w:color="auto" w:fill="auto" w:val="clear"/>
          </w:tcPr>
          <w:p>
            <w:pPr>
              <w:pStyle w:val="Normal"/>
              <w:widowControl w:val="false"/>
              <w:jc w:val="center"/>
              <w:rPr/>
            </w:pPr>
            <w:r>
              <w:rPr>
                <w:color w:val="22272F"/>
              </w:rPr>
              <w:t> </w:t>
            </w:r>
            <w:r>
              <w:rPr>
                <w:color w:val="22272F"/>
              </w:rPr>
              <w:t>СТРАХОВАТЕЛЬ</w:t>
            </w:r>
          </w:p>
          <w:p>
            <w:pPr>
              <w:pStyle w:val="Normal"/>
              <w:widowControl w:val="false"/>
              <w:jc w:val="center"/>
              <w:rPr/>
            </w:pPr>
            <w:r>
              <w:rPr/>
            </w:r>
          </w:p>
          <w:p>
            <w:pPr>
              <w:pStyle w:val="Normal"/>
              <w:widowControl w:val="false"/>
              <w:jc w:val="center"/>
              <w:rPr/>
            </w:pPr>
            <w:r>
              <w:rPr/>
              <w:t>_______________________ /</w:t>
            </w:r>
            <w:r>
              <w:rPr>
                <w:color w:val="22272F"/>
              </w:rPr>
              <w:t xml:space="preserve"> _____________/</w:t>
            </w:r>
          </w:p>
        </w:tc>
        <w:tc>
          <w:tcPr>
            <w:tcW w:w="4530" w:type="dxa"/>
            <w:tcBorders/>
            <w:shd w:color="auto" w:fill="auto" w:val="clear"/>
          </w:tcPr>
          <w:p>
            <w:pPr>
              <w:pStyle w:val="Normal"/>
              <w:widowControl w:val="false"/>
              <w:jc w:val="center"/>
              <w:rPr/>
            </w:pPr>
            <w:r>
              <w:rPr>
                <w:color w:val="22272F"/>
              </w:rPr>
              <w:t>СТРАХОВЩИК:</w:t>
            </w:r>
          </w:p>
          <w:p>
            <w:pPr>
              <w:pStyle w:val="Normal"/>
              <w:widowControl w:val="false"/>
              <w:jc w:val="center"/>
              <w:rPr>
                <w:color w:val="22272F"/>
              </w:rPr>
            </w:pPr>
            <w:r>
              <w:rPr>
                <w:color w:val="22272F"/>
              </w:rPr>
            </w:r>
          </w:p>
          <w:p>
            <w:pPr>
              <w:pStyle w:val="Normal"/>
              <w:widowControl w:val="false"/>
              <w:jc w:val="center"/>
              <w:rPr/>
            </w:pPr>
            <w:r>
              <w:rPr>
                <w:color w:val="22272F"/>
              </w:rPr>
              <w:t>____________________ /</w:t>
            </w:r>
            <w:r>
              <w:rPr/>
              <w:t xml:space="preserve"> </w:t>
            </w:r>
            <w:r>
              <w:rPr>
                <w:color w:val="22272F"/>
              </w:rPr>
              <w:t>_____________/</w:t>
            </w:r>
          </w:p>
        </w:tc>
      </w:tr>
    </w:tbl>
    <w:p>
      <w:pPr>
        <w:pStyle w:val="Normal"/>
        <w:spacing w:before="0" w:after="200"/>
        <w:rPr/>
      </w:pPr>
      <w:r>
        <w:rPr/>
      </w:r>
    </w:p>
    <w:p>
      <w:pPr>
        <w:pStyle w:val="Normal"/>
        <w:ind w:left="6521" w:hanging="0"/>
        <w:jc w:val="right"/>
        <w:rPr/>
      </w:pPr>
      <w:r>
        <w:rPr/>
        <w:t>Приложение № 7</w:t>
      </w:r>
    </w:p>
    <w:p>
      <w:pPr>
        <w:pStyle w:val="Normal"/>
        <w:ind w:left="6521" w:hanging="0"/>
        <w:jc w:val="right"/>
        <w:rPr/>
      </w:pPr>
      <w:r>
        <w:rPr>
          <w:rFonts w:eastAsia="A"/>
        </w:rPr>
        <w:t>к</w:t>
      </w:r>
      <w:r>
        <w:rPr/>
        <w:t xml:space="preserve"> государственному </w:t>
      </w:r>
      <w:r>
        <w:rPr>
          <w:rFonts w:eastAsia="A"/>
        </w:rPr>
        <w:t>контракту</w:t>
      </w:r>
    </w:p>
    <w:p>
      <w:pPr>
        <w:pStyle w:val="Normal"/>
        <w:ind w:left="6521" w:hanging="0"/>
        <w:jc w:val="right"/>
        <w:rPr/>
      </w:pPr>
      <w:r>
        <w:rPr/>
        <w:t>от «___» ________ 2026</w:t>
      </w:r>
      <w:r>
        <w:rPr>
          <w:rFonts w:eastAsia="A"/>
        </w:rPr>
        <w:t xml:space="preserve"> г.</w:t>
      </w:r>
      <w:r>
        <w:rPr/>
        <w:t xml:space="preserve"> №  ___</w:t>
      </w:r>
    </w:p>
    <w:p>
      <w:pPr>
        <w:pStyle w:val="Normal"/>
        <w:jc w:val="right"/>
        <w:rPr/>
      </w:pPr>
      <w:r>
        <w:rPr/>
      </w:r>
    </w:p>
    <w:p>
      <w:pPr>
        <w:pStyle w:val="Normal"/>
        <w:ind w:firstLine="709"/>
        <w:jc w:val="center"/>
        <w:rPr/>
      </w:pPr>
      <w:r>
        <w:rPr>
          <w:b/>
        </w:rPr>
        <w:t>Правила страхования</w:t>
      </w:r>
    </w:p>
    <w:p>
      <w:pPr>
        <w:pStyle w:val="Normal"/>
        <w:rPr>
          <w:b/>
          <w:b/>
        </w:rPr>
      </w:pPr>
      <w:r>
        <w:rPr>
          <w:b/>
        </w:rPr>
      </w:r>
    </w:p>
    <w:p>
      <w:pPr>
        <w:pStyle w:val="Normal"/>
        <w:rPr>
          <w:b/>
          <w:b/>
        </w:rPr>
      </w:pPr>
      <w:r>
        <w:rPr>
          <w:b/>
        </w:rPr>
      </w:r>
    </w:p>
    <w:p>
      <w:pPr>
        <w:pStyle w:val="Normal"/>
        <w:ind w:firstLine="709"/>
        <w:jc w:val="both"/>
        <w:rPr/>
      </w:pPr>
      <w:r>
        <w:rPr/>
        <w:t>Предоставляется Страховщиком при заключении Контракта с учетом условий, содержащихся в проекте Государственного контракта и Техническом задании.</w:t>
      </w:r>
    </w:p>
    <w:p>
      <w:pPr>
        <w:pStyle w:val="Normal"/>
        <w:rPr/>
      </w:pPr>
      <w:r>
        <w:rPr/>
      </w:r>
    </w:p>
    <w:p>
      <w:pPr>
        <w:pStyle w:val="Normal"/>
        <w:jc w:val="center"/>
        <w:rPr>
          <w:rFonts w:ascii="Liberation Serif" w:hAnsi="Liberation Serif"/>
        </w:rPr>
      </w:pPr>
      <w:r>
        <w:rPr/>
      </w:r>
    </w:p>
    <w:sectPr>
      <w:headerReference w:type="default" r:id="rId2"/>
      <w:footerReference w:type="default" r:id="rId3"/>
      <w:footnotePr>
        <w:numFmt w:val="decimal"/>
      </w:footnotePr>
      <w:type w:val="nextPage"/>
      <w:pgSz w:w="11926" w:h="16867"/>
      <w:pgMar w:left="1134" w:right="567" w:gutter="0" w:header="720" w:top="777" w:footer="720" w:bottom="77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Calibri">
    <w:charset w:val="01"/>
    <w:family w:val="roman"/>
    <w:pitch w:val="default"/>
  </w:font>
  <w:font w:name="Arial">
    <w:charset w:val="01"/>
    <w:family w:val="roman"/>
    <w:pitch w:val="default"/>
  </w:font>
  <w:font w:name="Tahoma">
    <w:charset w:val="01"/>
    <w:family w:val="roman"/>
    <w:pitch w:val="default"/>
  </w:font>
  <w:font w:name="Consolas">
    <w:charset w:val="01"/>
    <w:family w:val="roman"/>
    <w:pitch w:val="default"/>
  </w:font>
  <w:font w:name="Courier New">
    <w:charset w:val="01"/>
    <w:family w:val="roman"/>
    <w:pitch w:val="default"/>
  </w:font>
  <w:font w:name="Symbol">
    <w:charset w:val="01"/>
    <w:family w:val="roman"/>
    <w:pitch w:val="default"/>
  </w:font>
  <w:font w:name="PT Astra Serif">
    <w:charset w:val="01"/>
    <w:family w:val="roman"/>
    <w:pitch w:val="default"/>
  </w:font>
  <w:font w:name="Verdana">
    <w:charset w:val="01"/>
    <w:family w:val="roman"/>
    <w:pitch w:val="default"/>
  </w:font>
  <w:font w:name="Arial Unicode MS">
    <w:charset w:val="01"/>
    <w:family w:val="roman"/>
    <w:pitch w:val="default"/>
  </w:font>
  <w:font w:name="NewtonCTT">
    <w:altName w:val="Times New Roman"/>
    <w:charset w:val="01"/>
    <w:family w:val="roman"/>
    <w:pitch w:val="default"/>
  </w:font>
  <w:font w:name="Times New Roman CYR">
    <w:charset w:val="01"/>
    <w:family w:val="roman"/>
    <w:pitch w:val="default"/>
  </w:font>
  <w:font w:name="Liberation Serif">
    <w:altName w:val="Times New Roman"/>
    <w:charset w:val="01"/>
    <w:family w:val="roman"/>
    <w:pitch w:val="default"/>
  </w:font>
  <w:font w:name="Tino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6"/>
      <w:ind w:right="360" w:hanging="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Spacing"/>
        <w:jc w:val="both"/>
        <w:rPr>
          <w:rFonts w:ascii="Liberation Serif" w:hAnsi="Liberation Serif"/>
          <w:sz w:val="16"/>
          <w:szCs w:val="16"/>
        </w:rPr>
      </w:pPr>
      <w:r>
        <w:rPr>
          <w:rStyle w:val="Style21"/>
        </w:rPr>
        <w:footnoteRef/>
      </w:r>
      <w:r>
        <w:rPr>
          <w:rFonts w:cs="Times New Roman" w:ascii="Times New Roman" w:hAnsi="Times New Roman"/>
          <w:sz w:val="18"/>
          <w:szCs w:val="16"/>
          <w:vertAlign w:val="superscript"/>
        </w:rPr>
        <w:t xml:space="preserve"> </w:t>
      </w:r>
      <w:r>
        <w:rPr>
          <w:rFonts w:cs="Times New Roman" w:ascii="Liberation Serif" w:hAnsi="Liberation Serif"/>
          <w:sz w:val="16"/>
          <w:szCs w:val="16"/>
        </w:rPr>
        <w:t>Во всех случаях (за исключением случаев, предусмотренных пунктами 4-8 Правил) размер штрафа устанавливается в соответствии с п. 3 Правил.</w:t>
      </w:r>
    </w:p>
  </w:footnote>
  <w:footnote w:id="3">
    <w:p>
      <w:pPr>
        <w:pStyle w:val="NoSpacing"/>
        <w:jc w:val="both"/>
        <w:rPr>
          <w:rFonts w:ascii="Liberation Serif" w:hAnsi="Liberation Serif"/>
          <w:sz w:val="16"/>
          <w:szCs w:val="16"/>
        </w:rPr>
      </w:pPr>
      <w:r>
        <w:rPr>
          <w:rStyle w:val="Style21"/>
        </w:rPr>
        <w:footnoteRef/>
      </w:r>
      <w:r>
        <w:rPr>
          <w:rFonts w:cs="Times New Roman" w:ascii="Times New Roman" w:hAnsi="Times New Roman"/>
          <w:sz w:val="18"/>
          <w:szCs w:val="16"/>
          <w:vertAlign w:val="superscript"/>
        </w:rPr>
        <w:t xml:space="preserve"> </w:t>
      </w:r>
      <w:r>
        <w:rPr>
          <w:rFonts w:cs="Times New Roman" w:ascii="Liberation Serif" w:hAnsi="Liberation Serif"/>
          <w:sz w:val="16"/>
          <w:szCs w:val="16"/>
        </w:rPr>
        <w:t>Размер штрафа устанавливается в соответствии с п. 6 Правил.</w:t>
      </w:r>
    </w:p>
  </w:footnote>
  <w:footnote w:id="4">
    <w:p>
      <w:pPr>
        <w:pStyle w:val="NoSpacing"/>
        <w:jc w:val="both"/>
        <w:rPr>
          <w:rFonts w:ascii="Liberation Serif" w:hAnsi="Liberation Serif"/>
          <w:sz w:val="16"/>
          <w:szCs w:val="16"/>
        </w:rPr>
      </w:pPr>
      <w:r>
        <w:rPr>
          <w:rStyle w:val="Style21"/>
        </w:rPr>
        <w:footnoteRef/>
      </w:r>
      <w:r>
        <w:rPr>
          <w:rFonts w:cs="Times New Roman" w:ascii="Times New Roman" w:hAnsi="Times New Roman"/>
          <w:sz w:val="18"/>
          <w:szCs w:val="16"/>
          <w:vertAlign w:val="superscript"/>
        </w:rPr>
        <w:t xml:space="preserve"> </w:t>
      </w:r>
      <w:r>
        <w:rPr>
          <w:rFonts w:cs="Times New Roman" w:ascii="Liberation Serif" w:hAnsi="Liberation Serif"/>
          <w:sz w:val="16"/>
          <w:szCs w:val="16"/>
        </w:rPr>
        <w:t>Размер штрафа устанавливается в соответствии с п. 9 Правил.</w:t>
      </w:r>
    </w:p>
  </w:footnote>
  <w:footnote w:id="5">
    <w:p>
      <w:pPr>
        <w:pStyle w:val="Style35"/>
        <w:jc w:val="both"/>
        <w:rPr/>
      </w:pPr>
      <w:r>
        <w:rPr>
          <w:rStyle w:val="Style21"/>
        </w:rPr>
        <w:footnoteRef/>
      </w:r>
      <w:r>
        <w:rPr>
          <w:rFonts w:cs="Liberation Serif;Times New Roma" w:ascii="Liberation Serif;Times New Roma" w:hAnsi="Liberation Serif;Times New Roma"/>
          <w:sz w:val="16"/>
          <w:szCs w:val="16"/>
        </w:rPr>
        <w:t xml:space="preserve"> </w:t>
      </w:r>
      <w:r>
        <w:rPr>
          <w:rFonts w:cs="Liberation Serif;Times New Roma" w:ascii="Liberation Serif;Times New Roma" w:hAnsi="Liberation Serif;Times New Roma"/>
          <w:sz w:val="16"/>
          <w:szCs w:val="16"/>
        </w:rPr>
        <w:t>В случае если закупочная сессия с использованием ЕАТ «Березка» не завершилась подписанием государственного контракта, п. 10.10</w:t>
      </w:r>
      <w:r>
        <w:rPr>
          <w:rFonts w:cs="Liberation Serif;Times New Roma" w:ascii="Liberation Serif;Times New Roma" w:hAnsi="Liberation Serif;Times New Roma"/>
          <w:color w:val="FF0000"/>
          <w:sz w:val="16"/>
          <w:szCs w:val="16"/>
        </w:rPr>
        <w:t xml:space="preserve"> </w:t>
      </w:r>
      <w:r>
        <w:rPr>
          <w:rFonts w:cs="Liberation Serif;Times New Roma" w:ascii="Liberation Serif;Times New Roma" w:hAnsi="Liberation Serif;Times New Roma"/>
          <w:sz w:val="16"/>
          <w:szCs w:val="16"/>
        </w:rPr>
        <w:t>излагается следующим образом: «Контракт составлен в двух экземплярах, идентичных по содержанию и имеющих одинаковую юридическую силу, один из которых передан Страхователю, второй – находится у Страховщика».</w:t>
      </w:r>
    </w:p>
  </w:footnote>
  <w:footnote w:id="6">
    <w:p>
      <w:pPr>
        <w:pStyle w:val="NoSpacing"/>
        <w:jc w:val="both"/>
        <w:rPr>
          <w:rFonts w:ascii="Liberation Serif" w:hAnsi="Liberation Serif"/>
          <w:sz w:val="16"/>
          <w:szCs w:val="16"/>
        </w:rPr>
      </w:pPr>
      <w:r>
        <w:rPr>
          <w:rStyle w:val="Style21"/>
        </w:rPr>
        <w:footnoteRef/>
      </w:r>
      <w:r>
        <w:rPr>
          <w:rFonts w:ascii="Liberation Serif" w:hAnsi="Liberation Serif"/>
          <w:sz w:val="16"/>
          <w:szCs w:val="16"/>
        </w:rPr>
        <w:t>Указываются наименование, ассортимент объем и прочие качественные и количественные характеристики в соответствии с условиями государственного контракта.</w:t>
      </w:r>
    </w:p>
  </w:footnote>
  <w:footnote w:id="7">
    <w:p>
      <w:pPr>
        <w:pStyle w:val="NoSpacing"/>
        <w:jc w:val="both"/>
        <w:rPr>
          <w:rFonts w:ascii="Liberation Serif" w:hAnsi="Liberation Serif"/>
          <w:sz w:val="16"/>
          <w:szCs w:val="16"/>
        </w:rPr>
      </w:pPr>
      <w:r>
        <w:rPr>
          <w:rStyle w:val="Style21"/>
        </w:rPr>
        <w:footnoteRef/>
      </w:r>
      <w:r>
        <w:rPr>
          <w:rFonts w:ascii="Liberation Serif" w:hAnsi="Liberation Serif"/>
          <w:sz w:val="16"/>
          <w:szCs w:val="16"/>
        </w:rPr>
        <w:t>В случае наличия нарушений условий государственного контракта – подробно указываются все нарушения условий государственного контракта, допущенные контрагентом.</w:t>
      </w:r>
    </w:p>
  </w:footnote>
  <w:footnote w:id="8">
    <w:p>
      <w:pPr>
        <w:pStyle w:val="NoSpacing"/>
        <w:jc w:val="both"/>
        <w:rPr>
          <w:rFonts w:ascii="Liberation Serif" w:hAnsi="Liberation Serif"/>
          <w:sz w:val="16"/>
          <w:szCs w:val="16"/>
        </w:rPr>
      </w:pPr>
      <w:r>
        <w:rPr>
          <w:rStyle w:val="Style21"/>
        </w:rPr>
        <w:footnoteRef/>
      </w:r>
      <w:r>
        <w:rPr>
          <w:rFonts w:ascii="Liberation Serif" w:hAnsi="Liberation Serif"/>
          <w:sz w:val="16"/>
          <w:szCs w:val="16"/>
        </w:rPr>
        <w:t>Если не соответствует, указывается причина несоответствия (несоответствие) результата исполнения государственного контракта его условиям.</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13552667"/>
    </w:sdtPr>
    <w:sdtContent>
      <w:p>
        <w:pPr>
          <w:pStyle w:val="111"/>
          <w:jc w:val="center"/>
          <w:rPr/>
        </w:pPr>
        <w:r>
          <w:rPr/>
          <w:fldChar w:fldCharType="begin"/>
        </w:r>
        <w:r>
          <w:rPr/>
          <w:instrText> PAGE </w:instrText>
        </w:r>
        <w:r>
          <w:rPr/>
          <w:fldChar w:fldCharType="separate"/>
        </w:r>
        <w:r>
          <w:rPr/>
          <w:t>18</w:t>
        </w:r>
        <w:r>
          <w:rPr/>
          <w:fldChar w:fldCharType="end"/>
        </w:r>
      </w:p>
      <w:p>
        <w:pPr>
          <w:pStyle w:val="111"/>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6"/>
      <w:numFmt w:val="decimal"/>
      <w:lvlText w:val="%1.%2.%3.%4.%5.%6."/>
      <w:lvlJc w:val="left"/>
      <w:pPr>
        <w:tabs>
          <w:tab w:val="num" w:pos="0"/>
        </w:tabs>
        <w:ind w:left="2850" w:hanging="108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1778"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0"/>
        </w:tabs>
        <w:ind w:left="1482" w:hanging="915"/>
      </w:pPr>
      <w:rPr>
        <w:sz w:val="28"/>
        <w:szCs w:val="28"/>
        <w:rFonts w:ascii="Times New Roman" w:hAnsi="Times New Roman" w:cs="Times New Roman"/>
        <w:color w:val="000000"/>
      </w:rPr>
    </w:lvl>
    <w:lvl w:ilvl="1">
      <w:start w:val="1"/>
      <w:numFmt w:val="decimal"/>
      <w:suff w:val="space"/>
      <w:lvlText w:val="%1.%2."/>
      <w:lvlJc w:val="left"/>
      <w:pPr>
        <w:tabs>
          <w:tab w:val="num" w:pos="0"/>
        </w:tabs>
        <w:ind w:left="0" w:firstLine="709"/>
      </w:pPr>
      <w:rPr>
        <w:sz w:val="24"/>
        <w:b/>
        <w:szCs w:val="24"/>
        <w:rFonts w:ascii="Times New Roman" w:hAnsi="Times New Roman" w:cs="Times New Roman"/>
        <w:color w:val="000000"/>
      </w:rPr>
    </w:lvl>
    <w:lvl w:ilvl="2">
      <w:start w:val="1"/>
      <w:numFmt w:val="decimal"/>
      <w:lvlText w:val="%1.%2.%3."/>
      <w:lvlJc w:val="left"/>
      <w:pPr>
        <w:tabs>
          <w:tab w:val="num" w:pos="0"/>
        </w:tabs>
        <w:ind w:left="1800" w:hanging="720"/>
      </w:pPr>
      <w:rPr>
        <w:sz w:val="24"/>
        <w:b/>
        <w:szCs w:val="24"/>
        <w:rFonts w:ascii="Times New Roman" w:hAnsi="Times New Roman" w:cs="Times New Roman"/>
        <w:color w:val="000000"/>
      </w:rPr>
    </w:lvl>
    <w:lvl w:ilvl="3">
      <w:start w:val="1"/>
      <w:numFmt w:val="decimal"/>
      <w:lvlText w:val="%1.%2.%3.%4."/>
      <w:lvlJc w:val="left"/>
      <w:pPr>
        <w:tabs>
          <w:tab w:val="num" w:pos="0"/>
        </w:tabs>
        <w:ind w:left="2160" w:hanging="720"/>
      </w:pPr>
      <w:rPr>
        <w:sz w:val="24"/>
        <w:b/>
        <w:szCs w:val="24"/>
        <w:rFonts w:ascii="Times New Roman" w:hAnsi="Times New Roman" w:cs="Times New Roman"/>
        <w:color w:val="000000"/>
      </w:rPr>
    </w:lvl>
    <w:lvl w:ilvl="4">
      <w:start w:val="1"/>
      <w:numFmt w:val="decimal"/>
      <w:lvlText w:val="%1.%2.%3.%4.%5."/>
      <w:lvlJc w:val="left"/>
      <w:pPr>
        <w:tabs>
          <w:tab w:val="num" w:pos="0"/>
        </w:tabs>
        <w:ind w:left="2880" w:hanging="1080"/>
      </w:pPr>
      <w:rPr>
        <w:sz w:val="24"/>
        <w:b/>
        <w:szCs w:val="24"/>
        <w:rFonts w:ascii="Times New Roman" w:hAnsi="Times New Roman" w:cs="Times New Roman"/>
        <w:color w:val="000000"/>
      </w:rPr>
    </w:lvl>
    <w:lvl w:ilvl="5">
      <w:start w:val="1"/>
      <w:numFmt w:val="decimal"/>
      <w:lvlText w:val="%1.%2.%3.%4.%5.%6."/>
      <w:lvlJc w:val="left"/>
      <w:pPr>
        <w:tabs>
          <w:tab w:val="num" w:pos="0"/>
        </w:tabs>
        <w:ind w:left="3240" w:hanging="1080"/>
      </w:pPr>
      <w:rPr>
        <w:sz w:val="24"/>
        <w:b/>
        <w:szCs w:val="24"/>
        <w:rFonts w:ascii="Times New Roman" w:hAnsi="Times New Roman" w:cs="Times New Roman"/>
        <w:color w:val="000000"/>
      </w:rPr>
    </w:lvl>
    <w:lvl w:ilvl="6">
      <w:start w:val="1"/>
      <w:numFmt w:val="decimal"/>
      <w:lvlText w:val="%1.%2.%3.%4.%5.%6.%7."/>
      <w:lvlJc w:val="left"/>
      <w:pPr>
        <w:tabs>
          <w:tab w:val="num" w:pos="0"/>
        </w:tabs>
        <w:ind w:left="3960" w:hanging="1440"/>
      </w:pPr>
      <w:rPr>
        <w:sz w:val="24"/>
        <w:b/>
        <w:szCs w:val="24"/>
        <w:rFonts w:ascii="Times New Roman" w:hAnsi="Times New Roman" w:cs="Times New Roman"/>
        <w:color w:val="000000"/>
      </w:rPr>
    </w:lvl>
    <w:lvl w:ilvl="7">
      <w:start w:val="1"/>
      <w:numFmt w:val="decimal"/>
      <w:lvlText w:val="%1.%2.%3.%4.%5.%6.%7.%8."/>
      <w:lvlJc w:val="left"/>
      <w:pPr>
        <w:tabs>
          <w:tab w:val="num" w:pos="0"/>
        </w:tabs>
        <w:ind w:left="4320" w:hanging="1440"/>
      </w:pPr>
      <w:rPr>
        <w:sz w:val="24"/>
        <w:b/>
        <w:szCs w:val="24"/>
        <w:rFonts w:ascii="Times New Roman" w:hAnsi="Times New Roman" w:cs="Times New Roman"/>
        <w:color w:val="000000"/>
      </w:rPr>
    </w:lvl>
    <w:lvl w:ilvl="8">
      <w:start w:val="1"/>
      <w:numFmt w:val="decimal"/>
      <w:lvlText w:val="%1.%2.%3.%4.%5.%6.%7.%8.%9."/>
      <w:lvlJc w:val="left"/>
      <w:pPr>
        <w:tabs>
          <w:tab w:val="num" w:pos="0"/>
        </w:tabs>
        <w:ind w:left="5040" w:hanging="1800"/>
      </w:pPr>
      <w:rPr>
        <w:sz w:val="24"/>
        <w:b/>
        <w:szCs w:val="24"/>
        <w:rFonts w:ascii="Times New Roman" w:hAnsi="Times New Roman" w:cs="Times New Roman"/>
        <w:color w:val="000000"/>
      </w:rPr>
    </w:lvl>
  </w:abstractNum>
  <w:abstractNum w:abstractNumId="5">
    <w:lvl w:ilvl="0">
      <w:start w:val="2"/>
      <w:numFmt w:val="decimal"/>
      <w:lvlText w:val="%1."/>
      <w:lvlJc w:val="left"/>
      <w:pPr>
        <w:tabs>
          <w:tab w:val="num" w:pos="0"/>
        </w:tabs>
        <w:ind w:left="360" w:hanging="360"/>
      </w:pPr>
      <w:rPr>
        <w:sz w:val="28"/>
        <w:b/>
        <w:szCs w:val="28"/>
        <w:rFonts w:ascii="Tinos" w:hAnsi="Tinos" w:cs="Tinos"/>
      </w:rPr>
    </w:lvl>
    <w:lvl w:ilvl="1">
      <w:start w:val="5"/>
      <w:numFmt w:val="decimal"/>
      <w:lvlText w:val="%1.%2."/>
      <w:lvlJc w:val="left"/>
      <w:pPr>
        <w:tabs>
          <w:tab w:val="num" w:pos="0"/>
        </w:tabs>
        <w:ind w:left="2912" w:hanging="360"/>
      </w:pPr>
      <w:rPr>
        <w:sz w:val="28"/>
        <w:b/>
        <w:szCs w:val="28"/>
        <w:rFonts w:ascii="Tinos" w:hAnsi="Tinos" w:cs="Tinos"/>
      </w:rPr>
    </w:lvl>
    <w:lvl w:ilvl="2">
      <w:start w:val="1"/>
      <w:numFmt w:val="decimal"/>
      <w:lvlText w:val="%1.%2.%3."/>
      <w:lvlJc w:val="left"/>
      <w:pPr>
        <w:tabs>
          <w:tab w:val="num" w:pos="0"/>
        </w:tabs>
        <w:ind w:left="5824" w:hanging="720"/>
      </w:pPr>
      <w:rPr>
        <w:sz w:val="28"/>
        <w:b/>
        <w:szCs w:val="28"/>
        <w:rFonts w:ascii="Tinos" w:hAnsi="Tinos" w:cs="Tinos"/>
      </w:rPr>
    </w:lvl>
    <w:lvl w:ilvl="3">
      <w:start w:val="1"/>
      <w:numFmt w:val="decimal"/>
      <w:lvlText w:val="%1.%2.%3.%4."/>
      <w:lvlJc w:val="left"/>
      <w:pPr>
        <w:tabs>
          <w:tab w:val="num" w:pos="0"/>
        </w:tabs>
        <w:ind w:left="8376" w:hanging="720"/>
      </w:pPr>
      <w:rPr>
        <w:sz w:val="28"/>
        <w:b/>
        <w:szCs w:val="28"/>
        <w:rFonts w:ascii="Tinos" w:hAnsi="Tinos" w:cs="Tinos"/>
      </w:rPr>
    </w:lvl>
    <w:lvl w:ilvl="4">
      <w:start w:val="1"/>
      <w:numFmt w:val="decimal"/>
      <w:lvlText w:val="%1.%2.%3.%4.%5."/>
      <w:lvlJc w:val="left"/>
      <w:pPr>
        <w:tabs>
          <w:tab w:val="num" w:pos="0"/>
        </w:tabs>
        <w:ind w:left="11288" w:hanging="1080"/>
      </w:pPr>
      <w:rPr>
        <w:sz w:val="28"/>
        <w:b/>
        <w:szCs w:val="28"/>
        <w:rFonts w:ascii="Tinos" w:hAnsi="Tinos" w:cs="Tinos"/>
      </w:rPr>
    </w:lvl>
    <w:lvl w:ilvl="5">
      <w:start w:val="1"/>
      <w:numFmt w:val="decimal"/>
      <w:lvlText w:val="%1.%2.%3.%4.%5.%6."/>
      <w:lvlJc w:val="left"/>
      <w:pPr>
        <w:tabs>
          <w:tab w:val="num" w:pos="0"/>
        </w:tabs>
        <w:ind w:left="13840" w:hanging="1080"/>
      </w:pPr>
      <w:rPr>
        <w:sz w:val="28"/>
        <w:b/>
        <w:szCs w:val="28"/>
        <w:rFonts w:ascii="Tinos" w:hAnsi="Tinos" w:cs="Tinos"/>
      </w:rPr>
    </w:lvl>
    <w:lvl w:ilvl="6">
      <w:start w:val="1"/>
      <w:numFmt w:val="decimal"/>
      <w:lvlText w:val="%1.%2.%3.%4.%5.%6.%7."/>
      <w:lvlJc w:val="left"/>
      <w:pPr>
        <w:tabs>
          <w:tab w:val="num" w:pos="0"/>
        </w:tabs>
        <w:ind w:left="16392" w:hanging="1080"/>
      </w:pPr>
      <w:rPr>
        <w:sz w:val="28"/>
        <w:b/>
        <w:szCs w:val="28"/>
        <w:rFonts w:ascii="Tinos" w:hAnsi="Tinos" w:cs="Tinos"/>
      </w:rPr>
    </w:lvl>
    <w:lvl w:ilvl="7">
      <w:start w:val="1"/>
      <w:numFmt w:val="decimal"/>
      <w:lvlText w:val="%1.%2.%3.%4.%5.%6.%7.%8."/>
      <w:lvlJc w:val="left"/>
      <w:pPr>
        <w:tabs>
          <w:tab w:val="num" w:pos="0"/>
        </w:tabs>
        <w:ind w:left="19304" w:hanging="1440"/>
      </w:pPr>
      <w:rPr>
        <w:sz w:val="28"/>
        <w:b/>
        <w:szCs w:val="28"/>
        <w:rFonts w:ascii="Tinos" w:hAnsi="Tinos" w:cs="Tinos"/>
      </w:rPr>
    </w:lvl>
    <w:lvl w:ilvl="8">
      <w:start w:val="1"/>
      <w:numFmt w:val="decimal"/>
      <w:lvlText w:val="%1.%2.%3.%4.%5.%6.%7.%8.%9."/>
      <w:lvlJc w:val="left"/>
      <w:pPr>
        <w:tabs>
          <w:tab w:val="num" w:pos="0"/>
        </w:tabs>
        <w:ind w:left="21856" w:hanging="1440"/>
      </w:pPr>
      <w:rPr>
        <w:sz w:val="28"/>
        <w:b/>
        <w:szCs w:val="28"/>
        <w:rFonts w:ascii="Tinos" w:hAnsi="Tinos" w:cs="Tinos"/>
      </w:rPr>
    </w:lvl>
  </w:abstractNum>
  <w:abstractNum w:abstractNumId="6">
    <w:lvl w:ilvl="0">
      <w:start w:val="1"/>
      <w:numFmt w:val="decimal"/>
      <w:lvlText w:val="%1)"/>
      <w:lvlJc w:val="left"/>
      <w:pPr>
        <w:tabs>
          <w:tab w:val="num" w:pos="0"/>
        </w:tabs>
        <w:ind w:left="1287" w:hanging="360"/>
      </w:pPr>
      <w:rPr>
        <w:sz w:val="24"/>
        <w:szCs w:val="24"/>
        <w:rFonts w:ascii="Tinos" w:hAnsi="Tinos" w:cs="Tino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128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09"/>
  <w:autoHyphenation w:val="true"/>
  <w:footnotePr>
    <w:numFmt w:val="decimal"/>
    <w:footnote w:id="0"/>
    <w:footnote w:id="1"/>
  </w:foot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Hyperlink" w:uiPriority="99"/>
    <w:lsdException w:name="Strong" w:uiPriority="22" w:semiHidden="0" w:unhideWhenUsed="0" w:qFormat="1"/>
    <w:lsdException w:name="Emphasis" w:semiHidden="0" w:unhideWhenUsed="0" w:qFormat="1"/>
    <w:lsdException w:name="Plain Text" w:uiPriority="99"/>
    <w:lsdException w:name="No List" w:uiPriority="99"/>
    <w:lsdException w:name="Balloon Text" w:uiPriority="99"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4566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5e61ad"/>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semiHidden/>
    <w:unhideWhenUsed/>
    <w:qFormat/>
    <w:rsid w:val="001b4cf3"/>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nhideWhenUsed/>
    <w:qFormat/>
    <w:rsid w:val="00c373c0"/>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6">
    <w:name w:val="Heading 6"/>
    <w:basedOn w:val="Normal"/>
    <w:next w:val="Normal"/>
    <w:link w:val="60"/>
    <w:qFormat/>
    <w:rsid w:val="005e61ad"/>
    <w:pPr>
      <w:numPr>
        <w:ilvl w:val="5"/>
        <w:numId w:val="1"/>
      </w:numPr>
      <w:spacing w:before="240" w:after="60"/>
      <w:outlineLvl w:val="5"/>
    </w:pPr>
    <w:rPr>
      <w:rFonts w:ascii="Calibri" w:hAnsi="Calibri"/>
      <w:b/>
      <w:bCs/>
      <w:sz w:val="22"/>
      <w:szCs w:val="22"/>
      <w:lang w:eastAsia="zh-CN"/>
    </w:rPr>
  </w:style>
  <w:style w:type="character" w:styleId="DefaultParagraphFont" w:default="1">
    <w:name w:val="Default Paragraph Font"/>
    <w:uiPriority w:val="1"/>
    <w:semiHidden/>
    <w:unhideWhenUsed/>
    <w:qFormat/>
    <w:rPr/>
  </w:style>
  <w:style w:type="character" w:styleId="Style10" w:customStyle="1">
    <w:name w:val="Интернет-ссылка"/>
    <w:basedOn w:val="DefaultParagraphFont"/>
    <w:uiPriority w:val="99"/>
    <w:semiHidden/>
    <w:unhideWhenUsed/>
    <w:rsid w:val="000c2d91"/>
    <w:rPr>
      <w:color w:val="0000FF"/>
      <w:u w:val="single"/>
    </w:rPr>
  </w:style>
  <w:style w:type="character" w:styleId="Pagenumber">
    <w:name w:val="page number"/>
    <w:basedOn w:val="DefaultParagraphFont"/>
    <w:qFormat/>
    <w:rsid w:val="00e33f49"/>
    <w:rPr/>
  </w:style>
  <w:style w:type="character" w:styleId="FontStyle12" w:customStyle="1">
    <w:name w:val="Font Style12"/>
    <w:qFormat/>
    <w:rsid w:val="00af2587"/>
    <w:rPr>
      <w:rFonts w:ascii="Arial" w:hAnsi="Arial" w:cs="Arial"/>
      <w:sz w:val="22"/>
      <w:szCs w:val="22"/>
    </w:rPr>
  </w:style>
  <w:style w:type="character" w:styleId="ConsPlusNormal" w:customStyle="1">
    <w:name w:val="ConsPlusNormal Знак"/>
    <w:link w:val="ConsPlusNormal"/>
    <w:qFormat/>
    <w:locked/>
    <w:rsid w:val="005129ef"/>
    <w:rPr>
      <w:rFonts w:ascii="Arial" w:hAnsi="Arial" w:cs="Arial"/>
      <w:lang w:val="ru-RU" w:eastAsia="ru-RU" w:bidi="ar-SA"/>
    </w:rPr>
  </w:style>
  <w:style w:type="character" w:styleId="FontStyle13" w:customStyle="1">
    <w:name w:val="Font Style13"/>
    <w:uiPriority w:val="99"/>
    <w:qFormat/>
    <w:rsid w:val="00933495"/>
    <w:rPr>
      <w:rFonts w:ascii="Times New Roman" w:hAnsi="Times New Roman" w:cs="Times New Roman"/>
      <w:sz w:val="20"/>
      <w:szCs w:val="20"/>
    </w:rPr>
  </w:style>
  <w:style w:type="character" w:styleId="31" w:customStyle="1">
    <w:name w:val="Основной текст с отступом 3 Знак"/>
    <w:link w:val="31"/>
    <w:uiPriority w:val="99"/>
    <w:qFormat/>
    <w:rsid w:val="005c01c2"/>
    <w:rPr>
      <w:sz w:val="16"/>
      <w:szCs w:val="16"/>
    </w:rPr>
  </w:style>
  <w:style w:type="character" w:styleId="32" w:customStyle="1">
    <w:name w:val="Основной текст 3 Знак"/>
    <w:qFormat/>
    <w:rsid w:val="00d75632"/>
    <w:rPr>
      <w:sz w:val="16"/>
      <w:szCs w:val="16"/>
    </w:rPr>
  </w:style>
  <w:style w:type="character" w:styleId="Style11" w:customStyle="1">
    <w:name w:val="Текст выноски Знак"/>
    <w:uiPriority w:val="99"/>
    <w:qFormat/>
    <w:rsid w:val="00d75632"/>
    <w:rPr>
      <w:rFonts w:ascii="Tahoma" w:hAnsi="Tahoma" w:eastAsia="Calibri" w:cs="Tahoma"/>
      <w:sz w:val="16"/>
      <w:szCs w:val="16"/>
      <w:lang w:eastAsia="en-US"/>
    </w:rPr>
  </w:style>
  <w:style w:type="character" w:styleId="Textspanview" w:customStyle="1">
    <w:name w:val="textspanview"/>
    <w:basedOn w:val="DefaultParagraphFont"/>
    <w:qFormat/>
    <w:rsid w:val="0025227f"/>
    <w:rPr/>
  </w:style>
  <w:style w:type="character" w:styleId="Style12">
    <w:name w:val="Выделение"/>
    <w:qFormat/>
    <w:rsid w:val="0025227f"/>
    <w:rPr>
      <w:i/>
      <w:iCs/>
    </w:rPr>
  </w:style>
  <w:style w:type="character" w:styleId="Style13" w:customStyle="1">
    <w:name w:val="Текст Знак"/>
    <w:uiPriority w:val="99"/>
    <w:qFormat/>
    <w:rsid w:val="00982225"/>
    <w:rPr>
      <w:rFonts w:ascii="Consolas" w:hAnsi="Consolas" w:eastAsia="Calibri"/>
      <w:sz w:val="21"/>
      <w:szCs w:val="21"/>
      <w:lang w:eastAsia="en-US"/>
    </w:rPr>
  </w:style>
  <w:style w:type="character" w:styleId="61" w:customStyle="1">
    <w:name w:val="Заголовок 6 Знак"/>
    <w:link w:val="6"/>
    <w:qFormat/>
    <w:rsid w:val="00927186"/>
    <w:rPr>
      <w:i/>
      <w:iCs/>
    </w:rPr>
  </w:style>
  <w:style w:type="character" w:styleId="8" w:customStyle="1">
    <w:name w:val="Заголовок 8 Знак"/>
    <w:link w:val="81"/>
    <w:qFormat/>
    <w:rsid w:val="00927186"/>
    <w:rPr>
      <w:rFonts w:ascii="Arial" w:hAnsi="Arial"/>
      <w:i/>
      <w:iCs/>
    </w:rPr>
  </w:style>
  <w:style w:type="character" w:styleId="Style14" w:customStyle="1">
    <w:name w:val="Без интервала Знак"/>
    <w:uiPriority w:val="1"/>
    <w:qFormat/>
    <w:locked/>
    <w:rsid w:val="00927186"/>
    <w:rPr>
      <w:sz w:val="24"/>
      <w:szCs w:val="24"/>
      <w:lang w:bidi="ar-SA"/>
    </w:rPr>
  </w:style>
  <w:style w:type="character" w:styleId="HTML" w:customStyle="1">
    <w:name w:val="Стандартный HTML Знак"/>
    <w:link w:val="HTML"/>
    <w:qFormat/>
    <w:rsid w:val="00736a4a"/>
    <w:rPr>
      <w:rFonts w:ascii="Courier New" w:hAnsi="Courier New"/>
      <w:color w:val="000000"/>
    </w:rPr>
  </w:style>
  <w:style w:type="character" w:styleId="11" w:customStyle="1">
    <w:name w:val="Стиль1 Знак"/>
    <w:qFormat/>
    <w:locked/>
    <w:rsid w:val="00736a4a"/>
    <w:rPr>
      <w:sz w:val="24"/>
      <w:szCs w:val="24"/>
    </w:rPr>
  </w:style>
  <w:style w:type="character" w:styleId="Style15" w:customStyle="1">
    <w:name w:val="Гипертекстовая ссылка"/>
    <w:uiPriority w:val="99"/>
    <w:qFormat/>
    <w:rsid w:val="00736a4a"/>
    <w:rPr>
      <w:color w:val="008000"/>
    </w:rPr>
  </w:style>
  <w:style w:type="character" w:styleId="Style16" w:customStyle="1">
    <w:name w:val="Основной текст_"/>
    <w:uiPriority w:val="99"/>
    <w:qFormat/>
    <w:rsid w:val="007b69ad"/>
    <w:rPr>
      <w:color w:val="000000"/>
      <w:sz w:val="24"/>
    </w:rPr>
  </w:style>
  <w:style w:type="character" w:styleId="Style17" w:customStyle="1">
    <w:name w:val="Абзац списка Знак"/>
    <w:uiPriority w:val="99"/>
    <w:qFormat/>
    <w:locked/>
    <w:rsid w:val="008d3773"/>
    <w:rPr>
      <w:rFonts w:ascii="Calibri" w:hAnsi="Calibri" w:eastAsia="Calibri"/>
      <w:sz w:val="22"/>
      <w:szCs w:val="22"/>
      <w:lang w:eastAsia="en-US"/>
    </w:rPr>
  </w:style>
  <w:style w:type="character" w:styleId="Style18" w:customStyle="1">
    <w:name w:val="Текст сноски Знак"/>
    <w:basedOn w:val="DefaultParagraphFont"/>
    <w:qFormat/>
    <w:rsid w:val="003e11d9"/>
    <w:rPr/>
  </w:style>
  <w:style w:type="character" w:styleId="Style19" w:customStyle="1">
    <w:name w:val="Привязка сноски"/>
    <w:rsid w:val="001c763c"/>
    <w:rPr>
      <w:rFonts w:ascii="Times New Roman" w:hAnsi="Times New Roman"/>
      <w:vertAlign w:val="superscript"/>
    </w:rPr>
  </w:style>
  <w:style w:type="character" w:styleId="FootnoteCharacters" w:customStyle="1">
    <w:name w:val="Footnote Characters"/>
    <w:qFormat/>
    <w:rPr>
      <w:vertAlign w:val="superscript"/>
    </w:rPr>
  </w:style>
  <w:style w:type="character" w:styleId="Blk" w:customStyle="1">
    <w:name w:val="blk"/>
    <w:basedOn w:val="DefaultParagraphFont"/>
    <w:qFormat/>
    <w:rsid w:val="00811b03"/>
    <w:rPr/>
  </w:style>
  <w:style w:type="character" w:styleId="Style20" w:customStyle="1">
    <w:name w:val="Верхний колонтитул Знак"/>
    <w:basedOn w:val="DefaultParagraphFont"/>
    <w:uiPriority w:val="99"/>
    <w:qFormat/>
    <w:rsid w:val="00976dff"/>
    <w:rPr>
      <w:sz w:val="24"/>
      <w:szCs w:val="24"/>
    </w:rPr>
  </w:style>
  <w:style w:type="character" w:styleId="FootnoteAnchor" w:customStyle="1">
    <w:name w:val="Footnote Anchor"/>
    <w:qFormat/>
    <w:rsid w:val="00e20129"/>
    <w:rPr>
      <w:vertAlign w:val="superscript"/>
    </w:rPr>
  </w:style>
  <w:style w:type="character" w:styleId="12" w:customStyle="1">
    <w:name w:val="Неразрешенное упоминание1"/>
    <w:basedOn w:val="DefaultParagraphFont"/>
    <w:uiPriority w:val="99"/>
    <w:semiHidden/>
    <w:unhideWhenUsed/>
    <w:qFormat/>
    <w:rsid w:val="0012057e"/>
    <w:rPr>
      <w:color w:val="605E5C"/>
      <w:shd w:fill="E1DFDD" w:val="clear"/>
    </w:rPr>
  </w:style>
  <w:style w:type="character" w:styleId="Style21" w:customStyle="1">
    <w:name w:val="Символ сноски"/>
    <w:qFormat/>
    <w:rsid w:val="001c763c"/>
    <w:rPr/>
  </w:style>
  <w:style w:type="character" w:styleId="Style22" w:customStyle="1">
    <w:name w:val="Символ концевой сноски"/>
    <w:qFormat/>
    <w:rsid w:val="001c763c"/>
    <w:rPr/>
  </w:style>
  <w:style w:type="character" w:styleId="Style23" w:customStyle="1">
    <w:name w:val="Привязка концевой сноски"/>
    <w:rsid w:val="001c763c"/>
    <w:rPr>
      <w:vertAlign w:val="superscript"/>
    </w:rPr>
  </w:style>
  <w:style w:type="character" w:styleId="Style24" w:customStyle="1">
    <w:name w:val="Посещённая гиперссылка"/>
    <w:rPr>
      <w:color w:val="800080"/>
      <w:u w:val="single"/>
    </w:rPr>
  </w:style>
  <w:style w:type="character" w:styleId="Iceouttxt1" w:customStyle="1">
    <w:name w:val="iceouttxt1"/>
    <w:qFormat/>
    <w:rPr>
      <w:rFonts w:ascii="Arial" w:hAnsi="Arial" w:cs="Arial"/>
      <w:color w:val="666666"/>
      <w:sz w:val="13"/>
      <w:szCs w:val="13"/>
    </w:rPr>
  </w:style>
  <w:style w:type="character" w:styleId="WW8Num15z0" w:customStyle="1">
    <w:name w:val="WW8Num15z0"/>
    <w:qFormat/>
    <w:rPr>
      <w:rFonts w:ascii="Times New Roman" w:hAnsi="Times New Roman" w:eastAsia="Calibri" w:cs="Times New Roman"/>
    </w:rPr>
  </w:style>
  <w:style w:type="character" w:styleId="Style25" w:customStyle="1">
    <w:name w:val="Символ нумерации"/>
    <w:qFormat/>
    <w:rPr/>
  </w:style>
  <w:style w:type="character" w:styleId="WW8Num11z7" w:customStyle="1">
    <w:name w:val="WW8Num11z7"/>
    <w:qFormat/>
    <w:rsid w:val="00477919"/>
    <w:rPr/>
  </w:style>
  <w:style w:type="character" w:styleId="611" w:customStyle="1">
    <w:name w:val="Заголовок 6 Знак1"/>
    <w:basedOn w:val="DefaultParagraphFont"/>
    <w:qFormat/>
    <w:rsid w:val="005e61ad"/>
    <w:rPr>
      <w:rFonts w:ascii="Calibri" w:hAnsi="Calibri"/>
      <w:b/>
      <w:bCs/>
      <w:sz w:val="22"/>
      <w:szCs w:val="22"/>
      <w:lang w:eastAsia="zh-CN"/>
    </w:rPr>
  </w:style>
  <w:style w:type="character" w:styleId="13" w:customStyle="1">
    <w:name w:val="Заголовок 1 Знак"/>
    <w:basedOn w:val="DefaultParagraphFont"/>
    <w:link w:val="13"/>
    <w:qFormat/>
    <w:rsid w:val="005e61ad"/>
    <w:rPr>
      <w:rFonts w:ascii="Cambria" w:hAnsi="Cambria" w:eastAsia="" w:cs="" w:asciiTheme="majorHAnsi" w:cstheme="majorBidi" w:eastAsiaTheme="majorEastAsia" w:hAnsiTheme="majorHAnsi"/>
      <w:b/>
      <w:bCs/>
      <w:color w:val="365F91" w:themeColor="accent1" w:themeShade="bf"/>
      <w:sz w:val="28"/>
      <w:szCs w:val="28"/>
    </w:rPr>
  </w:style>
  <w:style w:type="character" w:styleId="33" w:customStyle="1">
    <w:name w:val="Заголовок 3 Знак"/>
    <w:basedOn w:val="DefaultParagraphFont"/>
    <w:link w:val="3"/>
    <w:qFormat/>
    <w:rsid w:val="00c373c0"/>
    <w:rPr>
      <w:rFonts w:ascii="Cambria" w:hAnsi="Cambria" w:eastAsia="" w:cs="" w:asciiTheme="majorHAnsi" w:cstheme="majorBidi" w:eastAsiaTheme="majorEastAsia" w:hAnsiTheme="majorHAnsi"/>
      <w:b/>
      <w:bCs/>
      <w:color w:val="4F81BD" w:themeColor="accent1"/>
      <w:sz w:val="24"/>
      <w:szCs w:val="24"/>
    </w:rPr>
  </w:style>
  <w:style w:type="character" w:styleId="WW8Num6z0" w:customStyle="1">
    <w:name w:val="WW8Num6z0"/>
    <w:qFormat/>
    <w:rPr>
      <w:rFonts w:ascii="Times New Roman" w:hAnsi="Times New Roman" w:cs="Times New Roman"/>
      <w:color w:val="000000"/>
      <w:sz w:val="24"/>
      <w:szCs w:val="24"/>
    </w:rPr>
  </w:style>
  <w:style w:type="character" w:styleId="WW8Num4z0" w:customStyle="1">
    <w:name w:val="WW8Num4z0"/>
    <w:qFormat/>
    <w:rPr>
      <w:sz w:val="24"/>
      <w:szCs w:val="24"/>
    </w:rPr>
  </w:style>
  <w:style w:type="character" w:styleId="WW8Num5z0" w:customStyle="1">
    <w:name w:val="WW8Num5z0"/>
    <w:qFormat/>
    <w:rPr>
      <w:rFonts w:ascii="Symbol" w:hAnsi="Symbol" w:cs="Symbol"/>
    </w:rPr>
  </w:style>
  <w:style w:type="character" w:styleId="WW8Num3z0" w:customStyle="1">
    <w:name w:val="WW8Num3z0"/>
    <w:qFormat/>
    <w:rPr>
      <w:sz w:val="24"/>
      <w:szCs w:val="24"/>
    </w:rPr>
  </w:style>
  <w:style w:type="character" w:styleId="WW8Num2z0" w:customStyle="1">
    <w:name w:val="WW8Num2z0"/>
    <w:qFormat/>
    <w:rPr>
      <w:sz w:val="24"/>
      <w:szCs w:val="24"/>
    </w:rPr>
  </w:style>
  <w:style w:type="character" w:styleId="21" w:customStyle="1">
    <w:name w:val="Заголовок 2 Знак"/>
    <w:basedOn w:val="DefaultParagraphFont"/>
    <w:link w:val="2"/>
    <w:semiHidden/>
    <w:qFormat/>
    <w:rsid w:val="001b4cf3"/>
    <w:rPr>
      <w:rFonts w:ascii="Cambria" w:hAnsi="Cambria" w:eastAsia="" w:cs="" w:asciiTheme="majorHAnsi" w:cstheme="majorBidi" w:eastAsiaTheme="majorEastAsia" w:hAnsiTheme="majorHAnsi"/>
      <w:b/>
      <w:bCs/>
      <w:color w:val="4F81BD" w:themeColor="accent1"/>
      <w:sz w:val="26"/>
      <w:szCs w:val="26"/>
    </w:rPr>
  </w:style>
  <w:style w:type="character" w:styleId="Strong">
    <w:name w:val="Strong"/>
    <w:basedOn w:val="DefaultParagraphFont"/>
    <w:uiPriority w:val="22"/>
    <w:qFormat/>
    <w:rsid w:val="001b4cf3"/>
    <w:rPr>
      <w:b/>
      <w:bCs/>
    </w:rPr>
  </w:style>
  <w:style w:type="paragraph" w:styleId="Style26" w:customStyle="1">
    <w:name w:val="Заголовок"/>
    <w:basedOn w:val="Normal"/>
    <w:next w:val="Style27"/>
    <w:qFormat/>
    <w:pPr>
      <w:keepNext w:val="true"/>
      <w:spacing w:before="240" w:after="120"/>
    </w:pPr>
    <w:rPr>
      <w:rFonts w:ascii="PT Astra Serif" w:hAnsi="PT Astra Serif" w:eastAsia="Tahoma" w:cs="Noto Sans Devanagari"/>
      <w:sz w:val="28"/>
      <w:szCs w:val="28"/>
    </w:rPr>
  </w:style>
  <w:style w:type="paragraph" w:styleId="Style27">
    <w:name w:val="Body Text"/>
    <w:basedOn w:val="Normal"/>
    <w:rsid w:val="004468cd"/>
    <w:pPr>
      <w:spacing w:lineRule="atLeast" w:line="0"/>
      <w:jc w:val="both"/>
    </w:pPr>
    <w:rPr>
      <w:szCs w:val="20"/>
    </w:rPr>
  </w:style>
  <w:style w:type="paragraph" w:styleId="Style28">
    <w:name w:val="List"/>
    <w:basedOn w:val="Style27"/>
    <w:rsid w:val="001c763c"/>
    <w:pPr/>
    <w:rPr>
      <w:rFonts w:ascii="PT Astra Serif" w:hAnsi="PT Astra Serif" w:cs="Noto Sans Devanagari"/>
    </w:rPr>
  </w:style>
  <w:style w:type="paragraph" w:styleId="Style29">
    <w:name w:val="Caption"/>
    <w:basedOn w:val="Normal"/>
    <w:qFormat/>
    <w:pPr>
      <w:suppressLineNumbers/>
      <w:spacing w:before="120" w:after="120"/>
    </w:pPr>
    <w:rPr>
      <w:rFonts w:ascii="PT Astra Serif" w:hAnsi="PT Astra Serif" w:cs="Noto Sans Devanagari"/>
      <w:i/>
      <w:iCs/>
      <w:sz w:val="24"/>
      <w:szCs w:val="24"/>
    </w:rPr>
  </w:style>
  <w:style w:type="paragraph" w:styleId="Style30">
    <w:name w:val="Указатель"/>
    <w:basedOn w:val="Normal"/>
    <w:qFormat/>
    <w:pPr>
      <w:suppressLineNumbers/>
    </w:pPr>
    <w:rPr>
      <w:rFonts w:ascii="PT Astra Serif" w:hAnsi="PT Astra Serif" w:cs="Noto Sans Devanagari"/>
      <w:lang w:val="zxx" w:eastAsia="zxx" w:bidi="zxx"/>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Indexheading">
    <w:name w:val="index heading"/>
    <w:basedOn w:val="Normal"/>
    <w:qFormat/>
    <w:rsid w:val="001c763c"/>
    <w:pPr>
      <w:suppressLineNumbers/>
    </w:pPr>
    <w:rPr>
      <w:rFonts w:ascii="PT Astra Serif" w:hAnsi="PT Astra Serif" w:cs="Noto Sans Devanagari"/>
    </w:rPr>
  </w:style>
  <w:style w:type="paragraph" w:styleId="14" w:customStyle="1">
    <w:name w:val="Заголовок1"/>
    <w:basedOn w:val="Normal"/>
    <w:next w:val="Style27"/>
    <w:link w:val="14"/>
    <w:qFormat/>
    <w:rsid w:val="001c763c"/>
    <w:pPr>
      <w:keepNext w:val="true"/>
      <w:spacing w:before="240" w:after="120"/>
    </w:pPr>
    <w:rPr>
      <w:rFonts w:ascii="PT Astra Serif" w:hAnsi="PT Astra Serif" w:eastAsia="Tahoma" w:cs="Noto Sans Devanagari"/>
      <w:sz w:val="28"/>
      <w:szCs w:val="28"/>
    </w:rPr>
  </w:style>
  <w:style w:type="paragraph" w:styleId="612" w:customStyle="1">
    <w:name w:val="Заголовок 61"/>
    <w:basedOn w:val="Normal"/>
    <w:next w:val="Normal"/>
    <w:qFormat/>
    <w:rsid w:val="00927186"/>
    <w:pPr>
      <w:tabs>
        <w:tab w:val="clear" w:pos="709"/>
        <w:tab w:val="left" w:pos="1152" w:leader="none"/>
      </w:tabs>
      <w:spacing w:before="240" w:after="60"/>
      <w:ind w:left="1152" w:hanging="1152"/>
      <w:jc w:val="both"/>
      <w:outlineLvl w:val="5"/>
    </w:pPr>
    <w:rPr>
      <w:i/>
      <w:iCs/>
      <w:sz w:val="20"/>
      <w:szCs w:val="20"/>
    </w:rPr>
  </w:style>
  <w:style w:type="paragraph" w:styleId="81" w:customStyle="1">
    <w:name w:val="Заголовок 81"/>
    <w:basedOn w:val="Normal"/>
    <w:next w:val="Normal"/>
    <w:link w:val="8"/>
    <w:qFormat/>
    <w:rsid w:val="00927186"/>
    <w:pPr>
      <w:tabs>
        <w:tab w:val="clear" w:pos="709"/>
        <w:tab w:val="left" w:pos="1440" w:leader="none"/>
      </w:tabs>
      <w:spacing w:before="240" w:after="60"/>
      <w:ind w:left="1440" w:hanging="1440"/>
      <w:jc w:val="both"/>
      <w:outlineLvl w:val="7"/>
    </w:pPr>
    <w:rPr>
      <w:rFonts w:ascii="Arial" w:hAnsi="Arial"/>
      <w:i/>
      <w:iCs/>
      <w:sz w:val="20"/>
      <w:szCs w:val="20"/>
    </w:rPr>
  </w:style>
  <w:style w:type="paragraph" w:styleId="15" w:customStyle="1">
    <w:name w:val="Название объекта1"/>
    <w:basedOn w:val="Normal"/>
    <w:link w:val="15"/>
    <w:qFormat/>
    <w:rsid w:val="001c763c"/>
    <w:pPr>
      <w:suppressLineNumbers/>
      <w:spacing w:before="120" w:after="120"/>
    </w:pPr>
    <w:rPr>
      <w:rFonts w:ascii="PT Astra Serif" w:hAnsi="PT Astra Serif" w:cs="Noto Sans Devanagari"/>
      <w:i/>
      <w:iCs/>
    </w:rPr>
  </w:style>
  <w:style w:type="paragraph" w:styleId="BodyTextIndent2">
    <w:name w:val="Body Text Indent 2"/>
    <w:basedOn w:val="Normal"/>
    <w:qFormat/>
    <w:rsid w:val="00695104"/>
    <w:pPr>
      <w:spacing w:lineRule="auto" w:line="480" w:before="0" w:after="120"/>
      <w:ind w:left="283" w:hanging="0"/>
    </w:pPr>
    <w:rPr/>
  </w:style>
  <w:style w:type="paragraph" w:styleId="Style31" w:customStyle="1">
    <w:name w:val="Знак Знак Знак Знак Знак Знак"/>
    <w:basedOn w:val="Normal"/>
    <w:qFormat/>
    <w:rsid w:val="001713b5"/>
    <w:pPr>
      <w:spacing w:lineRule="exact" w:line="240" w:before="0" w:after="160"/>
    </w:pPr>
    <w:rPr>
      <w:rFonts w:ascii="Verdana" w:hAnsi="Verdana" w:cs="Verdana"/>
      <w:sz w:val="20"/>
      <w:szCs w:val="20"/>
      <w:lang w:val="en-US" w:eastAsia="en-US"/>
    </w:rPr>
  </w:style>
  <w:style w:type="paragraph" w:styleId="Style32" w:customStyle="1">
    <w:name w:val="Верхний и нижний колонтитулы"/>
    <w:basedOn w:val="Normal"/>
    <w:qFormat/>
    <w:rsid w:val="001c763c"/>
    <w:pPr/>
    <w:rPr/>
  </w:style>
  <w:style w:type="paragraph" w:styleId="16" w:customStyle="1">
    <w:name w:val="Нижний колонтитул1"/>
    <w:basedOn w:val="Normal"/>
    <w:link w:val="16"/>
    <w:qFormat/>
    <w:rsid w:val="00e33f49"/>
    <w:pPr>
      <w:tabs>
        <w:tab w:val="clear" w:pos="709"/>
        <w:tab w:val="center" w:pos="4677" w:leader="none"/>
        <w:tab w:val="right" w:pos="9355" w:leader="none"/>
      </w:tabs>
    </w:pPr>
    <w:rPr/>
  </w:style>
  <w:style w:type="paragraph" w:styleId="ConsPlusNormal1" w:customStyle="1">
    <w:name w:val="ConsPlusNormal"/>
    <w:qFormat/>
    <w:rsid w:val="005129ef"/>
    <w:pPr>
      <w:widowControl/>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NormalWeb">
    <w:name w:val="Normal (Web)"/>
    <w:basedOn w:val="Normal"/>
    <w:qFormat/>
    <w:rsid w:val="00c86cb3"/>
    <w:pPr/>
    <w:rPr/>
  </w:style>
  <w:style w:type="paragraph" w:styleId="NoSpacing">
    <w:name w:val="No Spacing"/>
    <w:uiPriority w:val="1"/>
    <w:qFormat/>
    <w:pPr>
      <w:widowControl/>
      <w:suppressAutoHyphens w:val="true"/>
      <w:bidi w:val="0"/>
      <w:spacing w:before="0" w:after="0"/>
      <w:jc w:val="left"/>
    </w:pPr>
    <w:rPr>
      <w:rFonts w:ascii="Calibri" w:hAnsi="Calibri" w:eastAsia="Calibri" w:cs="Calibri"/>
      <w:color w:val="auto"/>
      <w:kern w:val="0"/>
      <w:sz w:val="22"/>
      <w:szCs w:val="22"/>
      <w:lang w:eastAsia="zh-CN" w:val="ru-RU" w:bidi="ar-SA"/>
    </w:rPr>
  </w:style>
  <w:style w:type="paragraph" w:styleId="S32" w:customStyle="1">
    <w:name w:val="s_32"/>
    <w:basedOn w:val="Normal"/>
    <w:qFormat/>
    <w:rsid w:val="0083641c"/>
    <w:pPr>
      <w:spacing w:beforeAutospacing="1" w:afterAutospacing="1"/>
      <w:jc w:val="center"/>
    </w:pPr>
    <w:rPr>
      <w:b/>
      <w:bCs/>
      <w:color w:val="000080"/>
      <w:sz w:val="21"/>
      <w:szCs w:val="21"/>
    </w:rPr>
  </w:style>
  <w:style w:type="paragraph" w:styleId="Style81" w:customStyle="1">
    <w:name w:val="Style8"/>
    <w:basedOn w:val="Normal"/>
    <w:qFormat/>
    <w:rsid w:val="00c448fc"/>
    <w:pPr>
      <w:widowControl w:val="false"/>
      <w:spacing w:lineRule="exact" w:line="274"/>
      <w:ind w:firstLine="706"/>
      <w:jc w:val="both"/>
    </w:pPr>
    <w:rPr>
      <w:rFonts w:ascii="Arial" w:hAnsi="Arial"/>
    </w:rPr>
  </w:style>
  <w:style w:type="paragraph" w:styleId="ListParagraph">
    <w:name w:val="List Paragraph"/>
    <w:basedOn w:val="Normal"/>
    <w:qFormat/>
    <w:pPr>
      <w:spacing w:before="0" w:after="0"/>
      <w:ind w:left="720" w:hanging="0"/>
      <w:contextualSpacing/>
    </w:pPr>
    <w:rPr>
      <w:sz w:val="28"/>
    </w:rPr>
  </w:style>
  <w:style w:type="paragraph" w:styleId="Style33" w:customStyle="1">
    <w:name w:val="Таблицы (моноширинный)"/>
    <w:basedOn w:val="Normal"/>
    <w:next w:val="Normal"/>
    <w:qFormat/>
    <w:rsid w:val="00433038"/>
    <w:pPr>
      <w:widowControl w:val="false"/>
      <w:jc w:val="both"/>
    </w:pPr>
    <w:rPr>
      <w:rFonts w:ascii="Courier New" w:hAnsi="Courier New" w:cs="Courier New"/>
    </w:rPr>
  </w:style>
  <w:style w:type="paragraph" w:styleId="Style34" w:customStyle="1">
    <w:name w:val="Знак Знак Знак"/>
    <w:basedOn w:val="Normal"/>
    <w:uiPriority w:val="99"/>
    <w:qFormat/>
    <w:rsid w:val="005c01c2"/>
    <w:pPr>
      <w:spacing w:lineRule="exact" w:line="240" w:before="0" w:after="160"/>
    </w:pPr>
    <w:rPr>
      <w:rFonts w:ascii="Verdana" w:hAnsi="Verdana" w:cs="Verdana"/>
      <w:sz w:val="20"/>
      <w:szCs w:val="20"/>
      <w:lang w:val="en-US" w:eastAsia="en-US"/>
    </w:rPr>
  </w:style>
  <w:style w:type="paragraph" w:styleId="BodyTextIndent3">
    <w:name w:val="Body Text Indent 3"/>
    <w:basedOn w:val="Normal"/>
    <w:uiPriority w:val="99"/>
    <w:qFormat/>
    <w:rsid w:val="005c01c2"/>
    <w:pPr>
      <w:spacing w:before="0" w:after="120"/>
      <w:ind w:left="283" w:hanging="0"/>
    </w:pPr>
    <w:rPr>
      <w:sz w:val="16"/>
      <w:szCs w:val="16"/>
    </w:rPr>
  </w:style>
  <w:style w:type="paragraph" w:styleId="Xl19" w:customStyle="1">
    <w:name w:val="xl19"/>
    <w:basedOn w:val="Normal"/>
    <w:qFormat/>
    <w:rsid w:val="009260d4"/>
    <w:pPr>
      <w:spacing w:beforeAutospacing="1" w:afterAutospacing="1"/>
    </w:pPr>
    <w:rPr>
      <w:rFonts w:ascii="Arial Unicode MS" w:hAnsi="Arial Unicode MS" w:eastAsia="Arial Unicode MS" w:cs="Arial Unicode MS"/>
      <w:b/>
      <w:bCs/>
    </w:rPr>
  </w:style>
  <w:style w:type="paragraph" w:styleId="BodyText3">
    <w:name w:val="Body Text 3"/>
    <w:basedOn w:val="Normal"/>
    <w:qFormat/>
    <w:rsid w:val="00d75632"/>
    <w:pPr>
      <w:spacing w:before="0" w:after="120"/>
    </w:pPr>
    <w:rPr>
      <w:sz w:val="16"/>
      <w:szCs w:val="16"/>
    </w:rPr>
  </w:style>
  <w:style w:type="paragraph" w:styleId="BalloonText">
    <w:name w:val="Balloon Text"/>
    <w:basedOn w:val="Normal"/>
    <w:uiPriority w:val="99"/>
    <w:unhideWhenUsed/>
    <w:qFormat/>
    <w:rsid w:val="00d75632"/>
    <w:pPr/>
    <w:rPr>
      <w:rFonts w:ascii="Tahoma" w:hAnsi="Tahoma" w:eastAsia="Calibri"/>
      <w:sz w:val="16"/>
      <w:szCs w:val="16"/>
      <w:lang w:eastAsia="en-US"/>
    </w:rPr>
  </w:style>
  <w:style w:type="paragraph" w:styleId="PlainText">
    <w:name w:val="Plain Text"/>
    <w:basedOn w:val="Normal"/>
    <w:uiPriority w:val="99"/>
    <w:unhideWhenUsed/>
    <w:qFormat/>
    <w:rsid w:val="00982225"/>
    <w:pPr/>
    <w:rPr>
      <w:rFonts w:ascii="Consolas" w:hAnsi="Consolas" w:eastAsia="Calibri"/>
      <w:sz w:val="21"/>
      <w:szCs w:val="21"/>
      <w:lang w:eastAsia="en-US"/>
    </w:rPr>
  </w:style>
  <w:style w:type="paragraph" w:styleId="17" w:customStyle="1">
    <w:name w:val="Без интервала1"/>
    <w:link w:val="12"/>
    <w:qFormat/>
    <w:rsid w:val="00e3255b"/>
    <w:pPr>
      <w:widowControl/>
      <w:suppressAutoHyphens w:val="true"/>
      <w:bidi w:val="0"/>
      <w:spacing w:before="0" w:after="0"/>
      <w:jc w:val="left"/>
    </w:pPr>
    <w:rPr>
      <w:rFonts w:ascii="Calibri" w:hAnsi="Calibri" w:cs="Calibri" w:eastAsia="Times New Roman"/>
      <w:color w:val="auto"/>
      <w:kern w:val="0"/>
      <w:sz w:val="22"/>
      <w:szCs w:val="22"/>
      <w:lang w:val="ru-RU" w:eastAsia="ru-RU" w:bidi="ar-SA"/>
    </w:rPr>
  </w:style>
  <w:style w:type="paragraph" w:styleId="HTMLPreformatted">
    <w:name w:val="HTML Preformatted"/>
    <w:basedOn w:val="Normal"/>
    <w:qFormat/>
    <w:rsid w:val="00736a4a"/>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olor w:val="000000"/>
      <w:sz w:val="20"/>
      <w:szCs w:val="20"/>
    </w:rPr>
  </w:style>
  <w:style w:type="paragraph" w:styleId="18" w:customStyle="1">
    <w:name w:val="Стиль1"/>
    <w:basedOn w:val="Normal"/>
    <w:qFormat/>
    <w:rsid w:val="00736a4a"/>
    <w:pPr>
      <w:ind w:firstLine="709"/>
      <w:jc w:val="both"/>
    </w:pPr>
    <w:rPr/>
  </w:style>
  <w:style w:type="paragraph" w:styleId="WW2" w:customStyle="1">
    <w:name w:val="WW-Основной текст с отступом 2"/>
    <w:basedOn w:val="Normal"/>
    <w:qFormat/>
    <w:rsid w:val="00736a4a"/>
    <w:pPr>
      <w:ind w:left="-540" w:hanging="0"/>
      <w:jc w:val="both"/>
    </w:pPr>
    <w:rPr>
      <w:rFonts w:ascii="Arial" w:hAnsi="Arial" w:cs="Arial"/>
      <w:sz w:val="18"/>
      <w:szCs w:val="18"/>
      <w:lang w:eastAsia="ar-SA"/>
    </w:rPr>
  </w:style>
  <w:style w:type="paragraph" w:styleId="19" w:customStyle="1">
    <w:name w:val="Основной текст1"/>
    <w:basedOn w:val="Normal"/>
    <w:uiPriority w:val="99"/>
    <w:qFormat/>
    <w:rsid w:val="007b69ad"/>
    <w:pPr>
      <w:jc w:val="both"/>
    </w:pPr>
    <w:rPr>
      <w:color w:val="000000"/>
      <w:szCs w:val="20"/>
    </w:rPr>
  </w:style>
  <w:style w:type="paragraph" w:styleId="110" w:customStyle="1">
    <w:name w:val="Текст сноски1"/>
    <w:basedOn w:val="Normal"/>
    <w:qFormat/>
    <w:rsid w:val="003e11d9"/>
    <w:pPr/>
    <w:rPr>
      <w:sz w:val="20"/>
      <w:szCs w:val="20"/>
    </w:rPr>
  </w:style>
  <w:style w:type="paragraph" w:styleId="311" w:customStyle="1">
    <w:name w:val="Основной текст 3 Знак1"/>
    <w:basedOn w:val="BodyTextIndent2"/>
    <w:qFormat/>
    <w:rsid w:val="00811b03"/>
    <w:pPr>
      <w:widowControl w:val="false"/>
      <w:tabs>
        <w:tab w:val="clear" w:pos="709"/>
        <w:tab w:val="left" w:pos="1307" w:leader="none"/>
      </w:tabs>
      <w:spacing w:lineRule="auto" w:line="240" w:before="0" w:after="0"/>
      <w:ind w:left="1080" w:hanging="0"/>
      <w:jc w:val="both"/>
      <w:textAlignment w:val="baseline"/>
    </w:pPr>
    <w:rPr>
      <w:szCs w:val="20"/>
    </w:rPr>
  </w:style>
  <w:style w:type="paragraph" w:styleId="111" w:customStyle="1">
    <w:name w:val="Верхний колонтитул1"/>
    <w:basedOn w:val="Normal"/>
    <w:uiPriority w:val="99"/>
    <w:qFormat/>
    <w:rsid w:val="00976dff"/>
    <w:pPr>
      <w:tabs>
        <w:tab w:val="clear" w:pos="709"/>
        <w:tab w:val="center" w:pos="4677" w:leader="none"/>
        <w:tab w:val="right" w:pos="9355" w:leader="none"/>
      </w:tabs>
    </w:pPr>
    <w:rPr/>
  </w:style>
  <w:style w:type="paragraph" w:styleId="Indent1" w:customStyle="1">
    <w:name w:val="indent_1"/>
    <w:basedOn w:val="Normal"/>
    <w:qFormat/>
    <w:rsid w:val="00b34c70"/>
    <w:pPr>
      <w:spacing w:beforeAutospacing="1" w:afterAutospacing="1"/>
    </w:pPr>
    <w:rPr/>
  </w:style>
  <w:style w:type="paragraph" w:styleId="Style35">
    <w:name w:val="Footnote Text"/>
    <w:basedOn w:val="Normal"/>
    <w:pPr/>
    <w:rPr/>
  </w:style>
  <w:style w:type="paragraph" w:styleId="Style36" w:customStyle="1">
    <w:name w:val="Колонтитул"/>
    <w:basedOn w:val="Normal"/>
    <w:qFormat/>
    <w:pPr/>
    <w:rPr/>
  </w:style>
  <w:style w:type="paragraph" w:styleId="Style37">
    <w:name w:val="Header"/>
    <w:basedOn w:val="Style32"/>
    <w:pPr/>
    <w:rPr/>
  </w:style>
  <w:style w:type="paragraph" w:styleId="Style38">
    <w:name w:val="Footer"/>
    <w:basedOn w:val="Style32"/>
    <w:pPr/>
    <w:rPr/>
  </w:style>
  <w:style w:type="paragraph" w:styleId="Style39" w:customStyle="1">
    <w:name w:val="Содержимое таблицы"/>
    <w:basedOn w:val="Normal"/>
    <w:qFormat/>
    <w:pPr>
      <w:widowControl w:val="false"/>
      <w:suppressLineNumbers/>
    </w:pPr>
    <w:rPr/>
  </w:style>
  <w:style w:type="paragraph" w:styleId="Style40" w:customStyle="1">
    <w:name w:val="Заголовок таблицы"/>
    <w:basedOn w:val="Style39"/>
    <w:qFormat/>
    <w:pPr>
      <w:jc w:val="center"/>
    </w:pPr>
    <w:rPr>
      <w:b/>
      <w:bCs/>
    </w:rPr>
  </w:style>
  <w:style w:type="paragraph" w:styleId="Style41" w:customStyle="1">
    <w:name w:val="Style4"/>
    <w:basedOn w:val="Normal"/>
    <w:qFormat/>
    <w:pPr>
      <w:widowControl w:val="false"/>
      <w:spacing w:lineRule="exact" w:line="323"/>
      <w:ind w:firstLine="710"/>
      <w:jc w:val="both"/>
    </w:pPr>
    <w:rPr/>
  </w:style>
  <w:style w:type="paragraph" w:styleId="P4" w:customStyle="1">
    <w:name w:val="p4"/>
    <w:basedOn w:val="Normal"/>
    <w:qFormat/>
    <w:pPr>
      <w:spacing w:beforeAutospacing="1" w:afterAutospacing="1"/>
    </w:pPr>
    <w:rPr/>
  </w:style>
  <w:style w:type="paragraph" w:styleId="112" w:customStyle="1">
    <w:name w:val="Обычный1"/>
    <w:qFormat/>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42" w:customStyle="1">
    <w:name w:val="Цитаты"/>
    <w:basedOn w:val="112"/>
    <w:qFormat/>
    <w:pPr>
      <w:snapToGrid w:val="true"/>
      <w:spacing w:lineRule="auto" w:line="240" w:before="100" w:after="100"/>
      <w:ind w:left="360" w:right="360" w:hanging="0"/>
      <w:jc w:val="left"/>
    </w:pPr>
    <w:rPr>
      <w:rFonts w:eastAsia="ヒラギノ角ゴ Pro W3"/>
      <w:color w:val="000000"/>
      <w:sz w:val="20"/>
    </w:rPr>
  </w:style>
  <w:style w:type="paragraph" w:styleId="Style43" w:customStyle="1">
    <w:name w:val="Пункт"/>
    <w:basedOn w:val="Normal"/>
    <w:qFormat/>
    <w:pPr>
      <w:tabs>
        <w:tab w:val="clear" w:pos="709"/>
        <w:tab w:val="left" w:pos="1980" w:leader="none"/>
      </w:tabs>
      <w:ind w:left="1404" w:hanging="504"/>
      <w:jc w:val="both"/>
    </w:pPr>
    <w:rPr>
      <w:szCs w:val="28"/>
    </w:rPr>
  </w:style>
  <w:style w:type="paragraph" w:styleId="Style44" w:customStyle="1">
    <w:name w:val="Îáû÷íûé"/>
    <w:qFormat/>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ru-RU" w:bidi="ar-SA"/>
    </w:rPr>
  </w:style>
  <w:style w:type="paragraph" w:styleId="ConsNormal" w:customStyle="1">
    <w:name w:val="ConsNormal"/>
    <w:qFormat/>
    <w:pPr>
      <w:widowControl w:val="false"/>
      <w:suppressAutoHyphens w:val="true"/>
      <w:bidi w:val="0"/>
      <w:spacing w:before="0" w:after="0"/>
      <w:ind w:right="19772" w:firstLine="720"/>
      <w:jc w:val="left"/>
    </w:pPr>
    <w:rPr>
      <w:rFonts w:ascii="Arial" w:hAnsi="Arial" w:cs="Arial" w:eastAsia="Times New Roman"/>
      <w:color w:val="auto"/>
      <w:kern w:val="0"/>
      <w:sz w:val="22"/>
      <w:szCs w:val="22"/>
      <w:lang w:eastAsia="zh-CN" w:val="ru-RU" w:bidi="ar-SA"/>
    </w:rPr>
  </w:style>
  <w:style w:type="paragraph" w:styleId="Rule3" w:customStyle="1">
    <w:name w:val="Rule3"/>
    <w:basedOn w:val="Normal"/>
    <w:qFormat/>
    <w:pPr>
      <w:widowControl w:val="false"/>
      <w:spacing w:before="0" w:after="120"/>
      <w:ind w:firstLine="170"/>
      <w:jc w:val="both"/>
    </w:pPr>
    <w:rPr>
      <w:rFonts w:ascii="NewtonCTT;Times New Roman" w:hAnsi="NewtonCTT;Times New Roman" w:cs="NewtonCTT;Times New Roman"/>
      <w:i/>
    </w:rPr>
  </w:style>
  <w:style w:type="paragraph" w:styleId="211" w:customStyle="1">
    <w:name w:val="Основной текст с отступом 21"/>
    <w:basedOn w:val="Normal"/>
    <w:qFormat/>
    <w:pPr>
      <w:spacing w:lineRule="auto" w:line="480" w:before="0" w:after="120"/>
      <w:ind w:left="283" w:hanging="0"/>
    </w:pPr>
    <w:rPr/>
  </w:style>
  <w:style w:type="paragraph" w:styleId="Style45">
    <w:name w:val="Body Text Indent"/>
    <w:basedOn w:val="Normal"/>
    <w:pPr>
      <w:spacing w:before="0" w:after="120"/>
      <w:ind w:left="283" w:hanging="0"/>
    </w:pPr>
    <w:rPr/>
  </w:style>
  <w:style w:type="paragraph" w:styleId="S3mrcssattr" w:customStyle="1">
    <w:name w:val="s3_mr_css_attr"/>
    <w:basedOn w:val="Normal"/>
    <w:qFormat/>
    <w:pPr>
      <w:spacing w:before="280" w:after="280"/>
    </w:pPr>
    <w:rPr/>
  </w:style>
  <w:style w:type="paragraph" w:styleId="Style46" w:customStyle="1">
    <w:name w:val="Содержимое врезки"/>
    <w:basedOn w:val="Normal"/>
    <w:qFormat/>
    <w:pPr/>
    <w:rPr/>
  </w:style>
  <w:style w:type="paragraph" w:styleId="Style47" w:customStyle="1">
    <w:name w:val="Нормальный"/>
    <w:basedOn w:val="Normal"/>
    <w:qFormat/>
    <w:pPr>
      <w:widowControl w:val="false"/>
      <w:ind w:firstLine="720"/>
      <w:jc w:val="both"/>
    </w:pPr>
    <w:rPr>
      <w:rFonts w:ascii="Times New Roman CYR" w:hAnsi="Times New Roman CYR" w:cs="Times New Roman CYR"/>
    </w:rPr>
  </w:style>
  <w:style w:type="numbering" w:styleId="NoList" w:default="1">
    <w:name w:val="No List"/>
    <w:uiPriority w:val="99"/>
    <w:semiHidden/>
    <w:unhideWhenUsed/>
    <w:qFormat/>
  </w:style>
  <w:style w:type="numbering" w:styleId="WW8Num15" w:customStyle="1">
    <w:name w:val="WW8Num15"/>
    <w:qFormat/>
  </w:style>
  <w:style w:type="numbering" w:styleId="WW8Num6" w:customStyle="1">
    <w:name w:val="WW8Num6"/>
    <w:qFormat/>
  </w:style>
  <w:style w:type="numbering" w:styleId="WW8Num4" w:customStyle="1">
    <w:name w:val="WW8Num4"/>
    <w:qFormat/>
  </w:style>
  <w:style w:type="numbering" w:styleId="WW8Num5" w:customStyle="1">
    <w:name w:val="WW8Num5"/>
    <w:qFormat/>
  </w:style>
  <w:style w:type="numbering" w:styleId="WW8Num3" w:customStyle="1">
    <w:name w:val="WW8Num3"/>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uiPriority w:val="59"/>
    <w:rsid w:val="003d465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3E80C-9448-49D2-98D2-93FB5C5D4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Application>LibreOffice/7.2.7.2$Linux_X86_64 LibreOffice_project/20$Build-2</Application>
  <AppVersion>15.0000</AppVersion>
  <Pages>23</Pages>
  <Words>7891</Words>
  <Characters>57780</Characters>
  <CharactersWithSpaces>65656</CharactersWithSpaces>
  <Paragraphs>464</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2023-11-23T03:09:00Z</dcterms:created>
  <dc:creator>vorobyova_nn</dc:creator>
  <dc:description/>
  <dc:language>ru-RU</dc:language>
  <cp:lastModifiedBy/>
  <cp:lastPrinted>2026-08-06T03:12:00Z</cp:lastPrinted>
  <dcterms:modified xsi:type="dcterms:W3CDTF">2026-08-11T17:48:56Z</dcterms:modified>
  <cp:revision>115</cp:revision>
  <dc:subject/>
  <dc:title>РТК.БЮЛ.К - Госконтракт об оказании услуг электросвязи юридическому лицу, финансируемому из соответствующего бюджета</dc:title>
</cp:coreProperties>
</file>

<file path=docProps/custom.xml><?xml version="1.0" encoding="utf-8"?>
<Properties xmlns="http://schemas.openxmlformats.org/officeDocument/2006/custom-properties" xmlns:vt="http://schemas.openxmlformats.org/officeDocument/2006/docPropsVTypes"/>
</file>