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BD894">
      <w:pPr>
        <w:pStyle w:val="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ДОГОВОР № __________</w:t>
      </w:r>
    </w:p>
    <w:p w14:paraId="166203C2">
      <w:pPr>
        <w:pStyle w:val="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г. Москва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«___» _________ 2026 г.</w:t>
      </w:r>
    </w:p>
    <w:p w14:paraId="4936E485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  <w:b/>
        </w:rPr>
        <w:t>Федеральное государственное бюджетное учреждение здравоохранения «Клиническая больница №85 Федерального медико-биологического агентства» (ФГБУЗ КБ № 85 ФМБА России),</w:t>
      </w:r>
      <w:r>
        <w:rPr>
          <w:rFonts w:ascii="Times New Roman" w:hAnsi="Times New Roman"/>
        </w:rPr>
        <w:t xml:space="preserve"> именуемое в дальнейшем «Заказчик», в лице Главного врача Бондаренко Натальи Леонидовны, действующего на основании Устава, с одной стороны и </w:t>
      </w:r>
      <w:r>
        <w:rPr>
          <w:b/>
        </w:rPr>
        <w:t>_______________</w:t>
      </w:r>
      <w:r>
        <w:t xml:space="preserve"> </w:t>
      </w:r>
      <w:r>
        <w:rPr>
          <w:i/>
        </w:rPr>
        <w:t>(</w:t>
      </w:r>
      <w:r>
        <w:rPr>
          <w:i/>
          <w:iCs/>
        </w:rPr>
        <w:t>указываются полное и сокращенное наименование</w:t>
      </w:r>
      <w:r>
        <w:rPr>
          <w:i/>
        </w:rPr>
        <w:t>)</w:t>
      </w:r>
      <w:r>
        <w:rPr>
          <w:rFonts w:ascii="Times New Roman" w:hAnsi="Times New Roman"/>
        </w:rPr>
        <w:t xml:space="preserve">, именуемое в дальнейшем «Исполнитель», в лице </w:t>
      </w:r>
      <w:r>
        <w:t xml:space="preserve">_____________ </w:t>
      </w:r>
      <w:r>
        <w:rPr>
          <w:i/>
        </w:rPr>
        <w:t>(</w:t>
      </w:r>
      <w:r>
        <w:rPr>
          <w:i/>
          <w:iCs/>
        </w:rPr>
        <w:t>указываются должность, фамилия, имя, отчество (при наличии) лица, подписывающего Контракт</w:t>
      </w:r>
      <w:r>
        <w:rPr>
          <w:i/>
        </w:rPr>
        <w:t>)</w:t>
      </w:r>
      <w:r>
        <w:rPr>
          <w:rFonts w:ascii="Times New Roman" w:hAnsi="Times New Roman"/>
          <w:i/>
        </w:rPr>
        <w:t>,</w:t>
      </w:r>
      <w:r>
        <w:rPr>
          <w:rFonts w:ascii="Times New Roman" w:hAnsi="Times New Roman"/>
        </w:rPr>
        <w:t xml:space="preserve"> действующего на основании ___________</w:t>
      </w:r>
      <w:r>
        <w:rPr>
          <w:rFonts w:ascii="Times New Roman" w:hAnsi="Times New Roman"/>
          <w:i/>
        </w:rPr>
        <w:t>,</w:t>
      </w:r>
      <w:r>
        <w:rPr>
          <w:rFonts w:ascii="Times New Roman" w:hAnsi="Times New Roman"/>
        </w:rPr>
        <w:t xml:space="preserve"> с другой стороны, здесь и далее именуемые «Стороны», </w:t>
      </w:r>
      <w:bookmarkStart w:id="0" w:name="_Hlk227828784"/>
      <w:r>
        <w:rPr>
          <w:rFonts w:ascii="Times New Roman" w:hAnsi="Times New Roman"/>
        </w:rPr>
        <w:t>руководствуясь Федеральным законом от 18.07.2011г. № 223-ФЗ «О закупках товаров, работ, услуг отдельными видами юридических лиц», Положением о закупке товаров, работ, услуг для нужд Федерального государственного бюджетного учреждения здравоохранения «Клиническая больница № 85 Федерального медико-биологического агентства», заключили электронный договор, сформированный с использованием ЕАТ.РФ (https://agregatoreat.ru/) (далее по тексту – Контракт), (Объявление о закупке «  »    2026 г. № ________________________________, на основании итогового протокола закупочной сессии от «   » 2026 г. № ____________________, о нижеследующем:</w:t>
      </w:r>
      <w:bookmarkEnd w:id="0"/>
    </w:p>
    <w:p w14:paraId="59E9A140">
      <w:pPr>
        <w:pStyle w:val="40"/>
        <w:jc w:val="center"/>
        <w:rPr>
          <w:rFonts w:ascii="Times New Roman" w:hAnsi="Times New Roman"/>
          <w:b/>
        </w:rPr>
      </w:pPr>
    </w:p>
    <w:p w14:paraId="72DBF368">
      <w:pPr>
        <w:pStyle w:val="40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КОНТРАКТА</w:t>
      </w:r>
    </w:p>
    <w:p w14:paraId="7B15D0D8">
      <w:pPr>
        <w:pStyle w:val="40"/>
        <w:ind w:left="720"/>
        <w:rPr>
          <w:rFonts w:ascii="Times New Roman" w:hAnsi="Times New Roman"/>
          <w:b/>
        </w:rPr>
      </w:pPr>
    </w:p>
    <w:p w14:paraId="00647990">
      <w:pPr>
        <w:pStyle w:val="42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по поручению Заказчика обязуется </w:t>
      </w:r>
      <w:r>
        <w:rPr>
          <w:b/>
          <w:bCs/>
          <w:sz w:val="22"/>
          <w:szCs w:val="22"/>
        </w:rPr>
        <w:t xml:space="preserve">оказать услуги </w:t>
      </w:r>
      <w:r>
        <w:rPr>
          <w:b/>
          <w:sz w:val="22"/>
          <w:szCs w:val="22"/>
        </w:rPr>
        <w:t xml:space="preserve">по ремонту </w:t>
      </w:r>
      <w:bookmarkStart w:id="1" w:name="_Hlk235697492"/>
      <w:r>
        <w:rPr>
          <w:b/>
          <w:sz w:val="22"/>
          <w:szCs w:val="22"/>
        </w:rPr>
        <w:t>ультразвуковой диагностической установки</w:t>
      </w:r>
      <w:bookmarkEnd w:id="1"/>
      <w:r>
        <w:rPr>
          <w:b/>
          <w:sz w:val="22"/>
          <w:szCs w:val="22"/>
        </w:rPr>
        <w:t xml:space="preserve"> с заменой запасных частей </w:t>
      </w:r>
      <w:r>
        <w:rPr>
          <w:sz w:val="22"/>
          <w:szCs w:val="22"/>
        </w:rPr>
        <w:t>(далее – Услуги), в соответствии с Техническим заданием (Приложение № 1 к настоящему Контракту) и Калькуляцией (Приложение № 2 к настоящему Контракту), которые являются неотъемлемыми частями Контракта, а Заказчик обязуется принять результат и оплатить эти Услуги.</w:t>
      </w:r>
    </w:p>
    <w:p w14:paraId="1DF1F570">
      <w:pPr>
        <w:pStyle w:val="40"/>
        <w:jc w:val="both"/>
        <w:rPr>
          <w:rFonts w:ascii="Times New Roman" w:hAnsi="Times New Roman"/>
        </w:rPr>
      </w:pPr>
      <w:bookmarkStart w:id="2" w:name="Par21"/>
      <w:bookmarkEnd w:id="2"/>
      <w:r>
        <w:rPr>
          <w:rFonts w:ascii="Times New Roman" w:hAnsi="Times New Roman"/>
        </w:rPr>
        <w:t>1.2. Сроки оказания Услуг: в течение 7 (семи) рабочих дней с даты приемки ультразвуковой диагностической установки в сервисном центре.</w:t>
      </w:r>
    </w:p>
    <w:p w14:paraId="66618CBF">
      <w:pPr>
        <w:pStyle w:val="40"/>
        <w:rPr>
          <w:rFonts w:ascii="Times New Roman" w:hAnsi="Times New Roman"/>
        </w:rPr>
      </w:pPr>
      <w:r>
        <w:rPr>
          <w:rFonts w:ascii="Times New Roman" w:hAnsi="Times New Roman"/>
        </w:rPr>
        <w:t>1.3. Доставка ультразвуковой диагностической системы до сервисного центра и обратно производится силами Заказчика.</w:t>
      </w:r>
    </w:p>
    <w:p w14:paraId="12DE2874">
      <w:pPr>
        <w:pStyle w:val="40"/>
        <w:rPr>
          <w:rFonts w:ascii="Times New Roman" w:hAnsi="Times New Roman"/>
        </w:rPr>
      </w:pPr>
    </w:p>
    <w:p w14:paraId="47616B08">
      <w:pPr>
        <w:pStyle w:val="40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СДАЧИ И ПРИЕМКИ УСЛУГ</w:t>
      </w:r>
    </w:p>
    <w:p w14:paraId="7F53DE1B">
      <w:pPr>
        <w:pStyle w:val="40"/>
        <w:ind w:left="720"/>
        <w:rPr>
          <w:rFonts w:ascii="Times New Roman" w:hAnsi="Times New Roman"/>
          <w:b/>
        </w:rPr>
      </w:pPr>
    </w:p>
    <w:p w14:paraId="4F7CA798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После оказания Услуг Исполнитель представляет Заказчику на подписание </w:t>
      </w:r>
      <w:r>
        <w:fldChar w:fldCharType="begin"/>
      </w:r>
      <w:r>
        <w:instrText xml:space="preserve"> HYPERLINK "consultantplus://offline/ref=44547BCEAEE1D80E4E508297E2579ACC4929AC6BD2709DCF0B4208D2iDL8M" </w:instrText>
      </w:r>
      <w:r>
        <w:fldChar w:fldCharType="separate"/>
      </w:r>
      <w:r>
        <w:rPr>
          <w:rFonts w:ascii="Times New Roman" w:hAnsi="Times New Roman"/>
        </w:rPr>
        <w:t>акт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оказанных Услуг в двух экземплярах.</w:t>
      </w:r>
    </w:p>
    <w:p w14:paraId="7C3660BC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В течение 3 (трех) дней после получения </w:t>
      </w:r>
      <w:r>
        <w:fldChar w:fldCharType="begin"/>
      </w:r>
      <w:r>
        <w:instrText xml:space="preserve"> HYPERLINK "consultantplus://offline/ref=44547BCEAEE1D80E4E508297E2579ACC4929AC6BD2709DCF0B4208D2iDL8M" </w:instrText>
      </w:r>
      <w:r>
        <w:fldChar w:fldCharType="separate"/>
      </w:r>
      <w:r>
        <w:rPr>
          <w:rFonts w:ascii="Times New Roman" w:hAnsi="Times New Roman"/>
        </w:rPr>
        <w:t>акта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оказанных Услуг в двух экземплярах Заказчик обязан подписать его и направить один экземпляр Исполнителю, либо, при наличии возражений  и недостатков в Услуге, представить Исполнителю в течение 5 (пяти) дней мотивированный отказ  от его подписания или претензию.</w:t>
      </w:r>
    </w:p>
    <w:p w14:paraId="4D2A096D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В случае наличия недостатков в Услуге Исполнитель обязуется устранить их в течение 10 (Десяти) календарных дней со дня получения соответствующей претензии Заказчика.</w:t>
      </w:r>
    </w:p>
    <w:p w14:paraId="60B8819F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Услуги считаются оказанными с момента подписания Сторонами </w:t>
      </w:r>
      <w:r>
        <w:fldChar w:fldCharType="begin"/>
      </w:r>
      <w:r>
        <w:instrText xml:space="preserve"> HYPERLINK "consultantplus://offline/ref=44547BCEAEE1D80E4E508297E2579ACC4929AC6BD2709DCF0B4208D2iDL8M" </w:instrText>
      </w:r>
      <w:r>
        <w:fldChar w:fldCharType="separate"/>
      </w:r>
      <w:r>
        <w:rPr>
          <w:rFonts w:ascii="Times New Roman" w:hAnsi="Times New Roman"/>
        </w:rPr>
        <w:t>акта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оказанных Услуг.</w:t>
      </w:r>
    </w:p>
    <w:p w14:paraId="2151A79A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В случае уклонения или немотивированного отказа Заказчика от подписания акта оказанных Услуг, а также отсутствия претензии Заказчика, Исполнитель вправе составить односторонний акт оказанных Услуг. Услуги, указанные в данном акте, считаются предоставленными Исполнителем и принятыми Заказчиком и подлежат оплате в соответствии с условиями Контракта.</w:t>
      </w:r>
    </w:p>
    <w:p w14:paraId="54977591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Гарантия Исполнителя на оказанные Услуги составляет 12 (двенадцать) месяцев с даты подписания </w:t>
      </w:r>
      <w:r>
        <w:fldChar w:fldCharType="begin"/>
      </w:r>
      <w:r>
        <w:instrText xml:space="preserve"> HYPERLINK "consultantplus://offline/ref=44547BCEAEE1D80E4E508297E2579ACC4929AC6BD2709DCF0B4208D2iDL8M" </w:instrText>
      </w:r>
      <w:r>
        <w:fldChar w:fldCharType="separate"/>
      </w:r>
      <w:r>
        <w:rPr>
          <w:rFonts w:ascii="Times New Roman" w:hAnsi="Times New Roman"/>
        </w:rPr>
        <w:t>акта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оказания Услуг.</w:t>
      </w:r>
    </w:p>
    <w:p w14:paraId="51862579">
      <w:pPr>
        <w:pStyle w:val="40"/>
        <w:jc w:val="both"/>
        <w:rPr>
          <w:rFonts w:ascii="Times New Roman" w:hAnsi="Times New Roman"/>
        </w:rPr>
      </w:pPr>
    </w:p>
    <w:p w14:paraId="22587F15">
      <w:pPr>
        <w:pStyle w:val="40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ЦЕНА И ПОРЯДОК РАСЧЕТОВ</w:t>
      </w:r>
    </w:p>
    <w:p w14:paraId="3810003A">
      <w:pPr>
        <w:pStyle w:val="40"/>
        <w:ind w:left="720"/>
        <w:rPr>
          <w:rFonts w:ascii="Times New Roman" w:hAnsi="Times New Roman"/>
          <w:b/>
        </w:rPr>
      </w:pPr>
    </w:p>
    <w:p w14:paraId="2EFB078C">
      <w:pPr>
        <w:pStyle w:val="40"/>
        <w:numPr>
          <w:ilvl w:val="1"/>
          <w:numId w:val="1"/>
        </w:numPr>
        <w:ind w:left="0" w:firstLine="21"/>
        <w:jc w:val="both"/>
        <w:rPr>
          <w:rFonts w:ascii="Times New Roman" w:hAnsi="Times New Roman"/>
          <w:iCs/>
        </w:rPr>
      </w:pPr>
      <w:bookmarkStart w:id="3" w:name="_Hlk226985196"/>
      <w:r>
        <w:rPr>
          <w:rFonts w:ascii="Times New Roman" w:hAnsi="Times New Roman"/>
        </w:rPr>
        <w:t xml:space="preserve">Стоимость Услуг составляет </w:t>
      </w:r>
      <w:bookmarkStart w:id="4" w:name="_Hlk227828821"/>
      <w:r>
        <w:t xml:space="preserve">_______________ в том числе НДС по ставке ___%, что составляет__________ </w:t>
      </w:r>
      <w:r>
        <w:rPr>
          <w:rFonts w:eastAsia="Calibri"/>
          <w:lang w:eastAsia="en-US"/>
        </w:rPr>
        <w:t>(</w:t>
      </w:r>
      <w:r>
        <w:rPr>
          <w:rFonts w:eastAsia="Calibri"/>
          <w:i/>
          <w:lang w:eastAsia="en-US"/>
        </w:rPr>
        <w:t>Сумма прописью</w:t>
      </w:r>
      <w:r>
        <w:rPr>
          <w:rFonts w:eastAsia="Calibri"/>
          <w:lang w:eastAsia="en-US"/>
        </w:rPr>
        <w:t xml:space="preserve">) рублей ____ копеек, </w:t>
      </w:r>
      <w:r>
        <w:rPr>
          <w:rFonts w:eastAsia="Calibri"/>
          <w:i/>
          <w:lang w:eastAsia="en-US"/>
        </w:rPr>
        <w:t>(в случае, если Поставщик имеет право на освобождение от уплаты НДС, то слова «в том числе НДС по ставке __%, что составляет____________» при направлении проекта Контракта победителю (лицу, с которым заключается Контракт) заменяются на слова «НДС не облагается, на основании п. ___ ст. ____ Налогового Кодекса Российской Федерации»).</w:t>
      </w:r>
      <w:r>
        <w:rPr>
          <w:rFonts w:ascii="Times New Roman" w:hAnsi="Times New Roman"/>
          <w:iCs/>
        </w:rPr>
        <w:t xml:space="preserve"> </w:t>
      </w:r>
      <w:bookmarkEnd w:id="4"/>
    </w:p>
    <w:bookmarkEnd w:id="3"/>
    <w:p w14:paraId="58E5825E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Цена контракта является фиксированной на срок действия Контракта и пересмотру не подлежит, и включает в себя все издержки Исполнителя, связанные с оказанием Услуг, предусмотренные настоящим Контрактом, а также стоимость запчастей и материалов, использованных Исполнителем при оказании </w:t>
      </w:r>
      <w:bookmarkStart w:id="5" w:name="Par33"/>
      <w:bookmarkEnd w:id="5"/>
      <w:r>
        <w:rPr>
          <w:rFonts w:ascii="Times New Roman" w:hAnsi="Times New Roman"/>
        </w:rPr>
        <w:t>Услуг.</w:t>
      </w:r>
    </w:p>
    <w:p w14:paraId="77C72D0E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 w:eastAsia="SimSun"/>
          <w:lang w:eastAsia="zh-CN" w:bidi="ar"/>
        </w:rPr>
        <w:t>3</w:t>
      </w:r>
      <w:r>
        <w:rPr>
          <w:rFonts w:ascii="Times New Roman" w:hAnsi="Times New Roman" w:eastAsia="SimSun"/>
          <w:lang w:val="ru" w:eastAsia="zh-CN" w:bidi="ar"/>
        </w:rPr>
        <w:t xml:space="preserve">.2. </w:t>
      </w:r>
      <w:r>
        <w:rPr>
          <w:rFonts w:ascii="Times New Roman" w:hAnsi="Times New Roman"/>
          <w:iCs/>
        </w:rPr>
        <w:t xml:space="preserve">Цена Контракта является твердой, не может изменяться в ходе исполнения Контракта, за исключением случаев, предусмотренных законодательством Российской Федерации и установленных настоящим Контрактом. </w:t>
      </w:r>
    </w:p>
    <w:p w14:paraId="33DC623B">
      <w:pPr>
        <w:pStyle w:val="40"/>
        <w:jc w:val="both"/>
        <w:rPr>
          <w:rFonts w:hint="default" w:ascii="Times New Roman" w:hAnsi="Times New Roman"/>
          <w:iCs/>
          <w:lang w:val="ru-RU"/>
        </w:rPr>
      </w:pPr>
      <w:r>
        <w:rPr>
          <w:rFonts w:ascii="Times New Roman" w:hAnsi="Times New Roman"/>
          <w:iCs/>
        </w:rPr>
        <w:t xml:space="preserve">3.3 </w:t>
      </w:r>
      <w:r>
        <w:rPr>
          <w:rFonts w:hint="default" w:ascii="Times New Roman" w:hAnsi="Times New Roman"/>
          <w:iCs/>
        </w:rPr>
        <w:t>Заказчик оплачивает Услуги путем перечисления денежных средств, платежными поручениями на расчетный счет Исполнителя в размере 30% от стоимости, определенной в Калькуляции (Приложение №2 к Контракту) в течение 7 (семи) дней с даты подписания Контракта на основании выставленного счета Исполнителем (предоплата), оставшиеся 70% от стоимости Услуг Заказчик оплачивает безналичным путем в течение 180 (ста восьмидесяти) календарных дней с даты подписания Заказчиком акт</w:t>
      </w:r>
      <w:r>
        <w:rPr>
          <w:rFonts w:hint="default" w:ascii="Times New Roman" w:hAnsi="Times New Roman"/>
          <w:iCs/>
          <w:lang w:val="ru-RU"/>
        </w:rPr>
        <w:t>а</w:t>
      </w:r>
      <w:bookmarkStart w:id="12" w:name="_GoBack"/>
      <w:bookmarkEnd w:id="12"/>
      <w:r>
        <w:rPr>
          <w:rFonts w:hint="default" w:ascii="Times New Roman" w:hAnsi="Times New Roman"/>
          <w:iCs/>
        </w:rPr>
        <w:t xml:space="preserve"> оказанных услуг</w:t>
      </w:r>
      <w:r>
        <w:rPr>
          <w:rFonts w:hint="default" w:ascii="Times New Roman" w:hAnsi="Times New Roman"/>
          <w:iCs/>
          <w:lang w:val="ru-RU"/>
        </w:rPr>
        <w:t>.</w:t>
      </w:r>
    </w:p>
    <w:p w14:paraId="4568405E">
      <w:pPr>
        <w:pStyle w:val="40"/>
        <w:jc w:val="both"/>
        <w:rPr>
          <w:rFonts w:ascii="Times New Roman" w:hAnsi="Times New Roman"/>
          <w:i/>
          <w:iCs/>
          <w:shd w:val="clear" w:color="auto" w:fill="FFFFFF"/>
        </w:rPr>
      </w:pPr>
      <w:r>
        <w:rPr>
          <w:rFonts w:hint="default" w:ascii="Times New Roman" w:hAnsi="Times New Roman"/>
          <w:iCs/>
        </w:rPr>
        <w:t>Исключение: при осуществлении закупки с участием субъектов МСП срок оплаты поставленных товаров (выполненных работ, оказанных услуг) по контракту (отдельному этапу Контракта), заключенному по результатам закупки с субъектом МСП, должен составлять не более 7 (семи) рабочих дней со дня подписания заказчиком документа о приемке поставленного товара (выполненной работы, оказанной услуги) по контракту (отдельному этапу Контракта)</w:t>
      </w:r>
    </w:p>
    <w:p w14:paraId="44A16DBA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3.4. Все расчеты по Контракту производятся в безналичном порядке путем перечисления денежных средств на указанный Исполнителем в Контракте расчетный счет. Оплата услуг производится в рублях РФ на основании выставленного Исполнителем счета на оплату Услуг.</w:t>
      </w:r>
    </w:p>
    <w:p w14:paraId="7FFB4944">
      <w:pPr>
        <w:pStyle w:val="40"/>
        <w:rPr>
          <w:rFonts w:ascii="Times New Roman" w:hAnsi="Times New Roman"/>
        </w:rPr>
      </w:pPr>
    </w:p>
    <w:p w14:paraId="6636A798">
      <w:pPr>
        <w:pStyle w:val="40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9C84FA7">
      <w:pPr>
        <w:pStyle w:val="40"/>
        <w:ind w:left="720"/>
        <w:rPr>
          <w:rFonts w:ascii="Times New Roman" w:hAnsi="Times New Roman"/>
          <w:b/>
        </w:rPr>
      </w:pPr>
    </w:p>
    <w:p w14:paraId="74A4A6E9">
      <w:pPr>
        <w:pStyle w:val="40"/>
        <w:jc w:val="both"/>
        <w:rPr>
          <w:rFonts w:ascii="Times New Roman" w:hAnsi="Times New Roman"/>
          <w:lang w:val="ru" w:eastAsia="ru" w:bidi="ar"/>
        </w:rPr>
      </w:pPr>
      <w:r>
        <w:rPr>
          <w:rFonts w:ascii="Times New Roman" w:hAnsi="Times New Roman"/>
        </w:rPr>
        <w:t>4.1. За нарушение сроков оказания Услуг (</w:t>
      </w:r>
      <w:r>
        <w:fldChar w:fldCharType="begin"/>
      </w:r>
      <w:r>
        <w:instrText xml:space="preserve"> HYPERLINK \l "Par21" </w:instrText>
      </w:r>
      <w:r>
        <w:fldChar w:fldCharType="separate"/>
      </w:r>
      <w:r>
        <w:rPr>
          <w:rFonts w:ascii="Times New Roman" w:hAnsi="Times New Roman"/>
        </w:rPr>
        <w:t>п. 1.2.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Контракта) Заказчик вправе требовать с Исполнителя уплаты неустойки (пени). </w:t>
      </w:r>
      <w:r>
        <w:rPr>
          <w:rFonts w:ascii="Times New Roman" w:hAnsi="Times New Roman"/>
          <w:lang w:val="ru" w:eastAsia="ru" w:bidi="ar"/>
        </w:rPr>
        <w:t xml:space="preserve">Пеня начисляется за каждый день просрочки исполнения Подрядчиком обязательства, предусмотренного настоящим </w:t>
      </w:r>
      <w:r>
        <w:rPr>
          <w:rFonts w:ascii="Times New Roman" w:hAnsi="Times New Roman"/>
        </w:rPr>
        <w:t>Контрактом</w:t>
      </w:r>
      <w:r>
        <w:rPr>
          <w:rFonts w:ascii="Times New Roman" w:hAnsi="Times New Roman"/>
          <w:lang w:val="ru" w:eastAsia="ru" w:bidi="ar"/>
        </w:rPr>
        <w:t xml:space="preserve">, начиная со дня, следующего после дня истечения, установленного настоящим </w:t>
      </w:r>
      <w:r>
        <w:rPr>
          <w:rFonts w:ascii="Times New Roman" w:hAnsi="Times New Roman"/>
        </w:rPr>
        <w:t>Контрактом</w:t>
      </w:r>
      <w:r>
        <w:rPr>
          <w:rFonts w:ascii="Times New Roman" w:hAnsi="Times New Roman"/>
          <w:lang w:val="ru" w:eastAsia="ru" w:bidi="ar"/>
        </w:rPr>
        <w:t xml:space="preserve">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стоимости не оказанных Услуг за каждый день просрочки сдачи </w:t>
      </w:r>
      <w:r>
        <w:rPr>
          <w:rFonts w:ascii="Times New Roman" w:hAnsi="Times New Roman"/>
        </w:rPr>
        <w:t>Услуг</w:t>
      </w:r>
      <w:r>
        <w:rPr>
          <w:rFonts w:ascii="Times New Roman" w:hAnsi="Times New Roman"/>
          <w:lang w:val="ru" w:eastAsia="ru" w:bidi="ar"/>
        </w:rPr>
        <w:t xml:space="preserve"> Заказчику.</w:t>
      </w:r>
    </w:p>
    <w:p w14:paraId="6BA43267">
      <w:pPr>
        <w:pStyle w:val="40"/>
        <w:jc w:val="both"/>
        <w:rPr>
          <w:rFonts w:ascii="Times New Roman" w:hAnsi="Times New Roman"/>
          <w:shd w:val="clear" w:color="auto" w:fill="FFFFFF"/>
          <w:lang w:val="ru"/>
        </w:rPr>
      </w:pPr>
      <w:r>
        <w:rPr>
          <w:rFonts w:ascii="Times New Roman" w:hAnsi="Times New Roman"/>
        </w:rPr>
        <w:t xml:space="preserve">4.2. За нарушение сроков оплаты (п. </w:t>
      </w:r>
      <w:r>
        <w:fldChar w:fldCharType="begin"/>
      </w:r>
      <w:r>
        <w:instrText xml:space="preserve"> HYPERLINK \l "Par33" </w:instrText>
      </w:r>
      <w:r>
        <w:fldChar w:fldCharType="separate"/>
      </w: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3. Контракта) Исполнитель вправе требовать с Заказчика уплаты неустойки (пени)</w:t>
      </w:r>
      <w:r>
        <w:rPr>
          <w:rFonts w:ascii="Times New Roman" w:hAnsi="Times New Roman"/>
          <w:shd w:val="clear" w:color="auto" w:fill="FFFFFF"/>
          <w:lang w:val="ru" w:eastAsia="zh-CN" w:bidi="ar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истечения, установленного Контрактом срока исполнения обязательства.</w:t>
      </w:r>
    </w:p>
    <w:p w14:paraId="152E79B4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Сторона, не исполнившая или ненадлежащим образом исполнившая обязательства по Контракту, обязана возместить другой Стороне убытки в части, не покрытой предусмотренными Контрактом неустойками.</w:t>
      </w:r>
    </w:p>
    <w:p w14:paraId="32FFB19A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Во всех других случаях неисполнения обязательств по Контракту Стороны несут ответственность в соответствии с действующим законодательством РФ.</w:t>
      </w:r>
    </w:p>
    <w:p w14:paraId="164D382A">
      <w:pPr>
        <w:pStyle w:val="40"/>
        <w:jc w:val="center"/>
        <w:rPr>
          <w:rFonts w:ascii="Times New Roman" w:hAnsi="Times New Roman"/>
          <w:b/>
        </w:rPr>
      </w:pPr>
    </w:p>
    <w:p w14:paraId="2B706738">
      <w:pPr>
        <w:pStyle w:val="40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ФОРС-МАЖОР</w:t>
      </w:r>
    </w:p>
    <w:p w14:paraId="12349F85">
      <w:pPr>
        <w:pStyle w:val="40"/>
        <w:ind w:left="720"/>
        <w:rPr>
          <w:rFonts w:ascii="Times New Roman" w:hAnsi="Times New Roman"/>
          <w:b/>
        </w:rPr>
      </w:pPr>
    </w:p>
    <w:p w14:paraId="07D8726F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Стороны освобождаются от ответственности за неисполнение или ненадлежащее исполнение обязательств по Контракту при возникновении непреодолимой силы, то есть чрезвычайных и непредотвратимых при данных условиях обстоятельств, под которыми понимаются: </w:t>
      </w:r>
      <w:r>
        <w:rPr>
          <w:rFonts w:ascii="Times New Roman" w:hAnsi="Times New Roman"/>
          <w:iCs/>
        </w:rPr>
        <w:t>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14:paraId="15AAB9E2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В случае наступления этих обстоятельств Сторона обязана в течение 5 (Пяти) календарных дней уведомить об этом другую Сторону.</w:t>
      </w:r>
    </w:p>
    <w:p w14:paraId="51A9D75C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Документ, выданный уполномоченным государственным органом</w:t>
      </w:r>
      <w:r>
        <w:rPr>
          <w:rFonts w:ascii="Times New Roman" w:hAnsi="Times New Roman"/>
          <w:iCs/>
        </w:rPr>
        <w:t>,</w:t>
      </w:r>
      <w:r>
        <w:rPr>
          <w:rFonts w:ascii="Times New Roman" w:hAnsi="Times New Roman"/>
        </w:rPr>
        <w:t xml:space="preserve"> является достаточным подтверждением наличия и продолжительности действия непреодолимой силы.</w:t>
      </w:r>
    </w:p>
    <w:p w14:paraId="7BB7D077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 Если обстоятельства непреодолимой силы продолжают действовать более 20 (Двадцати) календарных дней, то каждая Сторона вправе расторгнуть Контракт в одностороннем порядке.</w:t>
      </w:r>
    </w:p>
    <w:p w14:paraId="0237C915">
      <w:pPr>
        <w:pStyle w:val="40"/>
        <w:jc w:val="both"/>
        <w:rPr>
          <w:rFonts w:ascii="Times New Roman" w:hAnsi="Times New Roman"/>
        </w:rPr>
      </w:pPr>
    </w:p>
    <w:p w14:paraId="64144C0D">
      <w:pPr>
        <w:pStyle w:val="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СРОК ДЕЙСТВИЯ, ИЗМЕНЕНИЕ И ДОСРОЧНОЕ РАСТОРЖЕНИЕ КОНТРАКТА</w:t>
      </w:r>
    </w:p>
    <w:p w14:paraId="79B670F3">
      <w:pPr>
        <w:pStyle w:val="40"/>
        <w:jc w:val="center"/>
        <w:rPr>
          <w:rFonts w:ascii="Times New Roman" w:hAnsi="Times New Roman"/>
          <w:b/>
        </w:rPr>
      </w:pPr>
    </w:p>
    <w:p w14:paraId="67181F7F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Настоящий Контракт вступает в силу с даты подписания обеими Сторонами и действует до «31» декабря 2026 г., а в части финансовых расчетов и гарантийных обязательств до полного выполнения Сторонами своих обязательств. </w:t>
      </w:r>
    </w:p>
    <w:p w14:paraId="2B0B6FD2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6.2. </w:t>
      </w:r>
      <w:bookmarkStart w:id="6" w:name="_Hlk227828873"/>
      <w:r>
        <w:rPr>
          <w:rFonts w:ascii="Times New Roman" w:hAnsi="Times New Roman"/>
        </w:rPr>
        <w:t>Все изменения и дополнения к Контракту оформляются в электронной форме посредством ЕАТ.РФ (https://agregatoreat.ru/), подписываются уполномоченными лицами Сторон и являются его неотъемлемой частью.</w:t>
      </w:r>
      <w:bookmarkEnd w:id="6"/>
    </w:p>
    <w:p w14:paraId="1569D2FA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 </w:t>
      </w:r>
      <w:bookmarkStart w:id="7" w:name="_Hlk227828892"/>
      <w:r>
        <w:rPr>
          <w:rFonts w:ascii="Times New Roman" w:hAnsi="Times New Roman"/>
        </w:rPr>
        <w:t xml:space="preserve">Настоящий Контракт заключается в форме электронного документа, подписанного усиленными электронными подписями уполномоченных лиц Сторон.  </w:t>
      </w:r>
    </w:p>
    <w:p w14:paraId="349C353A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Обмен подписанным Контрактом в электронной форме между Сторонами осуществляется посредством ЕАТ.РФ (https://agregatoreat.ru/).</w:t>
      </w:r>
    </w:p>
    <w:bookmarkEnd w:id="7"/>
    <w:p w14:paraId="18869CDE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Контракт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РФ.</w:t>
      </w:r>
    </w:p>
    <w:p w14:paraId="49A8AE01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6.4. </w:t>
      </w:r>
      <w:bookmarkStart w:id="8" w:name="_Hlk227828911"/>
      <w:r>
        <w:rPr>
          <w:rFonts w:ascii="Times New Roman" w:hAnsi="Times New Roman"/>
        </w:rPr>
        <w:t>В случае наличия противоречия между данными, указанными в Контракте и данными, содержащимися в приложенных документах, приоритет имеет информация, содержащаяся в Контракте, сформированном с использованием ЕАТ.РФ (https://agregatoreat.ru/).</w:t>
      </w:r>
      <w:bookmarkEnd w:id="8"/>
    </w:p>
    <w:p w14:paraId="7F3CA95E">
      <w:pPr>
        <w:pStyle w:val="40"/>
        <w:jc w:val="center"/>
        <w:rPr>
          <w:rFonts w:ascii="Times New Roman" w:hAnsi="Times New Roman"/>
          <w:b/>
        </w:rPr>
      </w:pPr>
    </w:p>
    <w:p w14:paraId="553A683E">
      <w:pPr>
        <w:pStyle w:val="40"/>
        <w:numPr>
          <w:ilvl w:val="0"/>
          <w:numId w:val="2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РАЗРЕШЕНИЕ СПОРОВ</w:t>
      </w:r>
    </w:p>
    <w:p w14:paraId="3CBDFE59">
      <w:pPr>
        <w:pStyle w:val="40"/>
        <w:ind w:left="720"/>
        <w:rPr>
          <w:rFonts w:ascii="Times New Roman" w:hAnsi="Times New Roman"/>
          <w:b/>
        </w:rPr>
      </w:pPr>
    </w:p>
    <w:p w14:paraId="5FD35E6B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Стороны будут стремиться к разрешению всех возможных споров и разногласий, которые могут возникнуть по Контракту или в связи с ним, путем переговоров.</w:t>
      </w:r>
    </w:p>
    <w:p w14:paraId="4ADA10A7">
      <w:pPr>
        <w:pStyle w:val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Споры, не урегулированные путем переговоров, передаются на рассмотрение Арбитражного суда г.Москвы в порядке, предусмотренном действующим законодательством РФ.</w:t>
      </w:r>
    </w:p>
    <w:p w14:paraId="2ABDB215">
      <w:pPr>
        <w:pStyle w:val="40"/>
        <w:rPr>
          <w:rFonts w:ascii="Times New Roman" w:hAnsi="Times New Roman"/>
        </w:rPr>
      </w:pPr>
    </w:p>
    <w:p w14:paraId="4A659A2F">
      <w:pPr>
        <w:pStyle w:val="40"/>
        <w:numPr>
          <w:ilvl w:val="0"/>
          <w:numId w:val="2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6D8CCA6">
      <w:pPr>
        <w:pStyle w:val="40"/>
        <w:ind w:left="720"/>
        <w:rPr>
          <w:rFonts w:ascii="Times New Roman" w:hAnsi="Times New Roman"/>
          <w:b/>
        </w:rPr>
      </w:pPr>
    </w:p>
    <w:p w14:paraId="362FD266">
      <w:pPr>
        <w:pStyle w:val="40"/>
        <w:rPr>
          <w:rFonts w:ascii="Times New Roman" w:hAnsi="Times New Roman"/>
        </w:rPr>
      </w:pPr>
      <w:r>
        <w:rPr>
          <w:rFonts w:ascii="Times New Roman" w:hAnsi="Times New Roman"/>
        </w:rPr>
        <w:t>8.1. К Контракту прилагаются:</w:t>
      </w:r>
    </w:p>
    <w:p w14:paraId="53C2904A">
      <w:pPr>
        <w:pStyle w:val="40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№1 – Техническое задание.</w:t>
      </w:r>
    </w:p>
    <w:p w14:paraId="39449620">
      <w:pPr>
        <w:pStyle w:val="40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№2 – Калькуляция.</w:t>
      </w:r>
    </w:p>
    <w:p w14:paraId="7A71251F">
      <w:pPr>
        <w:pStyle w:val="40"/>
        <w:rPr>
          <w:rFonts w:ascii="Times New Roman" w:hAnsi="Times New Roman"/>
        </w:rPr>
      </w:pPr>
    </w:p>
    <w:p w14:paraId="5C00A82F">
      <w:pPr>
        <w:pStyle w:val="40"/>
        <w:numPr>
          <w:ilvl w:val="0"/>
          <w:numId w:val="2"/>
        </w:num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АДРЕСА, БАНКОВСКИЕ РЕКВИЗИТЫ И ПОДПИСИ СТОРОН</w:t>
      </w:r>
    </w:p>
    <w:p w14:paraId="3326EC29">
      <w:pPr>
        <w:pStyle w:val="40"/>
        <w:ind w:left="720"/>
        <w:rPr>
          <w:rFonts w:ascii="Times New Roman" w:hAnsi="Times New Roman"/>
          <w:b/>
          <w:bCs/>
        </w:rPr>
      </w:pPr>
    </w:p>
    <w:tbl>
      <w:tblPr>
        <w:tblStyle w:val="5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7"/>
        <w:gridCol w:w="4750"/>
      </w:tblGrid>
      <w:tr w14:paraId="7DED8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6" w:hRule="atLeast"/>
        </w:trPr>
        <w:tc>
          <w:tcPr>
            <w:tcW w:w="4997" w:type="dxa"/>
          </w:tcPr>
          <w:p w14:paraId="3E082DA6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14:paraId="5ACC18FD">
            <w:pPr>
              <w:pStyle w:val="2"/>
              <w:tabs>
                <w:tab w:val="left" w:pos="352"/>
              </w:tabs>
              <w:snapToGrid w:val="0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ФГБУЗ КБ № 85 ФМБА России</w:t>
            </w:r>
            <w:r>
              <w:rPr>
                <w:b w:val="0"/>
                <w:bCs w:val="0"/>
                <w:sz w:val="22"/>
                <w:szCs w:val="22"/>
              </w:rPr>
              <w:tab/>
            </w:r>
          </w:p>
          <w:p w14:paraId="62E77A06">
            <w:pPr>
              <w:pStyle w:val="2"/>
              <w:tabs>
                <w:tab w:val="left" w:pos="352"/>
              </w:tabs>
              <w:snapToGrid w:val="0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bookmarkStart w:id="9" w:name="OLE_LINK7"/>
            <w:bookmarkStart w:id="10" w:name="OLE_LINK12"/>
            <w:r>
              <w:rPr>
                <w:b w:val="0"/>
                <w:bCs w:val="0"/>
                <w:sz w:val="22"/>
                <w:szCs w:val="22"/>
              </w:rPr>
              <w:t xml:space="preserve">Адрес юридический: 115409, г. Москва, </w:t>
            </w:r>
          </w:p>
          <w:p w14:paraId="65412965">
            <w:pPr>
              <w:pStyle w:val="2"/>
              <w:tabs>
                <w:tab w:val="left" w:pos="352"/>
              </w:tabs>
              <w:snapToGrid w:val="0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ул. Москворечье, д.</w:t>
            </w:r>
            <w:bookmarkEnd w:id="9"/>
            <w:bookmarkEnd w:id="10"/>
            <w:r>
              <w:rPr>
                <w:b w:val="0"/>
                <w:bCs w:val="0"/>
                <w:sz w:val="22"/>
                <w:szCs w:val="22"/>
              </w:rPr>
              <w:t xml:space="preserve"> 16</w:t>
            </w:r>
          </w:p>
          <w:p w14:paraId="0FDDF324">
            <w:pPr>
              <w:pStyle w:val="2"/>
              <w:tabs>
                <w:tab w:val="left" w:pos="352"/>
              </w:tabs>
              <w:snapToGrid w:val="0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Адрес фактический: 115409, г. Москва, </w:t>
            </w:r>
          </w:p>
          <w:p w14:paraId="50C571B0">
            <w:pPr>
              <w:pStyle w:val="2"/>
              <w:tabs>
                <w:tab w:val="left" w:pos="352"/>
              </w:tabs>
              <w:snapToGrid w:val="0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ул. Москворечье, д. 16</w:t>
            </w:r>
          </w:p>
          <w:p w14:paraId="41A73CF6">
            <w:pPr>
              <w:pStyle w:val="2"/>
              <w:tabs>
                <w:tab w:val="left" w:pos="352"/>
              </w:tabs>
              <w:snapToGrid w:val="0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Тел/факс: +7(499) 324-85-52; </w:t>
            </w:r>
          </w:p>
          <w:p w14:paraId="47DA82E8">
            <w:pPr>
              <w:pStyle w:val="2"/>
              <w:tabs>
                <w:tab w:val="left" w:pos="352"/>
              </w:tabs>
              <w:snapToGrid w:val="0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 +7(499) 324-21-94,</w:t>
            </w:r>
          </w:p>
          <w:p w14:paraId="24DCDA7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 xml:space="preserve">: </w:t>
            </w:r>
            <w:r>
              <w:fldChar w:fldCharType="begin"/>
            </w:r>
            <w:r>
              <w:instrText xml:space="preserve"> HYPERLINK "mailto:info@kb85.ru"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/>
                <w:color w:val="auto"/>
                <w:lang w:val="en-US"/>
              </w:rPr>
              <w:t>info</w:t>
            </w:r>
            <w:r>
              <w:rPr>
                <w:rStyle w:val="6"/>
                <w:rFonts w:ascii="Times New Roman" w:hAnsi="Times New Roman"/>
                <w:color w:val="auto"/>
              </w:rPr>
              <w:t>@</w:t>
            </w:r>
            <w:r>
              <w:rPr>
                <w:rStyle w:val="6"/>
                <w:rFonts w:ascii="Times New Roman" w:hAnsi="Times New Roman"/>
                <w:color w:val="auto"/>
                <w:lang w:val="en-US"/>
              </w:rPr>
              <w:t>kb</w:t>
            </w:r>
            <w:r>
              <w:rPr>
                <w:rStyle w:val="6"/>
                <w:rFonts w:ascii="Times New Roman" w:hAnsi="Times New Roman"/>
                <w:color w:val="auto"/>
              </w:rPr>
              <w:t>85.</w:t>
            </w:r>
            <w:r>
              <w:rPr>
                <w:rStyle w:val="6"/>
                <w:rFonts w:ascii="Times New Roman" w:hAnsi="Times New Roman"/>
                <w:color w:val="auto"/>
                <w:lang w:val="en-US"/>
              </w:rPr>
              <w:t>ru</w:t>
            </w:r>
            <w:r>
              <w:rPr>
                <w:rStyle w:val="6"/>
                <w:rFonts w:ascii="Times New Roman" w:hAnsi="Times New Roman"/>
                <w:color w:val="auto"/>
                <w:lang w:val="en-US"/>
              </w:rPr>
              <w:fldChar w:fldCharType="end"/>
            </w:r>
            <w:r>
              <w:rPr>
                <w:rFonts w:ascii="Times New Roman" w:hAnsi="Times New Roman"/>
              </w:rPr>
              <w:t xml:space="preserve">, </w:t>
            </w:r>
            <w:r>
              <w:fldChar w:fldCharType="begin"/>
            </w:r>
            <w:r>
              <w:instrText xml:space="preserve"> HYPERLINK "mailto:zakupki@kb85.ru"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/>
                <w:color w:val="auto"/>
                <w:lang w:val="en-US"/>
              </w:rPr>
              <w:t>zakupki</w:t>
            </w:r>
            <w:r>
              <w:rPr>
                <w:rStyle w:val="6"/>
                <w:rFonts w:ascii="Times New Roman" w:hAnsi="Times New Roman"/>
                <w:color w:val="auto"/>
              </w:rPr>
              <w:t>@</w:t>
            </w:r>
            <w:r>
              <w:rPr>
                <w:rStyle w:val="6"/>
                <w:rFonts w:ascii="Times New Roman" w:hAnsi="Times New Roman"/>
                <w:color w:val="auto"/>
                <w:lang w:val="en-US"/>
              </w:rPr>
              <w:t>kb</w:t>
            </w:r>
            <w:r>
              <w:rPr>
                <w:rStyle w:val="6"/>
                <w:rFonts w:ascii="Times New Roman" w:hAnsi="Times New Roman"/>
                <w:color w:val="auto"/>
              </w:rPr>
              <w:t>85.</w:t>
            </w:r>
            <w:r>
              <w:rPr>
                <w:rStyle w:val="6"/>
                <w:rFonts w:ascii="Times New Roman" w:hAnsi="Times New Roman"/>
                <w:color w:val="auto"/>
                <w:lang w:val="en-US"/>
              </w:rPr>
              <w:t>ru</w:t>
            </w:r>
            <w:r>
              <w:rPr>
                <w:rStyle w:val="6"/>
                <w:rFonts w:ascii="Times New Roman" w:hAnsi="Times New Roman"/>
                <w:color w:val="auto"/>
                <w:lang w:val="en-US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</w:p>
          <w:p w14:paraId="47B50AE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1027700374591</w:t>
            </w:r>
          </w:p>
          <w:p w14:paraId="0770F2D4">
            <w:pPr>
              <w:pStyle w:val="11"/>
              <w:ind w:right="176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ИНН 7724010662  КПП  772401001</w:t>
            </w:r>
          </w:p>
          <w:p w14:paraId="1320627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Л/с 20736Х21710 УФК по г. Москве </w:t>
            </w:r>
          </w:p>
          <w:p w14:paraId="5C6F4D72">
            <w:pPr>
              <w:spacing w:after="0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Л/с 22736Х21710 УФК по г. Москве </w:t>
            </w:r>
          </w:p>
          <w:p w14:paraId="34FAE7CE">
            <w:pPr>
              <w:spacing w:after="0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Л/с 21736Х21710 УФК по г. Москве  </w:t>
            </w:r>
          </w:p>
          <w:p w14:paraId="189B9810">
            <w:pPr>
              <w:spacing w:after="0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КС 03214643000000017300</w:t>
            </w:r>
          </w:p>
          <w:p w14:paraId="24256991">
            <w:pPr>
              <w:spacing w:after="0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ЕКС 40102810545370000003</w:t>
            </w:r>
          </w:p>
          <w:p w14:paraId="4A4FABA7">
            <w:pPr>
              <w:spacing w:after="0"/>
              <w:ind w:left="34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ОКЦ №1 ГУ Банка России по ЦФО// УФК по </w:t>
            </w:r>
          </w:p>
          <w:p w14:paraId="6D79068C">
            <w:pPr>
              <w:spacing w:after="0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Москве г. Москва</w:t>
            </w:r>
          </w:p>
          <w:p w14:paraId="56FD23BE">
            <w:pPr>
              <w:spacing w:after="0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004525988</w:t>
            </w:r>
          </w:p>
          <w:p w14:paraId="485105AB">
            <w:pPr>
              <w:spacing w:after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ОКТМО 45917000000</w:t>
            </w:r>
          </w:p>
          <w:p w14:paraId="67533C32">
            <w:pPr>
              <w:spacing w:after="0"/>
              <w:rPr>
                <w:rFonts w:ascii="Times New Roman" w:hAnsi="Times New Roman"/>
              </w:rPr>
            </w:pPr>
          </w:p>
          <w:tbl>
            <w:tblPr>
              <w:tblStyle w:val="5"/>
              <w:tblW w:w="9924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62"/>
              <w:gridCol w:w="4962"/>
            </w:tblGrid>
            <w:tr w14:paraId="14F0B76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42" w:hRule="atLeast"/>
              </w:trPr>
              <w:tc>
                <w:tcPr>
                  <w:tcW w:w="4962" w:type="dxa"/>
                </w:tcPr>
                <w:p w14:paraId="234A00E8">
                  <w:pPr>
                    <w:widowControl w:val="0"/>
                    <w:spacing w:after="0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Заказчик:</w:t>
                  </w:r>
                </w:p>
                <w:p w14:paraId="53EC8990">
                  <w:pPr>
                    <w:widowControl w:val="0"/>
                    <w:spacing w:after="0"/>
                    <w:rPr>
                      <w:rFonts w:ascii="Times New Roman" w:hAnsi="Times New Roman"/>
                      <w:lang w:eastAsia="en-US"/>
                    </w:rPr>
                  </w:pPr>
                  <w:r>
                    <w:rPr>
                      <w:rFonts w:ascii="Times New Roman" w:hAnsi="Times New Roman"/>
                      <w:lang w:eastAsia="en-US"/>
                    </w:rPr>
                    <w:t>Главный врач</w:t>
                  </w:r>
                </w:p>
                <w:p w14:paraId="34662A76">
                  <w:pPr>
                    <w:widowControl w:val="0"/>
                    <w:spacing w:after="0"/>
                    <w:rPr>
                      <w:rFonts w:ascii="Times New Roman" w:hAnsi="Times New Roman"/>
                      <w:lang w:eastAsia="en-US"/>
                    </w:rPr>
                  </w:pPr>
                </w:p>
                <w:p w14:paraId="4E77BFD7">
                  <w:pPr>
                    <w:widowControl w:val="0"/>
                    <w:spacing w:after="0"/>
                    <w:rPr>
                      <w:rFonts w:ascii="Times New Roman" w:hAnsi="Times New Roman"/>
                      <w:lang w:eastAsia="en-US"/>
                    </w:rPr>
                  </w:pPr>
                  <w:r>
                    <w:rPr>
                      <w:rFonts w:ascii="Times New Roman" w:hAnsi="Times New Roman"/>
                      <w:lang w:eastAsia="en-US"/>
                    </w:rPr>
                    <w:t>_________________/Н.Л. Бондаренко /</w:t>
                  </w:r>
                </w:p>
                <w:p w14:paraId="02C39F89">
                  <w:pPr>
                    <w:spacing w:after="0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подписано ЭЦП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</w:tc>
              <w:tc>
                <w:tcPr>
                  <w:tcW w:w="4962" w:type="dxa"/>
                </w:tcPr>
                <w:p w14:paraId="25D72BBC">
                  <w:pPr>
                    <w:spacing w:after="0"/>
                    <w:rPr>
                      <w:rFonts w:ascii="Times New Roman" w:hAnsi="Times New Roman"/>
                      <w:iCs/>
                    </w:rPr>
                  </w:pPr>
                </w:p>
                <w:p w14:paraId="4AB5A2F6">
                  <w:pPr>
                    <w:spacing w:after="0"/>
                    <w:rPr>
                      <w:rFonts w:ascii="Times New Roman" w:hAnsi="Times New Roman"/>
                      <w:iCs/>
                    </w:rPr>
                  </w:pPr>
                </w:p>
                <w:p w14:paraId="3539A523">
                  <w:pPr>
                    <w:spacing w:after="0"/>
                    <w:rPr>
                      <w:rFonts w:ascii="Times New Roman" w:hAnsi="Times New Roman"/>
                      <w:iCs/>
                    </w:rPr>
                  </w:pPr>
                  <w:r>
                    <w:rPr>
                      <w:rFonts w:ascii="Times New Roman" w:hAnsi="Times New Roman"/>
                      <w:iCs/>
                    </w:rPr>
                    <w:t>__________________/ /</w:t>
                  </w:r>
                </w:p>
                <w:p w14:paraId="7F810D86">
                  <w:pPr>
                    <w:spacing w:after="0"/>
                    <w:rPr>
                      <w:rFonts w:ascii="Times New Roman" w:hAnsi="Times New Roman"/>
                      <w:iCs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подписано ЭЦП</w:t>
                  </w:r>
                </w:p>
              </w:tc>
            </w:tr>
          </w:tbl>
          <w:p w14:paraId="71B8CFA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750" w:type="dxa"/>
          </w:tcPr>
          <w:p w14:paraId="5A02D5FD">
            <w:pPr>
              <w:pStyle w:val="13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ИСПОЛНИТЕЛЬ:</w:t>
            </w:r>
          </w:p>
          <w:p w14:paraId="6A89E1EA">
            <w:pPr>
              <w:tabs>
                <w:tab w:val="left" w:pos="1134"/>
              </w:tabs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Согласно Электронному контракту, сформированному с использованием ЕАТ.РУ</w:t>
            </w:r>
          </w:p>
          <w:p w14:paraId="46ACBEA0">
            <w:pPr>
              <w:tabs>
                <w:tab w:val="left" w:pos="1134"/>
              </w:tabs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Адрес: </w:t>
            </w:r>
          </w:p>
          <w:p w14:paraId="6C19DA30">
            <w:pPr>
              <w:tabs>
                <w:tab w:val="left" w:pos="1134"/>
              </w:tabs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ИНН </w:t>
            </w:r>
          </w:p>
          <w:p w14:paraId="36D44A04">
            <w:pPr>
              <w:tabs>
                <w:tab w:val="left" w:pos="1134"/>
              </w:tabs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КПП </w:t>
            </w:r>
          </w:p>
          <w:p w14:paraId="0928488F">
            <w:pPr>
              <w:tabs>
                <w:tab w:val="left" w:pos="1134"/>
              </w:tabs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банковского (казначейского) счета: </w:t>
            </w:r>
          </w:p>
          <w:p w14:paraId="697445E7">
            <w:pPr>
              <w:tabs>
                <w:tab w:val="left" w:pos="1134"/>
              </w:tabs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Банк: </w:t>
            </w:r>
          </w:p>
          <w:p w14:paraId="2CAA9259">
            <w:pPr>
              <w:tabs>
                <w:tab w:val="left" w:pos="1134"/>
              </w:tabs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Корреспондентский счет банка, единый казначейский счет: </w:t>
            </w:r>
          </w:p>
          <w:p w14:paraId="26BD3B99">
            <w:pPr>
              <w:tabs>
                <w:tab w:val="left" w:pos="1134"/>
              </w:tabs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 </w:t>
            </w:r>
          </w:p>
          <w:p w14:paraId="44A41933">
            <w:pPr>
              <w:tabs>
                <w:tab w:val="left" w:pos="1134"/>
              </w:tabs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ОКПО</w:t>
            </w:r>
          </w:p>
          <w:p w14:paraId="66679157">
            <w:pPr>
              <w:tabs>
                <w:tab w:val="left" w:pos="1134"/>
              </w:tabs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ОКОПФ</w:t>
            </w:r>
          </w:p>
          <w:p w14:paraId="2E3FB250">
            <w:pPr>
              <w:tabs>
                <w:tab w:val="left" w:pos="1134"/>
              </w:tabs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ОКТМО</w:t>
            </w:r>
          </w:p>
          <w:p w14:paraId="5CA87CA1">
            <w:pPr>
              <w:tabs>
                <w:tab w:val="left" w:pos="1134"/>
              </w:tabs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</w:t>
            </w:r>
          </w:p>
          <w:p w14:paraId="46C216F6">
            <w:pPr>
              <w:tabs>
                <w:tab w:val="left" w:pos="1134"/>
              </w:tabs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Электронный адрес:</w:t>
            </w:r>
          </w:p>
          <w:p w14:paraId="26D4460C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Дата постановки на учет в налоговом органе:</w:t>
            </w:r>
          </w:p>
          <w:p w14:paraId="0852D200">
            <w:pPr>
              <w:spacing w:after="0"/>
              <w:rPr>
                <w:rFonts w:ascii="Times New Roman" w:hAnsi="Times New Roman"/>
                <w:bCs/>
              </w:rPr>
            </w:pPr>
          </w:p>
          <w:p w14:paraId="592065D8">
            <w:pPr>
              <w:spacing w:after="0"/>
              <w:rPr>
                <w:rFonts w:ascii="Times New Roman" w:hAnsi="Times New Roman"/>
                <w:b/>
                <w:iCs/>
              </w:rPr>
            </w:pPr>
          </w:p>
          <w:p w14:paraId="73153381">
            <w:pPr>
              <w:spacing w:after="0"/>
              <w:rPr>
                <w:rFonts w:ascii="Times New Roman" w:hAnsi="Times New Roman"/>
                <w:b/>
                <w:iCs/>
              </w:rPr>
            </w:pPr>
          </w:p>
          <w:p w14:paraId="2EC913A4">
            <w:pPr>
              <w:spacing w:after="0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Исполнитель:</w:t>
            </w:r>
          </w:p>
          <w:p w14:paraId="2DB6A591">
            <w:pPr>
              <w:spacing w:after="0"/>
              <w:rPr>
                <w:rFonts w:ascii="Times New Roman" w:hAnsi="Times New Roman"/>
                <w:iCs/>
              </w:rPr>
            </w:pPr>
          </w:p>
          <w:p w14:paraId="50528841">
            <w:pPr>
              <w:spacing w:after="0"/>
              <w:rPr>
                <w:rFonts w:ascii="Times New Roman" w:hAnsi="Times New Roman"/>
                <w:iCs/>
              </w:rPr>
            </w:pPr>
          </w:p>
          <w:p w14:paraId="52FA6BD0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__________________/</w:t>
            </w:r>
            <w:r>
              <w:t xml:space="preserve"> </w:t>
            </w:r>
            <w:r>
              <w:rPr>
                <w:rFonts w:ascii="Times New Roman" w:hAnsi="Times New Roman"/>
                <w:iCs/>
              </w:rPr>
              <w:t>____________ /</w:t>
            </w:r>
          </w:p>
          <w:p w14:paraId="6C06F6F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подписано ЭЦП</w:t>
            </w:r>
          </w:p>
          <w:p w14:paraId="623DF504">
            <w:pPr>
              <w:spacing w:after="0"/>
              <w:rPr>
                <w:rFonts w:ascii="Times New Roman" w:hAnsi="Times New Roman"/>
              </w:rPr>
            </w:pPr>
          </w:p>
        </w:tc>
      </w:tr>
      <w:tr w14:paraId="7E2A3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4997" w:type="dxa"/>
          </w:tcPr>
          <w:p w14:paraId="1B989BA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50" w:type="dxa"/>
          </w:tcPr>
          <w:p w14:paraId="4897AF3B">
            <w:pPr>
              <w:rPr>
                <w:rFonts w:ascii="Times New Roman" w:hAnsi="Times New Roman"/>
              </w:rPr>
            </w:pPr>
          </w:p>
        </w:tc>
      </w:tr>
    </w:tbl>
    <w:p w14:paraId="0E69386B">
      <w:pPr>
        <w:spacing w:after="0" w:line="240" w:lineRule="auto"/>
        <w:ind w:left="120" w:firstLine="5280"/>
        <w:jc w:val="right"/>
        <w:rPr>
          <w:rFonts w:ascii="Times New Roman" w:hAnsi="Times New Roman"/>
        </w:rPr>
      </w:pPr>
      <w:bookmarkStart w:id="11" w:name="_Hlk157503163"/>
    </w:p>
    <w:p w14:paraId="003662B2">
      <w:pPr>
        <w:spacing w:after="0" w:line="240" w:lineRule="auto"/>
        <w:ind w:left="120" w:firstLine="5280"/>
        <w:jc w:val="right"/>
        <w:rPr>
          <w:rFonts w:ascii="Times New Roman" w:hAnsi="Times New Roman"/>
        </w:rPr>
      </w:pPr>
    </w:p>
    <w:p w14:paraId="412877AE">
      <w:pPr>
        <w:spacing w:after="0" w:line="240" w:lineRule="auto"/>
        <w:ind w:left="120" w:firstLine="5280"/>
        <w:jc w:val="right"/>
        <w:rPr>
          <w:rFonts w:ascii="Times New Roman" w:hAnsi="Times New Roman"/>
        </w:rPr>
      </w:pPr>
    </w:p>
    <w:p w14:paraId="120F803E">
      <w:pPr>
        <w:spacing w:after="0" w:line="240" w:lineRule="auto"/>
        <w:ind w:left="120" w:firstLine="5280"/>
        <w:jc w:val="right"/>
        <w:rPr>
          <w:rFonts w:ascii="Times New Roman" w:hAnsi="Times New Roman"/>
        </w:rPr>
      </w:pPr>
    </w:p>
    <w:p w14:paraId="2886E5FD">
      <w:pPr>
        <w:spacing w:after="0" w:line="240" w:lineRule="auto"/>
        <w:rPr>
          <w:rFonts w:ascii="Times New Roman" w:hAnsi="Times New Roman"/>
        </w:rPr>
      </w:pPr>
    </w:p>
    <w:bookmarkEnd w:id="11"/>
    <w:p w14:paraId="18902C7C">
      <w:pPr>
        <w:rPr>
          <w:rFonts w:ascii="Times New Roman" w:hAnsi="Times New Roman"/>
        </w:rPr>
        <w:sectPr>
          <w:pgSz w:w="11906" w:h="16838"/>
          <w:pgMar w:top="567" w:right="926" w:bottom="426" w:left="1134" w:header="709" w:footer="709" w:gutter="0"/>
          <w:cols w:space="708" w:num="1"/>
          <w:docGrid w:linePitch="360" w:charSpace="0"/>
        </w:sectPr>
      </w:pPr>
    </w:p>
    <w:p w14:paraId="5304117B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14:paraId="5E1F8C73">
      <w:pPr>
        <w:spacing w:after="0" w:line="240" w:lineRule="auto"/>
        <w:ind w:left="120" w:firstLine="470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Контракту № ___________</w:t>
      </w:r>
    </w:p>
    <w:p w14:paraId="7B5BFFC6">
      <w:pPr>
        <w:spacing w:after="0" w:line="240" w:lineRule="auto"/>
        <w:ind w:left="120" w:firstLine="470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от «___» ____________ 2026г.</w:t>
      </w:r>
    </w:p>
    <w:p w14:paraId="137053A1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7451556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D36AD9B">
      <w:pPr>
        <w:widowControl w:val="0"/>
        <w:spacing w:after="0" w:line="259" w:lineRule="auto"/>
        <w:ind w:firstLine="720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ТЕХНИЧЕСКОЕ ЗАДАНИЕ</w:t>
      </w:r>
    </w:p>
    <w:p w14:paraId="3527CF11">
      <w:pPr>
        <w:shd w:val="clear" w:color="auto" w:fill="FFFFFF"/>
        <w:jc w:val="both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bCs/>
          <w:color w:val="0F1115"/>
        </w:rPr>
        <w:t xml:space="preserve">на оказание услуг по ремонту с заменой запасных частей медицинского оборудования, имеющегося в наличии у Заказчика: </w:t>
      </w:r>
      <w:r>
        <w:rPr>
          <w:rFonts w:ascii="Times New Roman" w:hAnsi="Times New Roman"/>
          <w:bCs/>
        </w:rPr>
        <w:t>Ультразвуковая диагностическая система ARIETTA V60 (Hitachi, Ltd., Япония) (далее – Оборудование). Серийный номер: G3052360</w:t>
      </w:r>
    </w:p>
    <w:p w14:paraId="37E12196">
      <w:pPr>
        <w:shd w:val="clear" w:color="auto" w:fill="FFFFFF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Цена Контракта включает в себя все затраты, издержки и иные расходы, связанные с исполнением Контракта, в том числе сопутствующие, а также затраты на уплату налогов, сборов и других обязательных платежей. Оплата услуг производится в порядке, предусмотренном в Контракте.</w:t>
      </w:r>
    </w:p>
    <w:p w14:paraId="52D23768">
      <w:pPr>
        <w:shd w:val="clear" w:color="auto" w:fill="FFFFFF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bCs/>
          <w:color w:val="0F1115"/>
        </w:rPr>
        <w:t>Краткие характеристики оказываемых услуг</w:t>
      </w:r>
      <w:r>
        <w:rPr>
          <w:rFonts w:ascii="Times New Roman" w:hAnsi="Times New Roman"/>
          <w:color w:val="0F1115"/>
        </w:rPr>
        <w:t>:</w:t>
      </w:r>
    </w:p>
    <w:p w14:paraId="65A4684C">
      <w:pPr>
        <w:shd w:val="clear" w:color="auto" w:fill="FFFFFF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1.1. В комплект услуг должны входить все необходимые материалы и комплектующие для обеспечения работоспособности указанного Оборудования;</w:t>
      </w:r>
    </w:p>
    <w:p w14:paraId="6F420B71">
      <w:pPr>
        <w:shd w:val="clear" w:color="auto" w:fill="FFFFFF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F1115"/>
        </w:rPr>
        <w:t xml:space="preserve">Все запасные части должны быть в оригинальной упаковке без повреждений, с сохранением всех защищенных знаков производителей. Поставляемые запасные части должны быть новыми, не бывшими в употреблении, с подтверждением совместимости с ультразвуковой диагностической системой </w:t>
      </w:r>
      <w:r>
        <w:rPr>
          <w:rFonts w:ascii="Times New Roman" w:hAnsi="Times New Roman"/>
          <w:bCs/>
        </w:rPr>
        <w:t>ARIETTA V60 (Hitachi, Ltd., Япония).</w:t>
      </w:r>
    </w:p>
    <w:p w14:paraId="53BDD41A">
      <w:pPr>
        <w:shd w:val="clear" w:color="auto" w:fill="FFFFFF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1.2. Оказание услуг по ремонту Оборудования с заменой запасных частей осуществляется в течение 7 (семи) рабочих дней с даты приемки Оборудования в сервисном центре. Частичное оказание услуг, в т.ч. частичная поставка запасных частей не допускается.</w:t>
      </w:r>
    </w:p>
    <w:p w14:paraId="347ED292">
      <w:pPr>
        <w:shd w:val="clear" w:color="auto" w:fill="FFFFFF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1.3. Доставка Оборудования до сервисного центра и обратно производится силами Заказчика.</w:t>
      </w:r>
    </w:p>
    <w:p w14:paraId="0060FED0">
      <w:pPr>
        <w:shd w:val="clear" w:color="auto" w:fill="FFFFFF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bCs/>
          <w:color w:val="0F1115"/>
        </w:rPr>
        <w:t>Место нахождения медицинского Оборудования:</w:t>
      </w:r>
    </w:p>
    <w:p w14:paraId="241C27E3">
      <w:pPr>
        <w:shd w:val="clear" w:color="auto" w:fill="FFFFFF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115409, г. Москва, ул. Москворечье, д. 16</w:t>
      </w:r>
    </w:p>
    <w:p w14:paraId="6732FD64">
      <w:pPr>
        <w:shd w:val="clear" w:color="auto" w:fill="FFFFFF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bCs/>
          <w:color w:val="0F1115"/>
        </w:rPr>
        <w:t>Перечень медицинского оборудования, подлежащего ремонту:</w:t>
      </w:r>
    </w:p>
    <w:tbl>
      <w:tblPr>
        <w:tblStyle w:val="5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0"/>
        <w:gridCol w:w="8159"/>
        <w:gridCol w:w="1134"/>
      </w:tblGrid>
      <w:tr w14:paraId="65D3AC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A2FC9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81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66393A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Наименование оборудования / запасных частей</w:t>
            </w:r>
          </w:p>
        </w:tc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524F4E4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Количество</w:t>
            </w:r>
          </w:p>
        </w:tc>
      </w:tr>
      <w:tr w14:paraId="3D2A65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492D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1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FB326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Ультразвуковая диагностическая система ARIETTA V60 (Hitachi, Ltd., Япония). Серийный номер: G3052360. Комплектация: основной блок, конвексный датчик C251 (SN G3017151), линейный датчик L441 (SN G3052752).</w:t>
            </w:r>
          </w:p>
        </w:tc>
        <w:tc>
          <w:tcPr>
            <w:tcW w:w="113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6D2B9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 шт</w:t>
            </w:r>
          </w:p>
        </w:tc>
      </w:tr>
    </w:tbl>
    <w:p w14:paraId="1E92895B">
      <w:pPr>
        <w:shd w:val="clear" w:color="auto" w:fill="FFFFFF"/>
        <w:rPr>
          <w:rFonts w:ascii="Times New Roman" w:hAnsi="Times New Roman"/>
          <w:color w:val="0F1115"/>
        </w:rPr>
      </w:pPr>
      <w:r>
        <w:rPr>
          <w:rFonts w:ascii="Times New Roman" w:hAnsi="Times New Roman"/>
          <w:bCs/>
          <w:color w:val="0F1115"/>
        </w:rPr>
        <w:t>Для восстановления работоспособности Оборудования необходимо выполнить следующий перечень ремонтных работ:</w:t>
      </w:r>
    </w:p>
    <w:tbl>
      <w:tblPr>
        <w:tblStyle w:val="5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5"/>
        <w:gridCol w:w="2933"/>
        <w:gridCol w:w="5985"/>
        <w:gridCol w:w="653"/>
      </w:tblGrid>
      <w:tr w14:paraId="77FDA1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6AC392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818955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Наименование работ в рамках оказания услуги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226B353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Техническое описание и обоснование (по дефектной ведомости)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1BA6D3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Кол-во работ</w:t>
            </w:r>
          </w:p>
        </w:tc>
      </w:tr>
      <w:tr w14:paraId="4CF102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81D9B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2D35D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Диагностика системы с выявлением неисправностей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1A989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расширенной функциональной диагностики аппарата с регистрацией системных логов, проверкой цепей питания, интерфейсов передачи данных и тракта формирования ультразвукового изображения. Подтверждение наличия ошибки </w:t>
            </w:r>
            <w:r>
              <w:rPr>
                <w:rFonts w:ascii="Times New Roman" w:hAnsi="Times New Roman"/>
                <w:i/>
                <w:iCs/>
              </w:rPr>
              <w:t>"TP COMMAND Time out"</w:t>
            </w:r>
            <w:r>
              <w:rPr>
                <w:rFonts w:ascii="Times New Roman" w:hAnsi="Times New Roman"/>
              </w:rPr>
              <w:t> и локализация неисправного узла.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01CD3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14:paraId="6CB946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500C9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A4B33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Разборка/сборка аппарата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1FF3C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Частичная разборка корпуса УЗИ-сканера для обеспечения доступа к системному блоку (CL Board, накопители, блоки питания) с последующей обратной сборкой без повреждения элементов корпуса и интерфейсных разъемов.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7BB04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14:paraId="73E9DB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AD36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BFB3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Демонтаж неисправных частей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E7A1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Демонтаж вышедшей из строя платы формирования сигналов (CL Board), демонтаж жесткого диска (HDD), выработавшего ресурс, и отсоединение датчиков с поврежденной акустической линзой.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BD921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14:paraId="009DD0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D842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1F608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Восстановление/ремонт платы CL Board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6AA6A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печатной платы CL Board (Control Logic Board) с заменой поврежденных элементов (силовые ключи, драйверы, стабилизаторы питания). Проведение входного контроля, прозвонка цепей, замена компонентов методом поверхностного монтажа (SMD), выходной контроль работоспособности на тестовом стенде.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2B2CE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14:paraId="34D871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15575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68A95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Замена жесткого диска (HDD) с переустановкой специализированного ПО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D967C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системного накопителя (HDD/SSD) с установкой сертифицированного носителя, совместимого с Hitachi ARIETTA V60. Восстановление операционной системы из заводского образа, установка специализированного программного обеспечения для работы УЗИ-сканера, активация всех опций и лицензий, восстановление пользовательских настроек (при наличии бэкапа).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141D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14:paraId="325947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E7E54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F7818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Замена акустической линзы конвексного датчика C251 (SN G3017151)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D4387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Демонтаж отработавшей акустической линзы конвексного датчика C251. Механическая очистка поверхности пьезоэлементов, нанесение специализированного акустического компаунда с точным коэффициентом импеданса, установка и полимеризация новой линзы в условиях чистого бокса. Проверка электрической безопасности и герметичности.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2AD6D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14:paraId="6C4407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61717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EDAC1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Замена акустической линзы линейного датчика L441 (SN G3052752)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931DB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Демонтаж отработавшей акустической линзы линейного датчика L441. Проведение аналогичного комплекса работ по очистке, нанесению акустической прослойки и установке новой линзы с использованием оригинальных расходных материалов (RTV-состав). Выходной контроль фантомного изображения.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8C081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14:paraId="5947B2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8E3AD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17E47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Проведение технического обслуживания системы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495C2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Очистка внутреннего пространства корпуса от пыли и загрязнений, продувка радиаторов охлаждения и вентиляторных групп сжатым воздухом. Замена термоинтерфейса (термопасты) на нагревающихся элементах (при необходимости). Проверка работоспособности охлаждающей системы.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05509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14:paraId="62F23F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EA9D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3A14E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Калибровка и настройка параметров аппарата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E5D15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Калибровка тракта формирования ультразвукового изображения после ремонта CL Board. Настройка параметров рентгеновского генератора (применительно к УЗИ — настройка режимов B-режима, ЦДК, PW/CW-Допплера). Корректировка усиления (TGC), балансировка каналов, калибровка тактильной чувствительности сенсорного экрана и органов управления.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41BA0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14:paraId="09070C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26833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10.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28D88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Комплексное функциональное тестирование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ACABF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работоспособности аппарата во всех режимах сканирования (B-режим, M-режим, ЦДК, энергетический допплер) с использованием обоих датчиков. Контроль устранения ошибки </w:t>
            </w:r>
            <w:r>
              <w:rPr>
                <w:rFonts w:ascii="Times New Roman" w:hAnsi="Times New Roman"/>
                <w:i/>
                <w:iCs/>
              </w:rPr>
              <w:t>"TP COMMAND Time out"</w:t>
            </w:r>
            <w:r>
              <w:rPr>
                <w:rFonts w:ascii="Times New Roman" w:hAnsi="Times New Roman"/>
              </w:rPr>
              <w:t>. Тест-драйв системы в режиме реального сканирования (не менее 30 минут) на фантоме или пациенто-симуляторе.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F213B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14:paraId="0A45D2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E64A4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11.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5FF4C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Подготовка исполнительной документации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E1940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акта оказанных услуг по форме Заказчика, составление технического заключения о восстановлении работоспособности, заполнение паспорта ремонта с указанием серийных номеров замененных узлов, датчиков и выданных гарантийных обязательств.</w:t>
            </w:r>
          </w:p>
        </w:tc>
        <w:tc>
          <w:tcPr>
            <w:tcW w:w="0" w:type="auto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9CD0B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339AED24">
      <w:pPr>
        <w:shd w:val="clear" w:color="auto" w:fill="FFFFFF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bCs/>
          <w:color w:val="0F1115"/>
        </w:rPr>
        <w:t>Срок выполнения работ:</w:t>
      </w:r>
    </w:p>
    <w:p w14:paraId="59885DE9">
      <w:pPr>
        <w:shd w:val="clear" w:color="auto" w:fill="FFFFFF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В течение 7 (семи) рабочих дней  - с момента передачи оборудования Исполнителю.</w:t>
      </w:r>
    </w:p>
    <w:p w14:paraId="5F8799B2">
      <w:pPr>
        <w:shd w:val="clear" w:color="auto" w:fill="FFFFFF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bCs/>
          <w:color w:val="0F1115"/>
        </w:rPr>
        <w:t>Требования к качеству работ, проводимых в рамках оказания услуги:</w:t>
      </w:r>
    </w:p>
    <w:p w14:paraId="70202A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 xml:space="preserve">Работы должны производиться в строгом соответствии с технической и эксплуатационной документацией на оборудование </w:t>
      </w:r>
      <w:r>
        <w:rPr>
          <w:rFonts w:ascii="Times New Roman" w:hAnsi="Times New Roman"/>
          <w:bCs/>
        </w:rPr>
        <w:t>ARIETTA V60 (Hitachi, Ltd., Япония)</w:t>
      </w:r>
      <w:r>
        <w:rPr>
          <w:rFonts w:ascii="Times New Roman" w:hAnsi="Times New Roman"/>
          <w:color w:val="0F1115"/>
        </w:rPr>
        <w:t>, с соблюдением норм электробезопасности, с использованием рекомендованных производителем инструментов и поверенных средств измерения.</w:t>
      </w:r>
    </w:p>
    <w:p w14:paraId="1D109B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Ремонт медицинского оборудования производится квалифицированными, сертифицированными специалистами, имеющими соответствующие допуски и разрешения на работу с медицинской техникой Hitachi.</w:t>
      </w:r>
    </w:p>
    <w:p w14:paraId="2126F0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Исполнитель при ремонте медицинского оборудования обязан обеспечить применение собственных инструментов и контрольно-измерительных приборов, необходимых для оказания услуги и поверенных в установленном порядке, обученным для оказания данного вида услуги техническим персоналом Исполнителя.</w:t>
      </w:r>
    </w:p>
    <w:p w14:paraId="6DD4D6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Приобретение используемых материалов, запасных частей для проведения ремонтных работ осуществляется за счет средств Исполнителя.</w:t>
      </w:r>
    </w:p>
    <w:p w14:paraId="19259A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Используемые материалы, запасные части должны быть новыми (запасные части, которые не были в употреблении, в ремонте, в том числе которые не были восстановлены, у которых не были восстановлены потребительские свойства). Ремонт платы CL Board подразумевает замену компонентов на новые, а не использование бывших в употреблении модулей.</w:t>
      </w:r>
    </w:p>
    <w:p w14:paraId="52A6F2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Расходные материалы, детали и запасные части (включая акустические линзы и HDD), необходимые для устранения неисправностей, должны соответствовать требованиям законодательства Российской Федерации об обязательной сертификации и иметь регистрационное удостоверение Росздравнадзора.</w:t>
      </w:r>
    </w:p>
    <w:p w14:paraId="69B606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 xml:space="preserve">Оборудование после ремонта должно быть пригодно к использованию по назначению. Ошибка "TP COMMAND Time out" должна быть полностью устранена. Изображение с датчиков должно </w:t>
      </w:r>
      <w:r>
        <w:rPr>
          <w:rFonts w:ascii="Times New Roman" w:hAnsi="Times New Roman"/>
        </w:rPr>
        <w:t>соответствовать</w:t>
      </w:r>
      <w:r>
        <w:rPr>
          <w:rFonts w:ascii="Times New Roman" w:hAnsi="Times New Roman"/>
          <w:color w:val="0F1115"/>
        </w:rPr>
        <w:t xml:space="preserve"> эталонным параметрам для данной модели.</w:t>
      </w:r>
    </w:p>
    <w:p w14:paraId="07341A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Гарантийный срок на все виды работ в рамках заключенного контракта должен быть не менее 3-х месяцев с момента подписания акта оказанных услуг. На замененные акустические линзы предоставляется гарантийный срок не менее 6-ти месяцев в силу специфики расходных материалов с момента подписания акта оказанных услуг.</w:t>
      </w:r>
    </w:p>
    <w:p w14:paraId="74E38BEA">
      <w:pPr>
        <w:shd w:val="clear" w:color="auto" w:fill="FFFFFF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bCs/>
          <w:color w:val="0F1115"/>
        </w:rPr>
        <w:t>Требования к исполнителю:</w:t>
      </w:r>
    </w:p>
    <w:p w14:paraId="587B8A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Наличие лицензии на ремонт медицинской техники с приложением. Ремонт и техническое обслуживание медицинского оборудования должен производиться квалифицированными, сертифицированными специалистами, имеющими соответствующие допуски и разрешения на работу с оборудованием Hitachi.</w:t>
      </w:r>
    </w:p>
    <w:p w14:paraId="166C83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Работы должны выполняться с соблюдением правил охраны труда, пожарной безопасности, санитарно-эпидемиологического режима и правил внутреннего распорядка медицинского учреждения.</w:t>
      </w:r>
    </w:p>
    <w:p w14:paraId="5C0F9A1B">
      <w:pPr>
        <w:shd w:val="clear" w:color="auto" w:fill="FFFFFF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Общие требования:</w:t>
      </w:r>
    </w:p>
    <w:tbl>
      <w:tblPr>
        <w:tblStyle w:val="5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35"/>
        <w:gridCol w:w="1410"/>
      </w:tblGrid>
      <w:tr w14:paraId="163B88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D97F5E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eastAsia="Calibri"/>
                <w:color w:val="0F1115"/>
                <w:shd w:val="clear" w:color="auto" w:fill="FFFFFF"/>
              </w:rPr>
              <w:t>Наличие лицензии на осуществление деятельности по техническому обслуживанию медицинских изделий, выданной Федеральной службой по надзору в сфере здравоохранения (Росздравнадзор), с правом выполнения работ по техническому обслуживанию медицинского оборудования </w:t>
            </w:r>
            <w:r>
              <w:rPr>
                <w:rStyle w:val="57"/>
                <w:rFonts w:ascii="Times New Roman" w:hAnsi="Times New Roman" w:eastAsia="Calibri"/>
                <w:color w:val="0F1115"/>
                <w:shd w:val="clear" w:color="auto" w:fill="FFFFFF"/>
              </w:rPr>
              <w:t>IIа класса потенциального риска применения</w:t>
            </w:r>
            <w:r>
              <w:rPr>
                <w:rFonts w:ascii="Times New Roman" w:hAnsi="Times New Roman" w:eastAsia="Calibri"/>
                <w:color w:val="0F1115"/>
                <w:shd w:val="clear" w:color="auto" w:fill="FFFFFF"/>
              </w:rPr>
              <w:t> в соответствии с номенклатурой медицинских изделий, утверждённой Приказом Минздрава России от 06.06.2012 № 4н (с актуальными изменениями). В лицензии или в приложении к лицензии должен быть указан код ОКПО/ОКПД 2 и перечень оборудования, включающий ультразвуковые диагностические системы (УЗИ) с классом риска </w:t>
            </w:r>
            <w:r>
              <w:rPr>
                <w:rStyle w:val="57"/>
                <w:rFonts w:ascii="Times New Roman" w:hAnsi="Times New Roman" w:eastAsia="Calibri"/>
                <w:color w:val="0F1115"/>
                <w:shd w:val="clear" w:color="auto" w:fill="FFFFFF"/>
              </w:rPr>
              <w:t>2а</w:t>
            </w:r>
            <w:r>
              <w:rPr>
                <w:rFonts w:ascii="Times New Roman" w:hAnsi="Times New Roman" w:eastAsia="Calibri"/>
                <w:color w:val="0F1115"/>
                <w:shd w:val="clear" w:color="auto" w:fill="FFFFFF"/>
              </w:rPr>
              <w:t>. К заявке прилагается заверенная копия лицензии с приложениями (выписка из реестра лицензий по форме, утверждённой Постановлением Правительства РФ от 29.12.2020 № 2343).</w:t>
            </w:r>
          </w:p>
        </w:tc>
        <w:tc>
          <w:tcPr>
            <w:tcW w:w="14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9C218B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наличие</w:t>
            </w:r>
          </w:p>
        </w:tc>
      </w:tr>
      <w:tr w14:paraId="7F8217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4DEB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гарантирует, что работы по замене запасных частей Оборудования будут выполнены в полном объёме и надлежащего качества, которое в свою очередь обеспечит работоспособность оборудования, полное устранение системной ошибки и восстановление качества ультразвуковых изображений.</w:t>
            </w:r>
          </w:p>
        </w:tc>
        <w:tc>
          <w:tcPr>
            <w:tcW w:w="141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EA308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наличие</w:t>
            </w:r>
          </w:p>
        </w:tc>
      </w:tr>
      <w:tr w14:paraId="4A5DCD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CDB36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Работы должны выполняться Исполнителем с применением комплекта оборудования и специальных инструментов, программ и паролей доступа для работ по замене запасных частей и настройке на данном аппарате ARIETTA V60.</w:t>
            </w:r>
          </w:p>
        </w:tc>
        <w:tc>
          <w:tcPr>
            <w:tcW w:w="141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0B3BC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наличие</w:t>
            </w:r>
          </w:p>
        </w:tc>
      </w:tr>
      <w:tr w14:paraId="0876A1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BACE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поставки и выполнения работ с момента подписания акта приема-передачи оборудования на ремонт.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>*Неисполнение в срок будет являться грубым нарушением условий контракта.</w:t>
            </w:r>
          </w:p>
        </w:tc>
        <w:tc>
          <w:tcPr>
            <w:tcW w:w="141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3C3C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Не более 7 раб. дней </w:t>
            </w:r>
            <w:r>
              <w:t xml:space="preserve"> </w:t>
            </w:r>
          </w:p>
        </w:tc>
      </w:tr>
      <w:tr w14:paraId="2579CC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A263C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Гарантийный срок на выполненные работы (общий)</w:t>
            </w:r>
          </w:p>
        </w:tc>
        <w:tc>
          <w:tcPr>
            <w:tcW w:w="141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7FDFA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3 месяца</w:t>
            </w:r>
          </w:p>
        </w:tc>
      </w:tr>
      <w:tr w14:paraId="7A3064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C9F6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Гарантийный срок на работы по замене акустических линз (повышенный, по специфике узла)</w:t>
            </w:r>
          </w:p>
        </w:tc>
        <w:tc>
          <w:tcPr>
            <w:tcW w:w="141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94B56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6 месяцев</w:t>
            </w:r>
          </w:p>
        </w:tc>
      </w:tr>
    </w:tbl>
    <w:p w14:paraId="66EF598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B6AB004">
      <w:pPr>
        <w:pStyle w:val="55"/>
        <w:ind w:firstLine="709"/>
        <w:jc w:val="both"/>
        <w:rPr>
          <w:sz w:val="25"/>
          <w:szCs w:val="25"/>
        </w:rPr>
      </w:pPr>
    </w:p>
    <w:tbl>
      <w:tblPr>
        <w:tblStyle w:val="5"/>
        <w:tblpPr w:leftFromText="180" w:rightFromText="180" w:vertAnchor="page" w:horzAnchor="margin" w:tblpY="12693"/>
        <w:tblW w:w="940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1"/>
        <w:gridCol w:w="3997"/>
        <w:gridCol w:w="447"/>
      </w:tblGrid>
      <w:tr w14:paraId="32A36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9405" w:type="dxa"/>
            <w:gridSpan w:val="3"/>
          </w:tcPr>
          <w:p w14:paraId="58D5FFE9">
            <w:pPr>
              <w:keepNext/>
              <w:keepLines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24C76C35">
            <w:pPr>
              <w:keepNext/>
              <w:keepLine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Подписи Сторон</w:t>
            </w:r>
          </w:p>
          <w:p w14:paraId="118EE993">
            <w:pPr>
              <w:keepNext/>
              <w:keepLine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14:paraId="638DE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876" w:hRule="atLeast"/>
        </w:trPr>
        <w:tc>
          <w:tcPr>
            <w:tcW w:w="4961" w:type="dxa"/>
          </w:tcPr>
          <w:p w14:paraId="41E6DDCC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Заказчик:</w:t>
            </w:r>
          </w:p>
          <w:p w14:paraId="50D7AF2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Главный врач</w:t>
            </w:r>
          </w:p>
          <w:p w14:paraId="7D6849E7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4E82D1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_________________/Н.Л. Бондаренко /</w:t>
            </w:r>
          </w:p>
          <w:p w14:paraId="7A167CB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подписано ЭЦП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BBC06AC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7" w:type="dxa"/>
          </w:tcPr>
          <w:p w14:paraId="0758CE54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Исполнитель:</w:t>
            </w:r>
          </w:p>
          <w:p w14:paraId="74F017D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39CED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E831B4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_______________/</w:t>
            </w:r>
            <w: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_____________ </w:t>
            </w:r>
            <w:r>
              <w:rPr>
                <w:rFonts w:ascii="Times New Roman" w:hAnsi="Times New Roman"/>
                <w:iCs/>
              </w:rPr>
              <w:t>/</w:t>
            </w:r>
          </w:p>
          <w:p w14:paraId="16BB055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подписано ЭЦП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FC855B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14:paraId="5E618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876" w:hRule="atLeast"/>
        </w:trPr>
        <w:tc>
          <w:tcPr>
            <w:tcW w:w="4961" w:type="dxa"/>
          </w:tcPr>
          <w:p w14:paraId="459F573B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97" w:type="dxa"/>
          </w:tcPr>
          <w:p w14:paraId="0CE23D97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14:paraId="7B7BE469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/>
          <w:b/>
          <w:bCs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Приложение № 2</w:t>
      </w:r>
    </w:p>
    <w:p w14:paraId="5AF686C1">
      <w:pPr>
        <w:spacing w:after="0" w:line="240" w:lineRule="auto"/>
        <w:ind w:left="120" w:firstLine="470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Контракту № ___________</w:t>
      </w:r>
    </w:p>
    <w:p w14:paraId="3E9C88A2">
      <w:pPr>
        <w:spacing w:after="0" w:line="240" w:lineRule="auto"/>
        <w:ind w:left="120" w:firstLine="470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от «___» ____________ 2026г.</w:t>
      </w:r>
    </w:p>
    <w:p w14:paraId="34450F71">
      <w:pPr>
        <w:tabs>
          <w:tab w:val="left" w:pos="643"/>
          <w:tab w:val="left" w:pos="720"/>
          <w:tab w:val="left" w:pos="1836"/>
        </w:tabs>
        <w:spacing w:after="0"/>
        <w:jc w:val="right"/>
        <w:rPr>
          <w:rFonts w:ascii="Times New Roman" w:hAnsi="Times New Roman" w:eastAsia="Calibri"/>
          <w:b/>
          <w:bCs/>
          <w:sz w:val="24"/>
          <w:szCs w:val="24"/>
        </w:rPr>
      </w:pPr>
    </w:p>
    <w:p w14:paraId="586E40C2">
      <w:pPr>
        <w:tabs>
          <w:tab w:val="left" w:pos="643"/>
          <w:tab w:val="left" w:pos="720"/>
          <w:tab w:val="left" w:pos="1836"/>
        </w:tabs>
        <w:ind w:firstLine="709"/>
        <w:jc w:val="center"/>
        <w:rPr>
          <w:rFonts w:ascii="Times New Roman" w:hAnsi="Times New Roman" w:eastAsia="Calibri"/>
          <w:b/>
          <w:bCs/>
          <w:sz w:val="24"/>
          <w:szCs w:val="24"/>
        </w:rPr>
      </w:pPr>
      <w:r>
        <w:rPr>
          <w:rFonts w:ascii="Times New Roman" w:hAnsi="Times New Roman" w:eastAsia="Calibri"/>
          <w:b/>
          <w:bCs/>
          <w:sz w:val="24"/>
          <w:szCs w:val="24"/>
        </w:rPr>
        <w:t xml:space="preserve">Калькуляция </w:t>
      </w:r>
    </w:p>
    <w:p w14:paraId="18B74319">
      <w:pPr>
        <w:tabs>
          <w:tab w:val="left" w:pos="643"/>
          <w:tab w:val="left" w:pos="720"/>
          <w:tab w:val="left" w:pos="1836"/>
        </w:tabs>
        <w:ind w:firstLine="709"/>
        <w:jc w:val="right"/>
        <w:rPr>
          <w:rFonts w:eastAsia="Calibri"/>
          <w:b/>
          <w:bCs/>
          <w:sz w:val="25"/>
          <w:szCs w:val="25"/>
        </w:rPr>
      </w:pP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4894"/>
        <w:gridCol w:w="2479"/>
        <w:gridCol w:w="2222"/>
      </w:tblGrid>
      <w:tr w14:paraId="2A53D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32" w:type="pct"/>
            <w:tcBorders>
              <w:bottom w:val="single" w:color="auto" w:sz="4" w:space="0"/>
            </w:tcBorders>
            <w:vAlign w:val="center"/>
          </w:tcPr>
          <w:p w14:paraId="4995C9C8">
            <w:pPr>
              <w:pStyle w:val="42"/>
              <w:ind w:left="0"/>
              <w:rPr>
                <w:rStyle w:val="56"/>
                <w:color w:val="auto"/>
                <w:sz w:val="25"/>
                <w:szCs w:val="25"/>
                <w:shd w:val="clear" w:color="auto" w:fill="FFFFFF"/>
              </w:rPr>
            </w:pPr>
            <w:r>
              <w:rPr>
                <w:rStyle w:val="56"/>
                <w:color w:val="auto"/>
                <w:sz w:val="25"/>
                <w:szCs w:val="25"/>
                <w:shd w:val="clear" w:color="auto" w:fill="FFFFFF"/>
              </w:rPr>
              <w:t>№</w:t>
            </w:r>
          </w:p>
        </w:tc>
        <w:tc>
          <w:tcPr>
            <w:tcW w:w="2432" w:type="pct"/>
            <w:tcBorders>
              <w:bottom w:val="single" w:color="auto" w:sz="4" w:space="0"/>
            </w:tcBorders>
            <w:vAlign w:val="center"/>
          </w:tcPr>
          <w:p w14:paraId="126AE43C">
            <w:pPr>
              <w:pStyle w:val="42"/>
              <w:ind w:left="0"/>
              <w:jc w:val="center"/>
              <w:rPr>
                <w:rStyle w:val="56"/>
                <w:b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eastAsia="Open Sans Light"/>
                <w:b/>
                <w:color w:val="auto"/>
                <w:sz w:val="24"/>
                <w:szCs w:val="24"/>
              </w:rPr>
              <w:t>Наименование работ в рамках оказания услуги</w:t>
            </w:r>
          </w:p>
        </w:tc>
        <w:tc>
          <w:tcPr>
            <w:tcW w:w="1232" w:type="pct"/>
            <w:tcBorders>
              <w:bottom w:val="single" w:color="auto" w:sz="4" w:space="0"/>
            </w:tcBorders>
            <w:vAlign w:val="center"/>
          </w:tcPr>
          <w:p w14:paraId="29C29ED3">
            <w:pPr>
              <w:pStyle w:val="42"/>
              <w:ind w:left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b/>
                <w:color w:val="auto"/>
                <w:sz w:val="24"/>
                <w:szCs w:val="24"/>
              </w:rPr>
              <w:t>Кол-во работ, шт.</w:t>
            </w:r>
          </w:p>
        </w:tc>
        <w:tc>
          <w:tcPr>
            <w:tcW w:w="1104" w:type="pct"/>
            <w:tcBorders>
              <w:bottom w:val="single" w:color="auto" w:sz="4" w:space="0"/>
            </w:tcBorders>
            <w:vAlign w:val="center"/>
          </w:tcPr>
          <w:p w14:paraId="6ED8A1F9">
            <w:pPr>
              <w:pStyle w:val="42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Цена, руб.</w:t>
            </w:r>
          </w:p>
        </w:tc>
      </w:tr>
      <w:tr w14:paraId="2C1EB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CF8EB8C">
            <w:pPr>
              <w:pStyle w:val="42"/>
              <w:ind w:left="0"/>
              <w:rPr>
                <w:rFonts w:eastAsia="Calibri"/>
                <w:color w:val="auto"/>
                <w:sz w:val="25"/>
                <w:szCs w:val="25"/>
              </w:rPr>
            </w:pPr>
            <w:r>
              <w:rPr>
                <w:rFonts w:eastAsia="Calibri"/>
                <w:color w:val="auto"/>
                <w:sz w:val="25"/>
                <w:szCs w:val="25"/>
              </w:rPr>
              <w:t>1.</w:t>
            </w:r>
          </w:p>
        </w:tc>
        <w:tc>
          <w:tcPr>
            <w:tcW w:w="243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715B1D">
            <w:pP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3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127C0">
            <w:pPr>
              <w:pStyle w:val="42"/>
              <w:ind w:left="0"/>
              <w:jc w:val="center"/>
              <w:rPr>
                <w:rFonts w:eastAsia="Calibri"/>
                <w:b/>
                <w:color w:val="auto"/>
                <w:sz w:val="25"/>
                <w:szCs w:val="25"/>
              </w:rPr>
            </w:pPr>
          </w:p>
        </w:tc>
        <w:tc>
          <w:tcPr>
            <w:tcW w:w="110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A36CB">
            <w:pPr>
              <w:pStyle w:val="42"/>
              <w:ind w:left="0"/>
              <w:jc w:val="center"/>
              <w:rPr>
                <w:rFonts w:eastAsia="Calibri"/>
                <w:b/>
                <w:color w:val="auto"/>
                <w:sz w:val="25"/>
                <w:szCs w:val="25"/>
              </w:rPr>
            </w:pPr>
          </w:p>
        </w:tc>
      </w:tr>
    </w:tbl>
    <w:tbl>
      <w:tblPr>
        <w:tblStyle w:val="5"/>
        <w:tblpPr w:leftFromText="180" w:rightFromText="180" w:vertAnchor="page" w:horzAnchor="margin" w:tblpY="5926"/>
        <w:tblW w:w="940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1"/>
        <w:gridCol w:w="3997"/>
        <w:gridCol w:w="447"/>
      </w:tblGrid>
      <w:tr w14:paraId="1F90A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9405" w:type="dxa"/>
            <w:gridSpan w:val="3"/>
          </w:tcPr>
          <w:p w14:paraId="747F8386">
            <w:pPr>
              <w:keepNext/>
              <w:keepLines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5AE5909B">
            <w:pPr>
              <w:keepNext/>
              <w:keepLine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Подписи Сторон</w:t>
            </w:r>
          </w:p>
          <w:p w14:paraId="33E97DED">
            <w:pPr>
              <w:keepNext/>
              <w:keepLine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14:paraId="3DFB7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876" w:hRule="atLeast"/>
        </w:trPr>
        <w:tc>
          <w:tcPr>
            <w:tcW w:w="4961" w:type="dxa"/>
          </w:tcPr>
          <w:p w14:paraId="0BFC871A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Заказчик:</w:t>
            </w:r>
          </w:p>
          <w:p w14:paraId="71D7A617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Главный врач</w:t>
            </w:r>
          </w:p>
          <w:p w14:paraId="790BC2A7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3377C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_________________/Н.Л. Бондаренко /</w:t>
            </w:r>
          </w:p>
          <w:p w14:paraId="129FC5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подписано ЭЦП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656C5D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7" w:type="dxa"/>
          </w:tcPr>
          <w:p w14:paraId="19F054DF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Исполнитель:</w:t>
            </w:r>
          </w:p>
          <w:p w14:paraId="33F4B65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4E0424C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005070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_______________/</w:t>
            </w:r>
            <w: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_____________ </w:t>
            </w:r>
            <w:r>
              <w:rPr>
                <w:rFonts w:ascii="Times New Roman" w:hAnsi="Times New Roman"/>
                <w:iCs/>
              </w:rPr>
              <w:t>/</w:t>
            </w:r>
          </w:p>
          <w:p w14:paraId="2BEC15C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подписано ЭЦП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B0C328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14:paraId="5C9D4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876" w:hRule="atLeast"/>
        </w:trPr>
        <w:tc>
          <w:tcPr>
            <w:tcW w:w="4961" w:type="dxa"/>
          </w:tcPr>
          <w:p w14:paraId="72285F62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97" w:type="dxa"/>
          </w:tcPr>
          <w:p w14:paraId="11E01549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14:paraId="415DBCE1">
      <w:pPr>
        <w:rPr>
          <w:rFonts w:ascii="Times New Roman" w:hAnsi="Times New Roman"/>
        </w:rPr>
      </w:pPr>
    </w:p>
    <w:sectPr>
      <w:pgSz w:w="11906" w:h="16838"/>
      <w:pgMar w:top="567" w:right="926" w:bottom="426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Open Sans Light">
    <w:altName w:val="Liberation Mono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EB2CB0"/>
    <w:multiLevelType w:val="multilevel"/>
    <w:tmpl w:val="18EB2CB0"/>
    <w:lvl w:ilvl="0" w:tentative="0">
      <w:start w:val="1"/>
      <w:numFmt w:val="decimal"/>
      <w:lvlText w:val="%1."/>
      <w:lvlJc w:val="left"/>
      <w:pPr>
        <w:tabs>
          <w:tab w:val="left" w:pos="0"/>
          <w:tab w:val="left" w:pos="540"/>
          <w:tab w:val="left" w:pos="720"/>
        </w:tabs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0"/>
          <w:tab w:val="left" w:pos="1080"/>
          <w:tab w:val="left" w:pos="1440"/>
        </w:tabs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0"/>
          <w:tab w:val="left" w:pos="1620"/>
          <w:tab w:val="left" w:pos="2160"/>
        </w:tabs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  <w:tab w:val="left" w:pos="2160"/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0"/>
          <w:tab w:val="left" w:pos="2700"/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0"/>
          <w:tab w:val="left" w:pos="3240"/>
          <w:tab w:val="left" w:pos="4320"/>
        </w:tabs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  <w:tab w:val="left" w:pos="3780"/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0"/>
          <w:tab w:val="left" w:pos="4320"/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0"/>
          <w:tab w:val="left" w:pos="4860"/>
          <w:tab w:val="left" w:pos="6480"/>
        </w:tabs>
        <w:ind w:left="6480" w:hanging="360"/>
      </w:pPr>
      <w:rPr>
        <w:rFonts w:hint="default" w:ascii="Times New Roman" w:hAnsi="Times New Roman" w:cs="Times New Roman"/>
      </w:rPr>
    </w:lvl>
  </w:abstractNum>
  <w:abstractNum w:abstractNumId="1">
    <w:nsid w:val="46306626"/>
    <w:multiLevelType w:val="multilevel"/>
    <w:tmpl w:val="4630662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>
    <w:nsid w:val="48B92170"/>
    <w:multiLevelType w:val="multilevel"/>
    <w:tmpl w:val="48B92170"/>
    <w:lvl w:ilvl="0" w:tentative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6C70C2"/>
    <w:multiLevelType w:val="multilevel"/>
    <w:tmpl w:val="586C70C2"/>
    <w:lvl w:ilvl="0" w:tentative="0">
      <w:start w:val="1"/>
      <w:numFmt w:val="decimal"/>
      <w:lvlText w:val="%1."/>
      <w:lvlJc w:val="left"/>
      <w:pPr>
        <w:tabs>
          <w:tab w:val="left" w:pos="0"/>
          <w:tab w:val="left" w:pos="540"/>
          <w:tab w:val="left" w:pos="720"/>
        </w:tabs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0"/>
          <w:tab w:val="left" w:pos="1080"/>
          <w:tab w:val="left" w:pos="1440"/>
        </w:tabs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0"/>
          <w:tab w:val="left" w:pos="1620"/>
          <w:tab w:val="left" w:pos="2160"/>
        </w:tabs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  <w:tab w:val="left" w:pos="2160"/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0"/>
          <w:tab w:val="left" w:pos="2700"/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0"/>
          <w:tab w:val="left" w:pos="3240"/>
          <w:tab w:val="left" w:pos="4320"/>
        </w:tabs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  <w:tab w:val="left" w:pos="3780"/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0"/>
          <w:tab w:val="left" w:pos="4320"/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0"/>
          <w:tab w:val="left" w:pos="4860"/>
          <w:tab w:val="left" w:pos="6480"/>
        </w:tabs>
        <w:ind w:left="6480" w:hanging="360"/>
      </w:pPr>
      <w:rPr>
        <w:rFonts w:hint="default" w:ascii="Times New Roman" w:hAnsi="Times New Roman" w:cs="Times New Roman"/>
      </w:r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E87"/>
    <w:rsid w:val="00000B88"/>
    <w:rsid w:val="00003F57"/>
    <w:rsid w:val="000065ED"/>
    <w:rsid w:val="000067E2"/>
    <w:rsid w:val="00012739"/>
    <w:rsid w:val="00013226"/>
    <w:rsid w:val="0002132A"/>
    <w:rsid w:val="000341E7"/>
    <w:rsid w:val="000378BF"/>
    <w:rsid w:val="00041F02"/>
    <w:rsid w:val="00045350"/>
    <w:rsid w:val="00046D09"/>
    <w:rsid w:val="00052AA3"/>
    <w:rsid w:val="00055A02"/>
    <w:rsid w:val="00057EA5"/>
    <w:rsid w:val="000631AE"/>
    <w:rsid w:val="00063417"/>
    <w:rsid w:val="00065372"/>
    <w:rsid w:val="0006580E"/>
    <w:rsid w:val="0006758D"/>
    <w:rsid w:val="00072BCD"/>
    <w:rsid w:val="00072F65"/>
    <w:rsid w:val="00083069"/>
    <w:rsid w:val="000866EF"/>
    <w:rsid w:val="000875E3"/>
    <w:rsid w:val="00087AA1"/>
    <w:rsid w:val="000955AD"/>
    <w:rsid w:val="000A368B"/>
    <w:rsid w:val="000A7169"/>
    <w:rsid w:val="000A7389"/>
    <w:rsid w:val="000B5E0F"/>
    <w:rsid w:val="000B6A52"/>
    <w:rsid w:val="000D1A50"/>
    <w:rsid w:val="000D438C"/>
    <w:rsid w:val="000D5A4E"/>
    <w:rsid w:val="000E2C1F"/>
    <w:rsid w:val="000E3386"/>
    <w:rsid w:val="000E4C52"/>
    <w:rsid w:val="000F1F7D"/>
    <w:rsid w:val="000F51DC"/>
    <w:rsid w:val="00101584"/>
    <w:rsid w:val="00104412"/>
    <w:rsid w:val="00106148"/>
    <w:rsid w:val="001076D1"/>
    <w:rsid w:val="00107DDE"/>
    <w:rsid w:val="00116201"/>
    <w:rsid w:val="00120553"/>
    <w:rsid w:val="00121412"/>
    <w:rsid w:val="001257D3"/>
    <w:rsid w:val="001261D5"/>
    <w:rsid w:val="00126B5A"/>
    <w:rsid w:val="00127B8A"/>
    <w:rsid w:val="00133875"/>
    <w:rsid w:val="00136016"/>
    <w:rsid w:val="00140543"/>
    <w:rsid w:val="00146D4E"/>
    <w:rsid w:val="0016061E"/>
    <w:rsid w:val="001716B7"/>
    <w:rsid w:val="00171DC7"/>
    <w:rsid w:val="00173CDE"/>
    <w:rsid w:val="0017437D"/>
    <w:rsid w:val="00176B00"/>
    <w:rsid w:val="001812A4"/>
    <w:rsid w:val="001819CE"/>
    <w:rsid w:val="00182E94"/>
    <w:rsid w:val="001846C4"/>
    <w:rsid w:val="001909FA"/>
    <w:rsid w:val="00191497"/>
    <w:rsid w:val="00193CA3"/>
    <w:rsid w:val="001941A4"/>
    <w:rsid w:val="00197C5A"/>
    <w:rsid w:val="001A05BE"/>
    <w:rsid w:val="001B12D5"/>
    <w:rsid w:val="001C0D2B"/>
    <w:rsid w:val="001C1FAA"/>
    <w:rsid w:val="001C5602"/>
    <w:rsid w:val="001C61BE"/>
    <w:rsid w:val="001D1B57"/>
    <w:rsid w:val="001D34D2"/>
    <w:rsid w:val="001D353A"/>
    <w:rsid w:val="001E2612"/>
    <w:rsid w:val="001E302D"/>
    <w:rsid w:val="001E76AE"/>
    <w:rsid w:val="001F2912"/>
    <w:rsid w:val="001F3912"/>
    <w:rsid w:val="001F55A9"/>
    <w:rsid w:val="00200162"/>
    <w:rsid w:val="0020778A"/>
    <w:rsid w:val="00216016"/>
    <w:rsid w:val="00216BB2"/>
    <w:rsid w:val="002217E3"/>
    <w:rsid w:val="00224F28"/>
    <w:rsid w:val="002260A0"/>
    <w:rsid w:val="00233395"/>
    <w:rsid w:val="002350E1"/>
    <w:rsid w:val="002358E0"/>
    <w:rsid w:val="00235D5F"/>
    <w:rsid w:val="00243826"/>
    <w:rsid w:val="00246C69"/>
    <w:rsid w:val="00251035"/>
    <w:rsid w:val="00251361"/>
    <w:rsid w:val="00251398"/>
    <w:rsid w:val="002609A1"/>
    <w:rsid w:val="00286C1E"/>
    <w:rsid w:val="002911E1"/>
    <w:rsid w:val="00291291"/>
    <w:rsid w:val="00294935"/>
    <w:rsid w:val="002A77E0"/>
    <w:rsid w:val="002A7BBD"/>
    <w:rsid w:val="002B3E16"/>
    <w:rsid w:val="002B41CB"/>
    <w:rsid w:val="002C00E5"/>
    <w:rsid w:val="002C23B7"/>
    <w:rsid w:val="002C338C"/>
    <w:rsid w:val="002C3C39"/>
    <w:rsid w:val="002C7856"/>
    <w:rsid w:val="002D4A7E"/>
    <w:rsid w:val="002D5531"/>
    <w:rsid w:val="002E0BB3"/>
    <w:rsid w:val="002E111F"/>
    <w:rsid w:val="002E1385"/>
    <w:rsid w:val="002E394A"/>
    <w:rsid w:val="002E3A94"/>
    <w:rsid w:val="002F2030"/>
    <w:rsid w:val="002F32A9"/>
    <w:rsid w:val="002F3CDE"/>
    <w:rsid w:val="002F5F85"/>
    <w:rsid w:val="002F7EE8"/>
    <w:rsid w:val="00303D5F"/>
    <w:rsid w:val="00304FAE"/>
    <w:rsid w:val="0031268B"/>
    <w:rsid w:val="00320319"/>
    <w:rsid w:val="0032076C"/>
    <w:rsid w:val="00320F16"/>
    <w:rsid w:val="00322D65"/>
    <w:rsid w:val="00324BEE"/>
    <w:rsid w:val="00334BCC"/>
    <w:rsid w:val="00335254"/>
    <w:rsid w:val="00337644"/>
    <w:rsid w:val="00337FCC"/>
    <w:rsid w:val="00340A66"/>
    <w:rsid w:val="003417DC"/>
    <w:rsid w:val="00344D23"/>
    <w:rsid w:val="0034634F"/>
    <w:rsid w:val="0034768F"/>
    <w:rsid w:val="00352722"/>
    <w:rsid w:val="00354BF9"/>
    <w:rsid w:val="00355714"/>
    <w:rsid w:val="00360096"/>
    <w:rsid w:val="00360F2B"/>
    <w:rsid w:val="00361BE4"/>
    <w:rsid w:val="0036647D"/>
    <w:rsid w:val="00366B82"/>
    <w:rsid w:val="003702B3"/>
    <w:rsid w:val="00390615"/>
    <w:rsid w:val="00391607"/>
    <w:rsid w:val="00396F01"/>
    <w:rsid w:val="003971E6"/>
    <w:rsid w:val="003A19B0"/>
    <w:rsid w:val="003A4626"/>
    <w:rsid w:val="003A482D"/>
    <w:rsid w:val="003A4C07"/>
    <w:rsid w:val="003A55DD"/>
    <w:rsid w:val="003A5D8A"/>
    <w:rsid w:val="003B0A8A"/>
    <w:rsid w:val="003B2481"/>
    <w:rsid w:val="003B47A8"/>
    <w:rsid w:val="003B4DCF"/>
    <w:rsid w:val="003B5118"/>
    <w:rsid w:val="003B7697"/>
    <w:rsid w:val="003C07AE"/>
    <w:rsid w:val="003C195F"/>
    <w:rsid w:val="003C1E0B"/>
    <w:rsid w:val="003C28F4"/>
    <w:rsid w:val="003C34E6"/>
    <w:rsid w:val="003C526F"/>
    <w:rsid w:val="003C707A"/>
    <w:rsid w:val="003D073F"/>
    <w:rsid w:val="003D149D"/>
    <w:rsid w:val="003D6EBD"/>
    <w:rsid w:val="003F2976"/>
    <w:rsid w:val="003F2AC6"/>
    <w:rsid w:val="003F3563"/>
    <w:rsid w:val="003F37EB"/>
    <w:rsid w:val="003F7689"/>
    <w:rsid w:val="004008D8"/>
    <w:rsid w:val="00403E9C"/>
    <w:rsid w:val="00410459"/>
    <w:rsid w:val="00410F5B"/>
    <w:rsid w:val="00415E63"/>
    <w:rsid w:val="004200A0"/>
    <w:rsid w:val="0042267F"/>
    <w:rsid w:val="004253DD"/>
    <w:rsid w:val="00431029"/>
    <w:rsid w:val="0043221C"/>
    <w:rsid w:val="004327B9"/>
    <w:rsid w:val="00436474"/>
    <w:rsid w:val="00437CE0"/>
    <w:rsid w:val="004403AD"/>
    <w:rsid w:val="004411BA"/>
    <w:rsid w:val="00441E91"/>
    <w:rsid w:val="00443921"/>
    <w:rsid w:val="00443966"/>
    <w:rsid w:val="0044536F"/>
    <w:rsid w:val="00450163"/>
    <w:rsid w:val="0045159D"/>
    <w:rsid w:val="00453D01"/>
    <w:rsid w:val="0045406D"/>
    <w:rsid w:val="004545EA"/>
    <w:rsid w:val="00456345"/>
    <w:rsid w:val="00461D81"/>
    <w:rsid w:val="00463A27"/>
    <w:rsid w:val="00464EA0"/>
    <w:rsid w:val="004661C2"/>
    <w:rsid w:val="00471275"/>
    <w:rsid w:val="00477F64"/>
    <w:rsid w:val="00480D57"/>
    <w:rsid w:val="0048193C"/>
    <w:rsid w:val="00485813"/>
    <w:rsid w:val="00485CC4"/>
    <w:rsid w:val="00486DA2"/>
    <w:rsid w:val="004931AB"/>
    <w:rsid w:val="00497D67"/>
    <w:rsid w:val="004A16A4"/>
    <w:rsid w:val="004A39EB"/>
    <w:rsid w:val="004C1321"/>
    <w:rsid w:val="004C299A"/>
    <w:rsid w:val="004C5D9C"/>
    <w:rsid w:val="004C5F53"/>
    <w:rsid w:val="004D1487"/>
    <w:rsid w:val="004D160A"/>
    <w:rsid w:val="004D4844"/>
    <w:rsid w:val="004D5F79"/>
    <w:rsid w:val="004D6558"/>
    <w:rsid w:val="004D7246"/>
    <w:rsid w:val="004D7E5A"/>
    <w:rsid w:val="004E000B"/>
    <w:rsid w:val="004E10E2"/>
    <w:rsid w:val="004E15F0"/>
    <w:rsid w:val="004E18AD"/>
    <w:rsid w:val="004E774E"/>
    <w:rsid w:val="004F0569"/>
    <w:rsid w:val="004F3F9D"/>
    <w:rsid w:val="004F448F"/>
    <w:rsid w:val="004F4A6B"/>
    <w:rsid w:val="00500DB9"/>
    <w:rsid w:val="00503884"/>
    <w:rsid w:val="005045BB"/>
    <w:rsid w:val="00505144"/>
    <w:rsid w:val="00510C20"/>
    <w:rsid w:val="00512B79"/>
    <w:rsid w:val="005152A9"/>
    <w:rsid w:val="00515FF2"/>
    <w:rsid w:val="005165D8"/>
    <w:rsid w:val="0052024A"/>
    <w:rsid w:val="00520B91"/>
    <w:rsid w:val="005228BA"/>
    <w:rsid w:val="00525141"/>
    <w:rsid w:val="005468BD"/>
    <w:rsid w:val="00550A67"/>
    <w:rsid w:val="00552470"/>
    <w:rsid w:val="00555AD8"/>
    <w:rsid w:val="0055652C"/>
    <w:rsid w:val="00557D65"/>
    <w:rsid w:val="00565D15"/>
    <w:rsid w:val="0056778C"/>
    <w:rsid w:val="00570E99"/>
    <w:rsid w:val="0057363F"/>
    <w:rsid w:val="00577E60"/>
    <w:rsid w:val="00580A72"/>
    <w:rsid w:val="005825CC"/>
    <w:rsid w:val="00582E08"/>
    <w:rsid w:val="00583A35"/>
    <w:rsid w:val="00584A7A"/>
    <w:rsid w:val="0059066D"/>
    <w:rsid w:val="00593353"/>
    <w:rsid w:val="005938EA"/>
    <w:rsid w:val="005966A1"/>
    <w:rsid w:val="0059690E"/>
    <w:rsid w:val="005A206D"/>
    <w:rsid w:val="005A342D"/>
    <w:rsid w:val="005A6583"/>
    <w:rsid w:val="005A68FB"/>
    <w:rsid w:val="005B7A0C"/>
    <w:rsid w:val="005C1EA7"/>
    <w:rsid w:val="005C2CE4"/>
    <w:rsid w:val="005C34D1"/>
    <w:rsid w:val="005C3E09"/>
    <w:rsid w:val="005C7F3B"/>
    <w:rsid w:val="005D01DD"/>
    <w:rsid w:val="005D0DAC"/>
    <w:rsid w:val="005D590B"/>
    <w:rsid w:val="005E1CA8"/>
    <w:rsid w:val="005E3A5A"/>
    <w:rsid w:val="005F50D7"/>
    <w:rsid w:val="005F51A0"/>
    <w:rsid w:val="005F7295"/>
    <w:rsid w:val="005F75E4"/>
    <w:rsid w:val="005F7661"/>
    <w:rsid w:val="0060464E"/>
    <w:rsid w:val="00605234"/>
    <w:rsid w:val="00606C69"/>
    <w:rsid w:val="00612A22"/>
    <w:rsid w:val="00620257"/>
    <w:rsid w:val="006241E9"/>
    <w:rsid w:val="00633773"/>
    <w:rsid w:val="00636E1D"/>
    <w:rsid w:val="0064664E"/>
    <w:rsid w:val="00655C9B"/>
    <w:rsid w:val="00657934"/>
    <w:rsid w:val="00662252"/>
    <w:rsid w:val="0066373A"/>
    <w:rsid w:val="006716DC"/>
    <w:rsid w:val="00673EE5"/>
    <w:rsid w:val="006740AF"/>
    <w:rsid w:val="0067455D"/>
    <w:rsid w:val="006747D9"/>
    <w:rsid w:val="00674D03"/>
    <w:rsid w:val="006750D6"/>
    <w:rsid w:val="0068723F"/>
    <w:rsid w:val="00697A71"/>
    <w:rsid w:val="006A0553"/>
    <w:rsid w:val="006A20E4"/>
    <w:rsid w:val="006A5EE0"/>
    <w:rsid w:val="006A7109"/>
    <w:rsid w:val="006B11DB"/>
    <w:rsid w:val="006B2BB8"/>
    <w:rsid w:val="006C06A7"/>
    <w:rsid w:val="006C5405"/>
    <w:rsid w:val="006D1CF8"/>
    <w:rsid w:val="006E14E5"/>
    <w:rsid w:val="0070108D"/>
    <w:rsid w:val="00701DAF"/>
    <w:rsid w:val="007022AF"/>
    <w:rsid w:val="00702673"/>
    <w:rsid w:val="0070404E"/>
    <w:rsid w:val="00704568"/>
    <w:rsid w:val="00706191"/>
    <w:rsid w:val="00710BEA"/>
    <w:rsid w:val="00716A15"/>
    <w:rsid w:val="00727D16"/>
    <w:rsid w:val="00733EA1"/>
    <w:rsid w:val="0074189C"/>
    <w:rsid w:val="007542C6"/>
    <w:rsid w:val="00757E6C"/>
    <w:rsid w:val="00766551"/>
    <w:rsid w:val="00766C24"/>
    <w:rsid w:val="00767830"/>
    <w:rsid w:val="00767EBD"/>
    <w:rsid w:val="00775D91"/>
    <w:rsid w:val="007922D8"/>
    <w:rsid w:val="007965E8"/>
    <w:rsid w:val="007A00CF"/>
    <w:rsid w:val="007A1CDE"/>
    <w:rsid w:val="007A1FAE"/>
    <w:rsid w:val="007A3037"/>
    <w:rsid w:val="007A4447"/>
    <w:rsid w:val="007A4B4B"/>
    <w:rsid w:val="007A6718"/>
    <w:rsid w:val="007B0521"/>
    <w:rsid w:val="007B08B3"/>
    <w:rsid w:val="007B0CF0"/>
    <w:rsid w:val="007B21A5"/>
    <w:rsid w:val="007B55D5"/>
    <w:rsid w:val="007C3911"/>
    <w:rsid w:val="007E1B6D"/>
    <w:rsid w:val="007E3F2D"/>
    <w:rsid w:val="007E7B8E"/>
    <w:rsid w:val="007F23FB"/>
    <w:rsid w:val="007F5903"/>
    <w:rsid w:val="007F68B0"/>
    <w:rsid w:val="007F735D"/>
    <w:rsid w:val="007F7649"/>
    <w:rsid w:val="007F785D"/>
    <w:rsid w:val="007F7F4A"/>
    <w:rsid w:val="00800BB8"/>
    <w:rsid w:val="00812A8D"/>
    <w:rsid w:val="00813B1D"/>
    <w:rsid w:val="008169AA"/>
    <w:rsid w:val="00822E32"/>
    <w:rsid w:val="008301F1"/>
    <w:rsid w:val="00830E2A"/>
    <w:rsid w:val="0083532A"/>
    <w:rsid w:val="00842470"/>
    <w:rsid w:val="008436A1"/>
    <w:rsid w:val="00843B4E"/>
    <w:rsid w:val="0084527B"/>
    <w:rsid w:val="0085744F"/>
    <w:rsid w:val="0085767A"/>
    <w:rsid w:val="00861977"/>
    <w:rsid w:val="008730ED"/>
    <w:rsid w:val="00875C35"/>
    <w:rsid w:val="00880C4C"/>
    <w:rsid w:val="0088289C"/>
    <w:rsid w:val="008906E2"/>
    <w:rsid w:val="00896C7A"/>
    <w:rsid w:val="00897425"/>
    <w:rsid w:val="008A065B"/>
    <w:rsid w:val="008A1447"/>
    <w:rsid w:val="008A3593"/>
    <w:rsid w:val="008A57FD"/>
    <w:rsid w:val="008B6B1C"/>
    <w:rsid w:val="008C057F"/>
    <w:rsid w:val="008C1DA8"/>
    <w:rsid w:val="008C2DD1"/>
    <w:rsid w:val="008D0895"/>
    <w:rsid w:val="008D1A69"/>
    <w:rsid w:val="008D3510"/>
    <w:rsid w:val="008D4D5B"/>
    <w:rsid w:val="008E2F41"/>
    <w:rsid w:val="008F03BF"/>
    <w:rsid w:val="008F0621"/>
    <w:rsid w:val="008F20FB"/>
    <w:rsid w:val="008F4C97"/>
    <w:rsid w:val="008F58C8"/>
    <w:rsid w:val="008F61BE"/>
    <w:rsid w:val="008F6CC7"/>
    <w:rsid w:val="008F7C1D"/>
    <w:rsid w:val="009005AF"/>
    <w:rsid w:val="00900FF9"/>
    <w:rsid w:val="00905328"/>
    <w:rsid w:val="00907872"/>
    <w:rsid w:val="00912063"/>
    <w:rsid w:val="00912346"/>
    <w:rsid w:val="00922266"/>
    <w:rsid w:val="009228B6"/>
    <w:rsid w:val="00933B53"/>
    <w:rsid w:val="009411A2"/>
    <w:rsid w:val="009433B3"/>
    <w:rsid w:val="0094676C"/>
    <w:rsid w:val="0095661D"/>
    <w:rsid w:val="0096052A"/>
    <w:rsid w:val="00960E07"/>
    <w:rsid w:val="00961E5F"/>
    <w:rsid w:val="009624AC"/>
    <w:rsid w:val="00973D90"/>
    <w:rsid w:val="00981742"/>
    <w:rsid w:val="00985B44"/>
    <w:rsid w:val="00986113"/>
    <w:rsid w:val="00986697"/>
    <w:rsid w:val="0098692D"/>
    <w:rsid w:val="00987CF3"/>
    <w:rsid w:val="009902AD"/>
    <w:rsid w:val="00991639"/>
    <w:rsid w:val="00991AA7"/>
    <w:rsid w:val="009932CF"/>
    <w:rsid w:val="00993BCD"/>
    <w:rsid w:val="009A20D7"/>
    <w:rsid w:val="009A238C"/>
    <w:rsid w:val="009A3F6B"/>
    <w:rsid w:val="009A4583"/>
    <w:rsid w:val="009B0D33"/>
    <w:rsid w:val="009B11F9"/>
    <w:rsid w:val="009B2DD7"/>
    <w:rsid w:val="009B37C6"/>
    <w:rsid w:val="009B455C"/>
    <w:rsid w:val="009B63AB"/>
    <w:rsid w:val="009B65F0"/>
    <w:rsid w:val="009C0A02"/>
    <w:rsid w:val="009C7049"/>
    <w:rsid w:val="009D0682"/>
    <w:rsid w:val="009D2A96"/>
    <w:rsid w:val="009D419A"/>
    <w:rsid w:val="009D537F"/>
    <w:rsid w:val="009D6F15"/>
    <w:rsid w:val="009D727A"/>
    <w:rsid w:val="009E684C"/>
    <w:rsid w:val="009F106C"/>
    <w:rsid w:val="009F42A7"/>
    <w:rsid w:val="00A02AB9"/>
    <w:rsid w:val="00A03C02"/>
    <w:rsid w:val="00A0453A"/>
    <w:rsid w:val="00A054D7"/>
    <w:rsid w:val="00A1051F"/>
    <w:rsid w:val="00A11FC6"/>
    <w:rsid w:val="00A13644"/>
    <w:rsid w:val="00A1471E"/>
    <w:rsid w:val="00A15E19"/>
    <w:rsid w:val="00A212AA"/>
    <w:rsid w:val="00A21CC0"/>
    <w:rsid w:val="00A23141"/>
    <w:rsid w:val="00A239B8"/>
    <w:rsid w:val="00A33EB6"/>
    <w:rsid w:val="00A34E22"/>
    <w:rsid w:val="00A35394"/>
    <w:rsid w:val="00A36530"/>
    <w:rsid w:val="00A4294C"/>
    <w:rsid w:val="00A47EDD"/>
    <w:rsid w:val="00A51C52"/>
    <w:rsid w:val="00A630A1"/>
    <w:rsid w:val="00A635D6"/>
    <w:rsid w:val="00A666A3"/>
    <w:rsid w:val="00A70196"/>
    <w:rsid w:val="00A703FC"/>
    <w:rsid w:val="00A7065E"/>
    <w:rsid w:val="00A71A63"/>
    <w:rsid w:val="00A74AC7"/>
    <w:rsid w:val="00A7682E"/>
    <w:rsid w:val="00A806D7"/>
    <w:rsid w:val="00A85BBD"/>
    <w:rsid w:val="00A87C3D"/>
    <w:rsid w:val="00A90E8D"/>
    <w:rsid w:val="00A9471E"/>
    <w:rsid w:val="00A94B3A"/>
    <w:rsid w:val="00AA01EE"/>
    <w:rsid w:val="00AA33A8"/>
    <w:rsid w:val="00AA477A"/>
    <w:rsid w:val="00AA55C3"/>
    <w:rsid w:val="00AA6C34"/>
    <w:rsid w:val="00AA7D84"/>
    <w:rsid w:val="00AB1B64"/>
    <w:rsid w:val="00AB4368"/>
    <w:rsid w:val="00AB6220"/>
    <w:rsid w:val="00AC011C"/>
    <w:rsid w:val="00AC38C5"/>
    <w:rsid w:val="00AC411B"/>
    <w:rsid w:val="00AD05CD"/>
    <w:rsid w:val="00AD08FA"/>
    <w:rsid w:val="00AD1B4A"/>
    <w:rsid w:val="00AD42B4"/>
    <w:rsid w:val="00AE283D"/>
    <w:rsid w:val="00AE4A76"/>
    <w:rsid w:val="00AF0255"/>
    <w:rsid w:val="00AF047A"/>
    <w:rsid w:val="00AF3EBD"/>
    <w:rsid w:val="00B0217C"/>
    <w:rsid w:val="00B025F0"/>
    <w:rsid w:val="00B11C5B"/>
    <w:rsid w:val="00B2083B"/>
    <w:rsid w:val="00B21A60"/>
    <w:rsid w:val="00B30DC5"/>
    <w:rsid w:val="00B40DC5"/>
    <w:rsid w:val="00B41E80"/>
    <w:rsid w:val="00B45628"/>
    <w:rsid w:val="00B56797"/>
    <w:rsid w:val="00B57140"/>
    <w:rsid w:val="00B64CC5"/>
    <w:rsid w:val="00B679D2"/>
    <w:rsid w:val="00B72118"/>
    <w:rsid w:val="00B73EAA"/>
    <w:rsid w:val="00B76AB9"/>
    <w:rsid w:val="00B8176F"/>
    <w:rsid w:val="00B865F2"/>
    <w:rsid w:val="00B90D9D"/>
    <w:rsid w:val="00B92AD0"/>
    <w:rsid w:val="00B938AE"/>
    <w:rsid w:val="00BB0466"/>
    <w:rsid w:val="00BB0FEE"/>
    <w:rsid w:val="00BB1886"/>
    <w:rsid w:val="00BB303A"/>
    <w:rsid w:val="00BB48A1"/>
    <w:rsid w:val="00BB53F0"/>
    <w:rsid w:val="00BC1561"/>
    <w:rsid w:val="00BC1CEC"/>
    <w:rsid w:val="00BC3683"/>
    <w:rsid w:val="00BD2C59"/>
    <w:rsid w:val="00BD3351"/>
    <w:rsid w:val="00BD5158"/>
    <w:rsid w:val="00BD5C1D"/>
    <w:rsid w:val="00BD739A"/>
    <w:rsid w:val="00BD7B50"/>
    <w:rsid w:val="00BE265D"/>
    <w:rsid w:val="00BE6962"/>
    <w:rsid w:val="00BF21F9"/>
    <w:rsid w:val="00BF2CAD"/>
    <w:rsid w:val="00BF400E"/>
    <w:rsid w:val="00BF44AC"/>
    <w:rsid w:val="00BF4B3E"/>
    <w:rsid w:val="00BF699F"/>
    <w:rsid w:val="00BF743A"/>
    <w:rsid w:val="00C019D8"/>
    <w:rsid w:val="00C03622"/>
    <w:rsid w:val="00C13A4A"/>
    <w:rsid w:val="00C166F1"/>
    <w:rsid w:val="00C20ECF"/>
    <w:rsid w:val="00C2251B"/>
    <w:rsid w:val="00C23808"/>
    <w:rsid w:val="00C25250"/>
    <w:rsid w:val="00C27DE0"/>
    <w:rsid w:val="00C30BF7"/>
    <w:rsid w:val="00C3514D"/>
    <w:rsid w:val="00C4548D"/>
    <w:rsid w:val="00C47290"/>
    <w:rsid w:val="00C47536"/>
    <w:rsid w:val="00C51DEE"/>
    <w:rsid w:val="00C6037E"/>
    <w:rsid w:val="00C665BC"/>
    <w:rsid w:val="00C7549F"/>
    <w:rsid w:val="00C76C04"/>
    <w:rsid w:val="00C76FC9"/>
    <w:rsid w:val="00C800A6"/>
    <w:rsid w:val="00C84EC5"/>
    <w:rsid w:val="00C852B8"/>
    <w:rsid w:val="00C90891"/>
    <w:rsid w:val="00C91461"/>
    <w:rsid w:val="00C91479"/>
    <w:rsid w:val="00C916DD"/>
    <w:rsid w:val="00C93FB6"/>
    <w:rsid w:val="00C948E3"/>
    <w:rsid w:val="00CA3B5A"/>
    <w:rsid w:val="00CC12DC"/>
    <w:rsid w:val="00CC40F2"/>
    <w:rsid w:val="00CD051F"/>
    <w:rsid w:val="00CD15C1"/>
    <w:rsid w:val="00CD318A"/>
    <w:rsid w:val="00CE2257"/>
    <w:rsid w:val="00CE22D7"/>
    <w:rsid w:val="00CE5DDA"/>
    <w:rsid w:val="00CE6AEC"/>
    <w:rsid w:val="00CF0380"/>
    <w:rsid w:val="00D060BB"/>
    <w:rsid w:val="00D0767A"/>
    <w:rsid w:val="00D10BE3"/>
    <w:rsid w:val="00D16472"/>
    <w:rsid w:val="00D17B59"/>
    <w:rsid w:val="00D20B02"/>
    <w:rsid w:val="00D218E1"/>
    <w:rsid w:val="00D24F00"/>
    <w:rsid w:val="00D25374"/>
    <w:rsid w:val="00D26808"/>
    <w:rsid w:val="00D34623"/>
    <w:rsid w:val="00D4321B"/>
    <w:rsid w:val="00D43C08"/>
    <w:rsid w:val="00D50B5B"/>
    <w:rsid w:val="00D51F1E"/>
    <w:rsid w:val="00D55275"/>
    <w:rsid w:val="00D57D15"/>
    <w:rsid w:val="00D57E6C"/>
    <w:rsid w:val="00D64D6B"/>
    <w:rsid w:val="00D66FA4"/>
    <w:rsid w:val="00D67E3C"/>
    <w:rsid w:val="00D71564"/>
    <w:rsid w:val="00D7183D"/>
    <w:rsid w:val="00D75A08"/>
    <w:rsid w:val="00D80B4F"/>
    <w:rsid w:val="00D86C26"/>
    <w:rsid w:val="00D87F81"/>
    <w:rsid w:val="00D9062B"/>
    <w:rsid w:val="00D906C3"/>
    <w:rsid w:val="00D965C2"/>
    <w:rsid w:val="00D97FC0"/>
    <w:rsid w:val="00DA07B3"/>
    <w:rsid w:val="00DA46E3"/>
    <w:rsid w:val="00DA6423"/>
    <w:rsid w:val="00DA7F8C"/>
    <w:rsid w:val="00DB4759"/>
    <w:rsid w:val="00DB4F9D"/>
    <w:rsid w:val="00DB61CF"/>
    <w:rsid w:val="00DB7B2B"/>
    <w:rsid w:val="00DC0D0A"/>
    <w:rsid w:val="00DC1353"/>
    <w:rsid w:val="00DC2BC2"/>
    <w:rsid w:val="00DD351F"/>
    <w:rsid w:val="00DD3ED4"/>
    <w:rsid w:val="00DD4576"/>
    <w:rsid w:val="00DE2CA5"/>
    <w:rsid w:val="00DE420E"/>
    <w:rsid w:val="00DE52EB"/>
    <w:rsid w:val="00DE7327"/>
    <w:rsid w:val="00DE75A2"/>
    <w:rsid w:val="00DF3572"/>
    <w:rsid w:val="00E0079E"/>
    <w:rsid w:val="00E07547"/>
    <w:rsid w:val="00E10ABC"/>
    <w:rsid w:val="00E15746"/>
    <w:rsid w:val="00E17B12"/>
    <w:rsid w:val="00E20D6E"/>
    <w:rsid w:val="00E23F02"/>
    <w:rsid w:val="00E2716A"/>
    <w:rsid w:val="00E313B0"/>
    <w:rsid w:val="00E3743A"/>
    <w:rsid w:val="00E40786"/>
    <w:rsid w:val="00E415A0"/>
    <w:rsid w:val="00E46235"/>
    <w:rsid w:val="00E52919"/>
    <w:rsid w:val="00E54894"/>
    <w:rsid w:val="00E54C84"/>
    <w:rsid w:val="00E60085"/>
    <w:rsid w:val="00E621A5"/>
    <w:rsid w:val="00E66640"/>
    <w:rsid w:val="00E70160"/>
    <w:rsid w:val="00E70B8E"/>
    <w:rsid w:val="00E76FAA"/>
    <w:rsid w:val="00E77F1E"/>
    <w:rsid w:val="00E81DA1"/>
    <w:rsid w:val="00E81FD9"/>
    <w:rsid w:val="00E834A5"/>
    <w:rsid w:val="00E91C20"/>
    <w:rsid w:val="00E93DDA"/>
    <w:rsid w:val="00E94829"/>
    <w:rsid w:val="00EA0E78"/>
    <w:rsid w:val="00EA0EF1"/>
    <w:rsid w:val="00EA48FC"/>
    <w:rsid w:val="00EA6462"/>
    <w:rsid w:val="00EA6DB9"/>
    <w:rsid w:val="00EB3475"/>
    <w:rsid w:val="00EC0BCC"/>
    <w:rsid w:val="00EC1612"/>
    <w:rsid w:val="00EC37BE"/>
    <w:rsid w:val="00EC569E"/>
    <w:rsid w:val="00EC5CC2"/>
    <w:rsid w:val="00ED0068"/>
    <w:rsid w:val="00ED3E87"/>
    <w:rsid w:val="00ED47FB"/>
    <w:rsid w:val="00EE0BBF"/>
    <w:rsid w:val="00EE40B9"/>
    <w:rsid w:val="00EF2494"/>
    <w:rsid w:val="00EF7768"/>
    <w:rsid w:val="00F009B1"/>
    <w:rsid w:val="00F04D5C"/>
    <w:rsid w:val="00F0645E"/>
    <w:rsid w:val="00F10A5F"/>
    <w:rsid w:val="00F11C3E"/>
    <w:rsid w:val="00F1259C"/>
    <w:rsid w:val="00F23C0D"/>
    <w:rsid w:val="00F256F1"/>
    <w:rsid w:val="00F26E1C"/>
    <w:rsid w:val="00F30B23"/>
    <w:rsid w:val="00F30D5D"/>
    <w:rsid w:val="00F37719"/>
    <w:rsid w:val="00F4058B"/>
    <w:rsid w:val="00F4179F"/>
    <w:rsid w:val="00F41A32"/>
    <w:rsid w:val="00F466B6"/>
    <w:rsid w:val="00F5483A"/>
    <w:rsid w:val="00F5538D"/>
    <w:rsid w:val="00F64D7A"/>
    <w:rsid w:val="00F670EA"/>
    <w:rsid w:val="00F6752E"/>
    <w:rsid w:val="00F92B86"/>
    <w:rsid w:val="00FA493B"/>
    <w:rsid w:val="00FA59BC"/>
    <w:rsid w:val="00FB1825"/>
    <w:rsid w:val="00FB2BCA"/>
    <w:rsid w:val="00FC11D6"/>
    <w:rsid w:val="00FC28B9"/>
    <w:rsid w:val="00FC394B"/>
    <w:rsid w:val="00FC538E"/>
    <w:rsid w:val="00FD32ED"/>
    <w:rsid w:val="00FD3733"/>
    <w:rsid w:val="00FD4EC7"/>
    <w:rsid w:val="00FD7A5C"/>
    <w:rsid w:val="00FE0350"/>
    <w:rsid w:val="00FE0ECB"/>
    <w:rsid w:val="00FE214F"/>
    <w:rsid w:val="00FE44BA"/>
    <w:rsid w:val="00FF11A9"/>
    <w:rsid w:val="00FF26C6"/>
    <w:rsid w:val="00FF2A43"/>
    <w:rsid w:val="00FF3419"/>
    <w:rsid w:val="00FF5C5C"/>
    <w:rsid w:val="07B22F91"/>
    <w:rsid w:val="13CE7C74"/>
    <w:rsid w:val="1EA16481"/>
    <w:rsid w:val="201715B2"/>
    <w:rsid w:val="22803FAB"/>
    <w:rsid w:val="290676DC"/>
    <w:rsid w:val="31B859A2"/>
    <w:rsid w:val="32483F8C"/>
    <w:rsid w:val="3AD80059"/>
    <w:rsid w:val="40C72668"/>
    <w:rsid w:val="418F5EB4"/>
    <w:rsid w:val="5568267C"/>
    <w:rsid w:val="5B2B2263"/>
    <w:rsid w:val="6D83004E"/>
    <w:rsid w:val="73EC3300"/>
    <w:rsid w:val="76B61BC3"/>
    <w:rsid w:val="785E4509"/>
    <w:rsid w:val="7CFE329D"/>
    <w:rsid w:val="7FF1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39" w:semiHidden="0" w:name="Table Grid" w:locked="1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3"/>
    <w:basedOn w:val="1"/>
    <w:link w:val="16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3">
    <w:name w:val="heading 4"/>
    <w:basedOn w:val="1"/>
    <w:next w:val="1"/>
    <w:link w:val="44"/>
    <w:semiHidden/>
    <w:unhideWhenUsed/>
    <w:qFormat/>
    <w:locked/>
    <w:uiPriority w:val="0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qFormat/>
    <w:uiPriority w:val="0"/>
    <w:rPr>
      <w:color w:val="0563C1"/>
      <w:u w:val="single"/>
    </w:rPr>
  </w:style>
  <w:style w:type="paragraph" w:styleId="7">
    <w:name w:val="Balloon Text"/>
    <w:basedOn w:val="1"/>
    <w:link w:val="19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 2"/>
    <w:basedOn w:val="1"/>
    <w:link w:val="43"/>
    <w:semiHidden/>
    <w:unhideWhenUsed/>
    <w:qFormat/>
    <w:uiPriority w:val="99"/>
    <w:pPr>
      <w:spacing w:after="120" w:line="480" w:lineRule="auto"/>
    </w:pPr>
  </w:style>
  <w:style w:type="paragraph" w:styleId="9">
    <w:name w:val="header"/>
    <w:basedOn w:val="1"/>
    <w:link w:val="4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Body Text"/>
    <w:basedOn w:val="1"/>
    <w:link w:val="45"/>
    <w:semiHidden/>
    <w:unhideWhenUsed/>
    <w:qFormat/>
    <w:uiPriority w:val="99"/>
    <w:pPr>
      <w:spacing w:after="120"/>
    </w:pPr>
  </w:style>
  <w:style w:type="paragraph" w:styleId="11">
    <w:name w:val="Body Text Indent"/>
    <w:basedOn w:val="1"/>
    <w:link w:val="20"/>
    <w:qFormat/>
    <w:uiPriority w:val="0"/>
    <w:pPr>
      <w:spacing w:after="0" w:line="240" w:lineRule="auto"/>
      <w:ind w:firstLine="720"/>
    </w:pPr>
    <w:rPr>
      <w:rFonts w:ascii="Arial" w:hAnsi="Arial"/>
      <w:sz w:val="20"/>
      <w:szCs w:val="20"/>
    </w:rPr>
  </w:style>
  <w:style w:type="paragraph" w:styleId="12">
    <w:name w:val="footer"/>
    <w:basedOn w:val="1"/>
    <w:link w:val="4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Normal (Web)"/>
    <w:basedOn w:val="1"/>
    <w:link w:val="46"/>
    <w:unhideWhenUsed/>
    <w:qFormat/>
    <w:uiPriority w:val="99"/>
    <w:pPr>
      <w:spacing w:before="100" w:after="100" w:line="240" w:lineRule="auto"/>
    </w:pPr>
    <w:rPr>
      <w:rFonts w:ascii="Times New Roman" w:hAnsi="Times New Roman"/>
      <w:sz w:val="24"/>
      <w:szCs w:val="20"/>
    </w:rPr>
  </w:style>
  <w:style w:type="paragraph" w:styleId="14">
    <w:name w:val="Block Text"/>
    <w:basedOn w:val="1"/>
    <w:qFormat/>
    <w:uiPriority w:val="0"/>
    <w:pPr>
      <w:spacing w:after="0" w:line="240" w:lineRule="auto"/>
      <w:ind w:left="-284" w:right="-432"/>
      <w:jc w:val="both"/>
    </w:pPr>
    <w:rPr>
      <w:rFonts w:ascii="Arial" w:hAnsi="Arial" w:cs="Arial"/>
      <w:sz w:val="24"/>
      <w:szCs w:val="24"/>
    </w:rPr>
  </w:style>
  <w:style w:type="table" w:styleId="15">
    <w:name w:val="Table Grid"/>
    <w:basedOn w:val="5"/>
    <w:qFormat/>
    <w:locked/>
    <w:uiPriority w:val="39"/>
    <w:rPr>
      <w:rFonts w:eastAsiaTheme="minorHAnsi"/>
      <w:color w:val="FFFFFF" w:themeColor="background1"/>
      <w:sz w:val="24"/>
      <w:szCs w:val="24"/>
      <w:lang w:eastAsia="en-US"/>
      <w14:textFill>
        <w14:solidFill>
          <w14:schemeClr w14:val="bg1"/>
        </w14:solidFill>
      </w14:textFill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Заголовок 3 Знак"/>
    <w:basedOn w:val="4"/>
    <w:link w:val="2"/>
    <w:qFormat/>
    <w:locked/>
    <w:uiPriority w:val="9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17">
    <w:name w:val="ConsPlusNonforma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18">
    <w:name w:val="ConsPlusCell"/>
    <w:qFormat/>
    <w:uiPriority w:val="99"/>
    <w:pPr>
      <w:autoSpaceDE w:val="0"/>
      <w:autoSpaceDN w:val="0"/>
      <w:adjustRightInd w:val="0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character" w:customStyle="1" w:styleId="19">
    <w:name w:val="Текст выноски Знак"/>
    <w:basedOn w:val="4"/>
    <w:link w:val="7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20">
    <w:name w:val="Основной текст с отступом Знак"/>
    <w:basedOn w:val="4"/>
    <w:link w:val="11"/>
    <w:qFormat/>
    <w:uiPriority w:val="0"/>
    <w:rPr>
      <w:rFonts w:ascii="Arial" w:hAnsi="Arial"/>
    </w:rPr>
  </w:style>
  <w:style w:type="paragraph" w:customStyle="1" w:styleId="21">
    <w:name w:val="Style1"/>
    <w:basedOn w:val="1"/>
    <w:qFormat/>
    <w:uiPriority w:val="0"/>
    <w:pPr>
      <w:widowControl w:val="0"/>
      <w:autoSpaceDE w:val="0"/>
      <w:autoSpaceDN w:val="0"/>
      <w:adjustRightInd w:val="0"/>
      <w:spacing w:after="0" w:line="298" w:lineRule="exact"/>
      <w:ind w:firstLine="576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Font Style16"/>
    <w:qFormat/>
    <w:uiPriority w:val="0"/>
    <w:rPr>
      <w:rFonts w:ascii="Times New Roman" w:hAnsi="Times New Roman" w:cs="Times New Roman"/>
      <w:sz w:val="22"/>
      <w:szCs w:val="22"/>
    </w:rPr>
  </w:style>
  <w:style w:type="paragraph" w:customStyle="1" w:styleId="23">
    <w:name w:val="Style2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24">
    <w:name w:val="Style3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25">
    <w:name w:val="Style11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26">
    <w:name w:val="Style13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27">
    <w:name w:val="Style14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28">
    <w:name w:val="Style15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29">
    <w:name w:val="Style16"/>
    <w:basedOn w:val="1"/>
    <w:qFormat/>
    <w:uiPriority w:val="99"/>
    <w:pPr>
      <w:widowControl w:val="0"/>
      <w:autoSpaceDE w:val="0"/>
      <w:autoSpaceDN w:val="0"/>
      <w:adjustRightInd w:val="0"/>
      <w:spacing w:after="0" w:line="254" w:lineRule="exact"/>
    </w:pPr>
    <w:rPr>
      <w:rFonts w:ascii="Arial" w:hAnsi="Arial" w:cs="Arial"/>
      <w:sz w:val="24"/>
      <w:szCs w:val="24"/>
    </w:rPr>
  </w:style>
  <w:style w:type="character" w:customStyle="1" w:styleId="30">
    <w:name w:val="Font Style22"/>
    <w:qFormat/>
    <w:uiPriority w:val="99"/>
    <w:rPr>
      <w:rFonts w:ascii="Arial" w:hAnsi="Arial" w:cs="Arial"/>
      <w:color w:val="000000"/>
      <w:sz w:val="16"/>
      <w:szCs w:val="16"/>
    </w:rPr>
  </w:style>
  <w:style w:type="character" w:customStyle="1" w:styleId="31">
    <w:name w:val="Font Style23"/>
    <w:qFormat/>
    <w:uiPriority w:val="99"/>
    <w:rPr>
      <w:rFonts w:ascii="Arial" w:hAnsi="Arial" w:cs="Arial"/>
      <w:b/>
      <w:bCs/>
      <w:color w:val="000000"/>
      <w:sz w:val="16"/>
      <w:szCs w:val="16"/>
    </w:rPr>
  </w:style>
  <w:style w:type="character" w:customStyle="1" w:styleId="32">
    <w:name w:val="Font Style24"/>
    <w:qFormat/>
    <w:uiPriority w:val="99"/>
    <w:rPr>
      <w:rFonts w:ascii="Arial" w:hAnsi="Arial" w:cs="Arial"/>
      <w:color w:val="000000"/>
      <w:sz w:val="16"/>
      <w:szCs w:val="16"/>
    </w:rPr>
  </w:style>
  <w:style w:type="character" w:customStyle="1" w:styleId="33">
    <w:name w:val="Font Style25"/>
    <w:qFormat/>
    <w:uiPriority w:val="99"/>
    <w:rPr>
      <w:rFonts w:ascii="Arial" w:hAnsi="Arial" w:cs="Arial"/>
      <w:b/>
      <w:bCs/>
      <w:i/>
      <w:iCs/>
      <w:color w:val="000000"/>
      <w:sz w:val="16"/>
      <w:szCs w:val="16"/>
    </w:rPr>
  </w:style>
  <w:style w:type="character" w:customStyle="1" w:styleId="34">
    <w:name w:val="Font Style26"/>
    <w:qFormat/>
    <w:uiPriority w:val="99"/>
    <w:rPr>
      <w:rFonts w:ascii="Arial" w:hAnsi="Arial" w:cs="Arial"/>
      <w:b/>
      <w:bCs/>
      <w:i/>
      <w:iCs/>
      <w:color w:val="000000"/>
      <w:sz w:val="16"/>
      <w:szCs w:val="16"/>
    </w:rPr>
  </w:style>
  <w:style w:type="character" w:customStyle="1" w:styleId="35">
    <w:name w:val="Font Style27"/>
    <w:qFormat/>
    <w:uiPriority w:val="99"/>
    <w:rPr>
      <w:rFonts w:ascii="Arial" w:hAnsi="Arial" w:cs="Arial"/>
      <w:color w:val="000000"/>
      <w:sz w:val="16"/>
      <w:szCs w:val="16"/>
    </w:rPr>
  </w:style>
  <w:style w:type="paragraph" w:customStyle="1" w:styleId="36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paragraph" w:customStyle="1" w:styleId="37">
    <w:name w:val="Обычный1"/>
    <w:qFormat/>
    <w:uiPriority w:val="0"/>
    <w:pPr>
      <w:widowControl w:val="0"/>
      <w:snapToGrid w:val="0"/>
      <w:spacing w:line="276" w:lineRule="auto"/>
      <w:ind w:firstLine="420"/>
    </w:pPr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38">
    <w:name w:val="Style8"/>
    <w:basedOn w:val="1"/>
    <w:qFormat/>
    <w:uiPriority w:val="99"/>
    <w:pPr>
      <w:widowControl w:val="0"/>
      <w:autoSpaceDE w:val="0"/>
      <w:autoSpaceDN w:val="0"/>
      <w:adjustRightInd w:val="0"/>
      <w:spacing w:after="0" w:line="288" w:lineRule="exact"/>
      <w:ind w:firstLine="442"/>
      <w:jc w:val="both"/>
    </w:pPr>
    <w:rPr>
      <w:rFonts w:ascii="Times New Roman" w:hAnsi="Times New Roman" w:eastAsiaTheme="minorEastAsia"/>
      <w:sz w:val="24"/>
      <w:szCs w:val="24"/>
    </w:rPr>
  </w:style>
  <w:style w:type="character" w:customStyle="1" w:styleId="39">
    <w:name w:val="Font Style17"/>
    <w:basedOn w:val="4"/>
    <w:qFormat/>
    <w:uiPriority w:val="99"/>
    <w:rPr>
      <w:rFonts w:ascii="Bookman Old Style" w:hAnsi="Bookman Old Style" w:cs="Bookman Old Style"/>
      <w:color w:val="000000"/>
      <w:sz w:val="22"/>
      <w:szCs w:val="22"/>
    </w:rPr>
  </w:style>
  <w:style w:type="paragraph" w:styleId="40">
    <w:name w:val="No Spacing"/>
    <w:link w:val="41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41">
    <w:name w:val="Без интервала Знак"/>
    <w:link w:val="40"/>
    <w:qFormat/>
    <w:locked/>
    <w:uiPriority w:val="1"/>
    <w:rPr>
      <w:sz w:val="22"/>
      <w:szCs w:val="22"/>
    </w:rPr>
  </w:style>
  <w:style w:type="paragraph" w:styleId="42">
    <w:name w:val="List Paragraph"/>
    <w:basedOn w:val="1"/>
    <w:qFormat/>
    <w:uiPriority w:val="34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customStyle="1" w:styleId="43">
    <w:name w:val="Основной текст 2 Знак"/>
    <w:basedOn w:val="4"/>
    <w:link w:val="8"/>
    <w:semiHidden/>
    <w:qFormat/>
    <w:uiPriority w:val="99"/>
    <w:rPr>
      <w:rFonts w:ascii="Calibri" w:hAnsi="Calibri" w:eastAsia="Times New Roman"/>
      <w:sz w:val="22"/>
      <w:szCs w:val="22"/>
    </w:rPr>
  </w:style>
  <w:style w:type="character" w:customStyle="1" w:styleId="44">
    <w:name w:val="Заголовок 4 Знак"/>
    <w:basedOn w:val="4"/>
    <w:link w:val="3"/>
    <w:semiHidden/>
    <w:qFormat/>
    <w:uiPriority w:val="0"/>
    <w:rPr>
      <w:rFonts w:asciiTheme="majorHAnsi" w:hAnsiTheme="majorHAnsi" w:eastAsiaTheme="majorEastAsia" w:cstheme="majorBidi"/>
      <w:i/>
      <w:iCs/>
      <w:color w:val="376092" w:themeColor="accent1" w:themeShade="BF"/>
      <w:sz w:val="22"/>
      <w:szCs w:val="22"/>
    </w:rPr>
  </w:style>
  <w:style w:type="character" w:customStyle="1" w:styleId="45">
    <w:name w:val="Основной текст Знак"/>
    <w:basedOn w:val="4"/>
    <w:link w:val="10"/>
    <w:semiHidden/>
    <w:qFormat/>
    <w:uiPriority w:val="99"/>
    <w:rPr>
      <w:rFonts w:ascii="Calibri" w:hAnsi="Calibri" w:eastAsia="Times New Roman"/>
      <w:sz w:val="22"/>
      <w:szCs w:val="22"/>
    </w:rPr>
  </w:style>
  <w:style w:type="character" w:customStyle="1" w:styleId="46">
    <w:name w:val="Обычный (веб) Знак2"/>
    <w:link w:val="13"/>
    <w:qFormat/>
    <w:locked/>
    <w:uiPriority w:val="99"/>
    <w:rPr>
      <w:rFonts w:eastAsia="Times New Roman"/>
      <w:sz w:val="24"/>
    </w:rPr>
  </w:style>
  <w:style w:type="character" w:customStyle="1" w:styleId="47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8">
    <w:name w:val="Верхний колонтитул Знак"/>
    <w:basedOn w:val="4"/>
    <w:link w:val="9"/>
    <w:qFormat/>
    <w:uiPriority w:val="99"/>
    <w:rPr>
      <w:rFonts w:ascii="Calibri" w:hAnsi="Calibri" w:eastAsia="Times New Roman"/>
      <w:sz w:val="22"/>
      <w:szCs w:val="22"/>
    </w:rPr>
  </w:style>
  <w:style w:type="character" w:customStyle="1" w:styleId="49">
    <w:name w:val="Нижний колонтитул Знак"/>
    <w:basedOn w:val="4"/>
    <w:link w:val="12"/>
    <w:uiPriority w:val="99"/>
    <w:rPr>
      <w:rFonts w:ascii="Calibri" w:hAnsi="Calibri" w:eastAsia="Times New Roman"/>
      <w:sz w:val="22"/>
      <w:szCs w:val="22"/>
    </w:rPr>
  </w:style>
  <w:style w:type="paragraph" w:customStyle="1" w:styleId="50">
    <w:name w:val="text-base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1">
    <w:name w:val="text-secondary"/>
    <w:basedOn w:val="4"/>
    <w:uiPriority w:val="0"/>
  </w:style>
  <w:style w:type="character" w:customStyle="1" w:styleId="52">
    <w:name w:val="text-base1"/>
    <w:basedOn w:val="4"/>
    <w:uiPriority w:val="0"/>
  </w:style>
  <w:style w:type="paragraph" w:customStyle="1" w:styleId="53">
    <w:name w:val="text-secondary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54">
    <w:name w:val="Контракт-пункт"/>
    <w:basedOn w:val="1"/>
    <w:uiPriority w:val="0"/>
    <w:pPr>
      <w:tabs>
        <w:tab w:val="left" w:pos="360"/>
        <w:tab w:val="left" w:pos="680"/>
      </w:tabs>
      <w:spacing w:after="6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55">
    <w:name w:val="ConsPlus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56">
    <w:name w:val="m_684264176040998045gmaildefault"/>
    <w:basedOn w:val="4"/>
    <w:uiPriority w:val="0"/>
  </w:style>
  <w:style w:type="character" w:customStyle="1" w:styleId="57">
    <w:name w:val="15"/>
    <w:basedOn w:val="4"/>
    <w:uiPriority w:val="0"/>
    <w:rPr>
      <w:rFonts w:hint="default" w:ascii="Calibri" w:hAnsi="Calibri" w:cs="Calibri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EE718-B004-4732-94EE-886C9D2044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3184</Words>
  <Characters>18155</Characters>
  <Lines>151</Lines>
  <Paragraphs>42</Paragraphs>
  <TotalTime>135</TotalTime>
  <ScaleCrop>false</ScaleCrop>
  <LinksUpToDate>false</LinksUpToDate>
  <CharactersWithSpaces>21297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2026-04-07T07:10:00Z</dcterms:created>
  <dc:creator>Мария Маер</dc:creator>
  <cp:lastModifiedBy>Dmitrieva_VD</cp:lastModifiedBy>
  <cp:lastPrinted>2026-04-13T06:47:00Z</cp:lastPrinted>
  <dcterms:modified xsi:type="dcterms:W3CDTF">2026-07-24T06:48:09Z</dcterms:modified>
  <dc:title>ДОГОВОР № __________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92E65F8F34534D358F1E4372004D1036_12</vt:lpwstr>
  </property>
  <property fmtid="{D5CDD505-2E9C-101B-9397-08002B2CF9AE}" pid="4" name="KSOTemplateDocerSaveRecord">
    <vt:lpwstr>eyJoZGlkIjoiYjBkMThkODAzNGVkNmQwNzJkZTQzMGFmN2MyZjZlZDYifQ==</vt:lpwstr>
  </property>
</Properties>
</file>