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tabs>
          <w:tab w:val="clear" w:pos="709"/>
          <w:tab w:val="left" w:pos="0" w:leader="none"/>
          <w:tab w:val="left" w:pos="5670" w:leader="none"/>
        </w:tabs>
        <w:ind w:hanging="5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>КОНТРАКТ №</w:t>
      </w:r>
    </w:p>
    <w:p>
      <w:pPr>
        <w:pStyle w:val="Norma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>на оказание услуг</w:t>
      </w:r>
      <w:r>
        <w:rPr>
          <w:b/>
          <w:sz w:val="28"/>
          <w:szCs w:val="28"/>
          <w:lang w:eastAsia="ru-RU"/>
        </w:rPr>
        <w:t xml:space="preserve"> </w:t>
      </w:r>
      <w:r>
        <w:rPr>
          <w:rFonts w:cs="Times New Roman"/>
          <w:b/>
          <w:sz w:val="23"/>
          <w:szCs w:val="23"/>
        </w:rPr>
        <w:t>по оценке соответствия лифта</w:t>
      </w:r>
    </w:p>
    <w:p>
      <w:pPr>
        <w:pStyle w:val="Normal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в форме периодического технического освидетельствования.</w:t>
      </w:r>
    </w:p>
    <w:p>
      <w:pPr>
        <w:pStyle w:val="Normal"/>
        <w:ind w:end="0"/>
        <w:jc w:val="end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Normal"/>
        <w:ind w:end="0"/>
        <w:jc w:val="end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г. Волгоград</w:t>
        <w:tab/>
        <w:t xml:space="preserve"> </w:t>
        <w:tab/>
        <w:tab/>
        <w:tab/>
        <w:tab/>
        <w:tab/>
        <w:tab/>
        <w:tab/>
        <w:t xml:space="preserve"> «___» ________2026г.</w:t>
      </w:r>
    </w:p>
    <w:p>
      <w:pPr>
        <w:pStyle w:val="Normal"/>
        <w:ind w:firstLine="360"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  <w:t xml:space="preserve"> </w:t>
      </w:r>
      <w:r>
        <w:rPr>
          <w:rFonts w:cs="Times New Roman"/>
          <w:b/>
          <w:sz w:val="23"/>
          <w:szCs w:val="23"/>
        </w:rPr>
        <w:t xml:space="preserve">Управление Федеральной службы </w:t>
      </w:r>
      <w:r>
        <w:rPr>
          <w:rFonts w:cs="Times New Roman"/>
          <w:b/>
          <w:bCs/>
          <w:sz w:val="23"/>
          <w:szCs w:val="23"/>
        </w:rPr>
        <w:t xml:space="preserve">государственной регистрации, кадастра и картографии </w:t>
      </w:r>
      <w:r>
        <w:rPr>
          <w:rFonts w:cs="Times New Roman"/>
          <w:b/>
          <w:sz w:val="23"/>
          <w:szCs w:val="23"/>
        </w:rPr>
        <w:t>по Волгоградской области</w:t>
      </w:r>
      <w:r>
        <w:rPr>
          <w:rFonts w:cs="Times New Roman"/>
          <w:color w:val="000000"/>
          <w:sz w:val="23"/>
          <w:szCs w:val="23"/>
        </w:rPr>
        <w:t xml:space="preserve"> (Управление Росреестра по Волгоградской области), именуемое в дальнейшем </w:t>
      </w:r>
      <w:r>
        <w:rPr>
          <w:rFonts w:cs="Times New Roman"/>
          <w:b/>
          <w:sz w:val="23"/>
          <w:szCs w:val="23"/>
        </w:rPr>
        <w:t>«Заказчик»</w:t>
      </w:r>
      <w:r>
        <w:rPr>
          <w:rFonts w:cs="Times New Roman"/>
          <w:sz w:val="23"/>
          <w:szCs w:val="23"/>
        </w:rPr>
        <w:t>,</w:t>
      </w:r>
      <w:r>
        <w:rPr>
          <w:sz w:val="24"/>
          <w:szCs w:val="24"/>
        </w:rPr>
        <w:t xml:space="preserve"> </w:t>
      </w:r>
      <w:r>
        <w:rPr>
          <w:rFonts w:cs="Times New Roman"/>
          <w:color w:val="000000"/>
          <w:sz w:val="23"/>
          <w:szCs w:val="23"/>
        </w:rPr>
        <w:t>в лице заместителя руководителя Управления Коломыцевой Натальи Сергеевны, действующего на основании Доверенности № 103 от 06.10.2025, с одной стороны</w:t>
      </w:r>
      <w:r>
        <w:rPr>
          <w:rFonts w:cs="Times New Roman"/>
          <w:sz w:val="23"/>
          <w:szCs w:val="23"/>
        </w:rPr>
        <w:t xml:space="preserve">, и </w:t>
      </w:r>
      <w:r>
        <w:rPr>
          <w:rFonts w:cs="Times New Roman"/>
          <w:b/>
          <w:sz w:val="23"/>
          <w:szCs w:val="23"/>
        </w:rPr>
        <w:t>____________________________</w:t>
      </w:r>
      <w:r>
        <w:rPr>
          <w:rFonts w:cs="Times New Roman"/>
          <w:sz w:val="23"/>
          <w:szCs w:val="23"/>
        </w:rPr>
        <w:t xml:space="preserve">, именуемое в дальнейшем </w:t>
      </w:r>
      <w:r>
        <w:rPr>
          <w:rFonts w:cs="Times New Roman"/>
          <w:b/>
          <w:sz w:val="23"/>
          <w:szCs w:val="23"/>
        </w:rPr>
        <w:t>«Исполнитель»,</w:t>
      </w:r>
      <w:r>
        <w:rPr>
          <w:rFonts w:cs="Times New Roman"/>
          <w:sz w:val="23"/>
          <w:szCs w:val="23"/>
        </w:rPr>
        <w:t xml:space="preserve"> в лице _____________, действующего на основании Устава, </w:t>
      </w:r>
      <w:r>
        <w:rPr>
          <w:rFonts w:eastAsia="Times New Roman" w:cs="Times New Roman"/>
          <w:color w:val="000000"/>
          <w:sz w:val="23"/>
          <w:szCs w:val="23"/>
          <w:lang w:val="ru-RU" w:eastAsia="zh-CN" w:bidi="ar-SA"/>
        </w:rPr>
        <w:t>с другой стороны, вместе именуемые в дальнейшем «Стороны» и каждый в отдельности «Сторона», на основании п. 4 ч. 1 ст. 93 Федерального закона от 05.04.2013 №44-ФЗ «О контрактной системе</w:t>
      </w:r>
      <w:r>
        <w:rPr>
          <w:rFonts w:cs="Times New Roman"/>
          <w:color w:val="000000"/>
          <w:sz w:val="23"/>
          <w:szCs w:val="23"/>
        </w:rPr>
        <w:t xml:space="preserve"> в сфере закупок товаров, работ, услуг для обеспечения государственных и муниципальных нужд»,</w:t>
      </w:r>
      <w:r>
        <w:rPr>
          <w:rFonts w:cs="Times New Roman"/>
          <w:sz w:val="23"/>
          <w:szCs w:val="23"/>
        </w:rPr>
        <w:t xml:space="preserve"> заключили настоящий контракт о нижеследующем:</w:t>
      </w:r>
    </w:p>
    <w:p>
      <w:pPr>
        <w:pStyle w:val="ListParagraph"/>
        <w:numPr>
          <w:ilvl w:val="0"/>
          <w:numId w:val="2"/>
        </w:numPr>
        <w:ind w:hanging="360" w:start="360"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Предмет контракта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1.1. Во исполнение требования п. 4 ст. 6 Технического регламента Таможенного Союза 011/2011 «Безопасность лифтов», утвержденного решением комиссии Таможенного Союза от 18.10.2011 № 824, Заказчик поручает, а Исполнитель принимает на себя обязательства по оказанию </w:t>
      </w:r>
      <w:r>
        <w:rPr>
          <w:rFonts w:eastAsia="Calibri" w:cs="Times New Roman"/>
          <w:color w:val="auto"/>
          <w:kern w:val="0"/>
          <w:sz w:val="23"/>
          <w:szCs w:val="23"/>
          <w:lang w:val="ru-RU" w:eastAsia="en-US" w:bidi="ar-SA"/>
        </w:rPr>
        <w:t xml:space="preserve">услуг по </w:t>
      </w:r>
      <w:r>
        <w:rPr>
          <w:rFonts w:cs="Times New Roman"/>
          <w:sz w:val="23"/>
          <w:szCs w:val="23"/>
        </w:rPr>
        <w:t xml:space="preserve">оценке соответствия лифта, установленного в помещении Заказчика по адресу: 400001, г. Волгоград, ул. Калинина, д. 4,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3"/>
          <w:szCs w:val="23"/>
          <w:u w:val="none"/>
          <w:em w:val="none"/>
          <w:lang w:val="ru-RU" w:eastAsia="zh-CN" w:bidi="ar-SA"/>
        </w:rPr>
        <w:t xml:space="preserve">общим требованиям безопасности </w:t>
      </w:r>
      <w:r>
        <w:rPr>
          <w:rFonts w:cs="Times New Roman"/>
          <w:sz w:val="23"/>
          <w:szCs w:val="23"/>
        </w:rPr>
        <w:t>в форме периодического технического освидетельствования.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1.2. Период оказания услуг:  с даты заключения контракта и не позднее 31 августа 2026г.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sz w:val="23"/>
          <w:szCs w:val="23"/>
        </w:rPr>
        <w:t>1.3. Место оказания услуг: г. Волгоград, ул. Калинина, д. 4 (здание пристройки).</w:t>
      </w:r>
    </w:p>
    <w:p>
      <w:pPr>
        <w:pStyle w:val="ListParagraph"/>
        <w:numPr>
          <w:ilvl w:val="0"/>
          <w:numId w:val="2"/>
        </w:numPr>
        <w:ind w:hanging="360" w:start="360" w:end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/>
          <w:b/>
          <w:sz w:val="23"/>
          <w:szCs w:val="23"/>
        </w:rPr>
        <w:t>Стоимость услуг. Приемка услуг.</w:t>
      </w:r>
    </w:p>
    <w:p>
      <w:pPr>
        <w:pStyle w:val="NoSpacing"/>
        <w:numPr>
          <w:ilvl w:val="1"/>
          <w:numId w:val="2"/>
        </w:numPr>
        <w:ind w:hanging="0" w:start="0" w:end="0"/>
        <w:jc w:val="both"/>
        <w:rPr>
          <w:rFonts w:ascii="Times New Roman" w:hAnsi="Times New Roman" w:cs="Times New Roman"/>
          <w:bCs/>
          <w:color w:val="000000"/>
          <w:kern w:val="2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>Общая цена Контракта составляет _____ (_____________________) рублей 00 копеек, НДС не облагается в связи с применением упрощенной системы налогообложения.</w:t>
      </w:r>
    </w:p>
    <w:p>
      <w:pPr>
        <w:pStyle w:val="ListParagraph"/>
        <w:numPr>
          <w:ilvl w:val="1"/>
          <w:numId w:val="2"/>
        </w:numPr>
        <w:ind w:hanging="0" w:start="0" w:end="0"/>
        <w:jc w:val="both"/>
        <w:rPr>
          <w:rFonts w:ascii="Times New Roman" w:hAnsi="Times New Roman" w:cs="Times New Roman"/>
          <w:bCs/>
          <w:color w:val="000000"/>
          <w:kern w:val="2"/>
          <w:sz w:val="23"/>
          <w:szCs w:val="23"/>
        </w:rPr>
      </w:pPr>
      <w:r>
        <w:rPr>
          <w:rFonts w:cs="Times New Roman"/>
          <w:bCs/>
          <w:color w:val="000000"/>
          <w:kern w:val="2"/>
          <w:sz w:val="23"/>
          <w:szCs w:val="23"/>
        </w:rPr>
        <w:t>Цена Контракта является твердой и определена на весь срок исполнения Контракта.</w:t>
      </w:r>
      <w:r>
        <w:rPr>
          <w:rFonts w:eastAsia="Times New Roman" w:cs="Times New Roman"/>
          <w:color w:val="000000"/>
          <w:sz w:val="23"/>
          <w:szCs w:val="23"/>
          <w:lang w:val="ru-RU" w:eastAsia="zh-CN" w:bidi="ar-SA"/>
        </w:rPr>
        <w:t xml:space="preserve">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 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ListParagraph"/>
        <w:numPr>
          <w:ilvl w:val="1"/>
          <w:numId w:val="2"/>
        </w:numPr>
        <w:ind w:hanging="0" w:start="0" w:end="0"/>
        <w:jc w:val="both"/>
        <w:rPr>
          <w:rFonts w:ascii="Times New Roman" w:hAnsi="Times New Roman" w:eastAsia="Times New Roman" w:cs="Times New Roman"/>
          <w:bCs/>
          <w:color w:val="000000"/>
          <w:kern w:val="2"/>
          <w:sz w:val="23"/>
          <w:szCs w:val="23"/>
          <w:lang w:val="ru-RU" w:eastAsia="ru-RU" w:bidi="ar-SA"/>
        </w:rPr>
      </w:pPr>
      <w:r>
        <w:rPr>
          <w:rFonts w:cs="Times New Roman"/>
          <w:bCs/>
          <w:color w:val="000000"/>
          <w:kern w:val="2"/>
          <w:sz w:val="23"/>
          <w:szCs w:val="23"/>
        </w:rPr>
        <w:t>П</w:t>
      </w:r>
      <w:r>
        <w:rPr>
          <w:rFonts w:eastAsia="Times New Roman" w:cs="Times New Roman"/>
          <w:bCs/>
          <w:color w:val="000000"/>
          <w:kern w:val="2"/>
          <w:sz w:val="23"/>
          <w:szCs w:val="23"/>
          <w:lang w:val="ru-RU" w:eastAsia="ru-RU" w:bidi="ar-SA"/>
        </w:rPr>
        <w:t>о результатам оказанных Услуг не позднее 3 (трех) рабочих дней предоставлять Заказчику на подписание документы о приемке: акт оказанных Услуг в двух экземплярах, а также счета, счета-фактуры (при наличии) и (или) унифицированного передаточного документа (при наличии).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hanging="0" w:start="0" w:end="0"/>
        <w:contextualSpacing/>
        <w:jc w:val="both"/>
        <w:rPr>
          <w:sz w:val="22"/>
          <w:szCs w:val="22"/>
        </w:rPr>
      </w:pPr>
      <w:r>
        <w:rPr>
          <w:rFonts w:eastAsia="Times New Roman" w:cs="Times New Roman"/>
          <w:bCs/>
          <w:color w:val="000000"/>
          <w:kern w:val="2"/>
          <w:sz w:val="22"/>
          <w:szCs w:val="22"/>
          <w:lang w:val="ru-RU" w:eastAsia="ru-RU" w:bidi="ar-SA"/>
        </w:rPr>
        <w:t>2.4</w:t>
        <w:tab/>
        <w:t>Заказчик в течение 3 (трех)  рабочих дней со дня получения от Исполнителя соответствующего Акта оказанных Услуг в двух экземплярах, а также счета, счета-фактуры (при наличии) и (или) унифицированного передаточного документа (при наличии), рассматривает представленные документы, подписывает Акт оказанных Услуг и передает один его экземпляр Исполнителю либо направляет Исполнителю письменный мотивированный отказ от подписания Акта оказанных Услуг.</w:t>
      </w:r>
    </w:p>
    <w:p>
      <w:pPr>
        <w:pStyle w:val="ListParagraph"/>
        <w:numPr>
          <w:ilvl w:val="0"/>
          <w:numId w:val="0"/>
        </w:numPr>
        <w:ind w:hanging="0" w:start="0" w:end="0"/>
        <w:jc w:val="both"/>
        <w:rPr>
          <w:sz w:val="22"/>
          <w:szCs w:val="22"/>
        </w:rPr>
      </w:pPr>
      <w:r>
        <w:rPr>
          <w:rFonts w:eastAsia="Times New Roman" w:cs="Times New Roman"/>
          <w:bCs/>
          <w:color w:val="000000"/>
          <w:kern w:val="2"/>
          <w:sz w:val="22"/>
          <w:szCs w:val="22"/>
          <w:lang w:eastAsia="ru-RU"/>
        </w:rPr>
        <w:t>2.5</w:t>
        <w:tab/>
        <w:t>Оплата услуг осуществляется Заказчиком путем безналичного перечисления денежных средств на расчетный счет Исполнителя в течение</w:t>
      </w:r>
      <w:r>
        <w:rPr>
          <w:rFonts w:eastAsia="Times New Roman" w:cs="Times New Roman"/>
          <w:color w:val="000000"/>
          <w:sz w:val="22"/>
          <w:szCs w:val="22"/>
        </w:rPr>
        <w:t>10</w:t>
      </w:r>
      <w:r>
        <w:rPr>
          <w:rFonts w:eastAsia="Times New Roman" w:cs="Times New Roman"/>
          <w:color w:val="000000"/>
          <w:sz w:val="22"/>
          <w:szCs w:val="22"/>
          <w:lang w:eastAsia="ru-RU"/>
        </w:rPr>
        <w:t xml:space="preserve"> (</w:t>
      </w:r>
      <w:r>
        <w:rPr>
          <w:rFonts w:eastAsia="Times New Roman" w:cs="Times New Roman"/>
          <w:color w:val="000000"/>
          <w:sz w:val="22"/>
          <w:szCs w:val="22"/>
        </w:rPr>
        <w:t>десяти</w:t>
      </w:r>
      <w:r>
        <w:rPr>
          <w:rFonts w:eastAsia="Times New Roman" w:cs="Times New Roman"/>
          <w:color w:val="000000"/>
          <w:sz w:val="22"/>
          <w:szCs w:val="22"/>
          <w:lang w:eastAsia="ru-RU"/>
        </w:rPr>
        <w:t>)</w:t>
      </w:r>
      <w:r>
        <w:rPr>
          <w:rFonts w:eastAsia="Times New Roman" w:cs="Times New Roman"/>
          <w:color w:val="000000"/>
          <w:sz w:val="22"/>
          <w:szCs w:val="22"/>
        </w:rPr>
        <w:t xml:space="preserve"> рабочих дней</w:t>
      </w:r>
      <w:r>
        <w:rPr>
          <w:rFonts w:eastAsia="Times New Roman" w:cs="Times New Roman"/>
          <w:bCs/>
          <w:color w:val="000000"/>
          <w:kern w:val="2"/>
          <w:sz w:val="22"/>
          <w:szCs w:val="22"/>
          <w:lang w:eastAsia="ru-RU"/>
        </w:rPr>
        <w:t xml:space="preserve"> с момента подписания Сторонами акта оказанных услуг.</w:t>
      </w:r>
    </w:p>
    <w:p>
      <w:pPr>
        <w:pStyle w:val="ListParagraph"/>
        <w:numPr>
          <w:ilvl w:val="0"/>
          <w:numId w:val="0"/>
        </w:numPr>
        <w:ind w:hanging="0" w:start="0" w:end="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2"/>
          <w:szCs w:val="22"/>
          <w:lang w:eastAsia="ru-RU"/>
        </w:rPr>
        <w:t>2.6</w:t>
        <w:tab/>
        <w:t>Оплата производится за счет средств федерального бюджета РФ в пределах лимитов бюджетных обязательств на 2026 год.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ind w:hanging="360" w:start="360"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eastAsia="Times New Roman" w:cs="Times New Roman"/>
          <w:b/>
          <w:color w:val="auto"/>
          <w:sz w:val="23"/>
          <w:szCs w:val="23"/>
          <w:lang w:val="ru-RU" w:eastAsia="zh-CN" w:bidi="ar-SA"/>
        </w:rPr>
        <w:t>Взаимодействие сторон</w:t>
      </w:r>
    </w:p>
    <w:p>
      <w:pPr>
        <w:pStyle w:val="Normal"/>
        <w:ind w:end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</w:r>
      <w:r>
        <w:rPr>
          <w:rFonts w:cs="Times New Roman"/>
          <w:b/>
          <w:bCs/>
          <w:sz w:val="23"/>
          <w:szCs w:val="23"/>
        </w:rPr>
        <w:t>3</w:t>
      </w:r>
      <w:r>
        <w:rPr>
          <w:rFonts w:cs="Times New Roman"/>
          <w:b/>
          <w:bCs/>
          <w:sz w:val="22"/>
          <w:szCs w:val="22"/>
        </w:rPr>
        <w:t>.1. Заказчик принимает на себя следующие обязательства:</w:t>
      </w:r>
    </w:p>
    <w:p>
      <w:pPr>
        <w:pStyle w:val="Normal"/>
        <w:ind w:end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3.1.1. Обеспечить организацию проведения оценки соответствия, в том числе доступ специалистов исполнителя на объект установки лифта, условия проведения испытаний и измерений.</w:t>
      </w:r>
    </w:p>
    <w:p>
      <w:pPr>
        <w:pStyle w:val="Normal"/>
        <w:ind w:end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3.1.2. Обеспечить выполнение мероприятий по подготовке лифта к оценке соответствия.</w:t>
      </w:r>
    </w:p>
    <w:p>
      <w:pPr>
        <w:pStyle w:val="Normal"/>
        <w:ind w:end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3.1.3. Предоставить документацию по организации безопасной эксплуатации лифта.</w:t>
      </w:r>
    </w:p>
    <w:p>
      <w:pPr>
        <w:pStyle w:val="Normal"/>
        <w:ind w:end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3.1.4. Своевременно и в полном объеме оплатить оказанные услуги в порядке и на условиях, предусмотренных настоящим контрактом.</w:t>
      </w:r>
    </w:p>
    <w:p>
      <w:pPr>
        <w:pStyle w:val="Style17"/>
        <w:ind w:firstLine="567" w:end="0"/>
        <w:jc w:val="both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3.2. Исполнитель принимает на себя следующие обязательства: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2"/>
          <w:szCs w:val="22"/>
        </w:rPr>
        <w:t xml:space="preserve">3.2.1. Оказать услуги по оценке соответствия лифта в форме периодического технического освидетельствования согласно ГОСТ Р 53783-2010 </w:t>
      </w:r>
      <w:r>
        <w:rPr>
          <w:rStyle w:val="Strong"/>
          <w:rFonts w:eastAsia="Times New Roman" w:cs="Times New Roman"/>
          <w:b w:val="false"/>
          <w:bCs w:val="false"/>
          <w:color w:val="auto"/>
          <w:sz w:val="22"/>
          <w:szCs w:val="22"/>
          <w:lang w:val="ru-RU" w:eastAsia="zh-CN" w:bidi="ar-SA"/>
        </w:rPr>
        <w:t>«Лифты. Правила и методы оценки соответствия</w:t>
      </w:r>
      <w:r>
        <w:rPr>
          <w:rStyle w:val="Strong"/>
          <w:rFonts w:eastAsia="Times New Roman" w:cs="Times New Roman"/>
          <w:b w:val="false"/>
          <w:bCs w:val="false"/>
          <w:color w:val="auto"/>
          <w:sz w:val="23"/>
          <w:szCs w:val="23"/>
          <w:lang w:val="ru-RU" w:eastAsia="zh-CN" w:bidi="ar-SA"/>
        </w:rPr>
        <w:t xml:space="preserve"> лифтов в период эксплуатации»</w:t>
      </w:r>
      <w:r>
        <w:rPr>
          <w:rFonts w:eastAsia="Times New Roman" w:cs="Times New Roman"/>
          <w:b w:val="false"/>
          <w:bCs w:val="false"/>
          <w:color w:val="auto"/>
          <w:sz w:val="23"/>
          <w:szCs w:val="23"/>
          <w:lang w:val="ru-RU" w:eastAsia="zh-CN" w:bidi="ar-SA"/>
        </w:rPr>
        <w:t>. Национальный стандарт Российской Федерации.</w:t>
      </w:r>
      <w:r>
        <w:rPr>
          <w:rFonts w:cs="Times New Roman"/>
          <w:sz w:val="23"/>
          <w:szCs w:val="23"/>
        </w:rPr>
        <w:t xml:space="preserve"> Лифты. Правила и методы оценки соответствия лифтов в период эксплуатации» (утв. Приказом Ростехрегулирования от 31.03.2010 № 44-ст).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sz w:val="23"/>
          <w:szCs w:val="23"/>
        </w:rPr>
        <w:t>3.2.2. Осуществлять проверку соблюдения требований к безопасной эксплуатации лифта в период назначенного срока службы; технический контроль оборудования лифта и установки оборудования лифта; проверку функционирования лифта; проверку функционирования устройств безопасности лифта; испытание изоляции электрических цепей и электрооборудования, визуальный контроль и измерительный контроль заземления (зануления) оборудования лифта; испытание сцепления тяговых элементов с канатоведущим шкивом (барабаном трения) и испытание тормозной системы на лифте с электрическим приводом; испытание герметичности гидроцилиндра и трубопровода на лифте с гидравлическим приводом.</w:t>
      </w:r>
    </w:p>
    <w:p>
      <w:pPr>
        <w:pStyle w:val="ListParagraph"/>
        <w:numPr>
          <w:ilvl w:val="0"/>
          <w:numId w:val="0"/>
        </w:numPr>
        <w:ind w:hanging="0" w:start="1440"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4.   Условия оказания услуг</w:t>
      </w:r>
    </w:p>
    <w:p>
      <w:pPr>
        <w:pStyle w:val="ListParagraph"/>
        <w:numPr>
          <w:ilvl w:val="0"/>
          <w:numId w:val="0"/>
        </w:numPr>
        <w:ind w:hanging="0" w:start="0" w:end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/>
          <w:sz w:val="23"/>
          <w:szCs w:val="23"/>
        </w:rPr>
        <w:t>4.2 При оказании услуг стороны обязуются принимать во внимание рекомендации, предлагаемые друг другу по предмету настоящего контракта, немедленно информировать друг друга о затруднениях, препятствующих оказанию услуг в установленный срок.</w:t>
      </w:r>
    </w:p>
    <w:p>
      <w:pPr>
        <w:pStyle w:val="ListParagraph"/>
        <w:numPr>
          <w:ilvl w:val="0"/>
          <w:numId w:val="0"/>
        </w:numPr>
        <w:ind w:hanging="0" w:start="0"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>4.3 По результатам оказанных услуг, предусмотренных п. 1.1 Контракта, Исполнитель оформляет Акт оценки соответствия лифта в форме периодического технического освидетельствования и делает запись в паспорте лифта.</w:t>
      </w:r>
    </w:p>
    <w:p>
      <w:pPr>
        <w:pStyle w:val="ListParagraph"/>
        <w:numPr>
          <w:ilvl w:val="0"/>
          <w:numId w:val="0"/>
        </w:numPr>
        <w:ind w:hanging="0" w:start="1080"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5.   Обеспечение конфиденциальности</w:t>
      </w:r>
    </w:p>
    <w:p>
      <w:pPr>
        <w:pStyle w:val="ListParagraph"/>
        <w:numPr>
          <w:ilvl w:val="0"/>
          <w:numId w:val="0"/>
        </w:numPr>
        <w:ind w:hanging="0" w:start="0"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sz w:val="23"/>
          <w:szCs w:val="23"/>
        </w:rPr>
        <w:t>5.1 Стороны гарантируют обеспечение конфиденциальности в отношении информации и документации, полученной по-настоящему контракту. Ознакомление третьих лиц с информацией и документацией без согласия каждой стороны недопустимо, за исключением информации, связанной с безопасностью.</w:t>
      </w:r>
    </w:p>
    <w:p>
      <w:pPr>
        <w:pStyle w:val="ListParagraph"/>
        <w:numPr>
          <w:ilvl w:val="0"/>
          <w:numId w:val="0"/>
        </w:numPr>
        <w:ind w:hanging="0" w:start="1080"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6. Ответственность сторон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6.1. За неисполнение или ненадлежащее исполнение обязательств по настоящему контракту стороны несут ответственность, предусмотренную действующим законодательством.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6.2. </w:t>
      </w:r>
      <w:r>
        <w:rPr>
          <w:rFonts w:cs="Times New Roman"/>
          <w:bCs/>
          <w:spacing w:val="4"/>
          <w:sz w:val="23"/>
          <w:szCs w:val="23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 xml:space="preserve">Штрафы начисляются за неисполнение или ненадлежащее исполнение Заказчиком обязательств, предусмотренных контрактом, за исключением просрочки исполнения Заказчиком обязательств, предусмотренных контрактом. Размер штрафа устанавливается контрактом в </w:t>
      </w:r>
      <w:r>
        <w:rPr>
          <w:rStyle w:val="Hyperlink"/>
          <w:rFonts w:eastAsia="Times New Roman" w:cs="Times New Roman"/>
          <w:bCs/>
          <w:color w:val="auto"/>
          <w:spacing w:val="4"/>
          <w:sz w:val="23"/>
          <w:szCs w:val="23"/>
          <w:u w:val="none"/>
          <w:lang w:val="ru-RU" w:eastAsia="zh-CN" w:bidi="ar-SA"/>
        </w:rPr>
        <w:t>порядке</w:t>
      </w:r>
      <w:r>
        <w:rPr>
          <w:rFonts w:eastAsia="Times New Roman" w:cs="Times New Roman"/>
          <w:bCs/>
          <w:color w:val="auto"/>
          <w:spacing w:val="4"/>
          <w:sz w:val="23"/>
          <w:szCs w:val="23"/>
          <w:u w:val="none"/>
          <w:lang w:val="ru-RU" w:eastAsia="zh-CN" w:bidi="ar-SA"/>
        </w:rPr>
        <w:t>, установленном Правительством Российской Федерации.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 рублей 00 копеек (Постановление Правительства РФ от 30.08.2017 № 1042).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6.3.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</w:t>
      </w:r>
      <w:r>
        <w:rPr>
          <w:rFonts w:cs="Times New Roman"/>
          <w:sz w:val="23"/>
          <w:szCs w:val="23"/>
        </w:rPr>
        <w:t>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</w:t>
      </w:r>
      <w:r>
        <w:rPr>
          <w:rFonts w:eastAsia="Times New Roman" w:cs="Times New Roman"/>
          <w:bCs/>
          <w:color w:val="auto"/>
          <w:spacing w:val="4"/>
          <w:sz w:val="23"/>
          <w:szCs w:val="23"/>
          <w:u w:val="none"/>
          <w:lang w:val="ru-RU" w:eastAsia="zh-CN" w:bidi="ar-SA"/>
        </w:rPr>
        <w:t xml:space="preserve"> в </w:t>
      </w:r>
      <w:r>
        <w:rPr>
          <w:rStyle w:val="Hyperlink"/>
          <w:rFonts w:eastAsia="Times New Roman" w:cs="Times New Roman"/>
          <w:bCs/>
          <w:color w:val="auto"/>
          <w:spacing w:val="4"/>
          <w:sz w:val="23"/>
          <w:szCs w:val="23"/>
          <w:u w:val="none"/>
          <w:lang w:val="ru-RU" w:eastAsia="zh-CN" w:bidi="ar-SA"/>
        </w:rPr>
        <w:t>порядке</w:t>
      </w:r>
      <w:r>
        <w:rPr>
          <w:rFonts w:eastAsia="Times New Roman" w:cs="Times New Roman"/>
          <w:bCs/>
          <w:color w:val="auto"/>
          <w:spacing w:val="4"/>
          <w:sz w:val="23"/>
          <w:szCs w:val="23"/>
          <w:u w:val="none"/>
          <w:lang w:val="ru-RU" w:eastAsia="zh-CN" w:bidi="ar-SA"/>
        </w:rPr>
        <w:t>, у</w:t>
      </w:r>
      <w:r>
        <w:rPr>
          <w:rFonts w:cs="Times New Roman"/>
          <w:bCs/>
          <w:spacing w:val="4"/>
          <w:sz w:val="23"/>
          <w:szCs w:val="23"/>
        </w:rPr>
        <w:t xml:space="preserve">становленном Правительством Российской Федерации, </w:t>
      </w:r>
      <w:r>
        <w:rPr>
          <w:rFonts w:cs="Times New Roman"/>
          <w:sz w:val="23"/>
          <w:szCs w:val="23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от цены контракта (Постановление Правительства РФ от 30.08.2017 № 1042).</w:t>
      </w:r>
    </w:p>
    <w:p>
      <w:pPr>
        <w:pStyle w:val="Normal"/>
        <w:ind w:end="0"/>
        <w:jc w:val="both"/>
        <w:rPr>
          <w:rFonts w:ascii="Times New Roman" w:hAnsi="Times New Roman" w:cs="Times New Roman"/>
          <w:bCs/>
          <w:spacing w:val="4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 00 копеек.</w:t>
      </w:r>
    </w:p>
    <w:p>
      <w:pPr>
        <w:pStyle w:val="Normal"/>
        <w:ind w:end="0"/>
        <w:jc w:val="both"/>
        <w:rPr>
          <w:rFonts w:ascii="Times New Roman" w:hAnsi="Times New Roman" w:cs="Times New Roman"/>
          <w:b w:val="false"/>
          <w:bCs w:val="false"/>
          <w:color w:val="000000"/>
          <w:spacing w:val="-5"/>
          <w:sz w:val="23"/>
          <w:szCs w:val="23"/>
        </w:rPr>
      </w:pPr>
      <w:r>
        <w:rPr>
          <w:rFonts w:cs="Times New Roman"/>
          <w:bCs/>
          <w:spacing w:val="4"/>
          <w:sz w:val="23"/>
          <w:szCs w:val="23"/>
        </w:rPr>
        <w:t xml:space="preserve">Общая сумма начисленных штрафов за неисполнение или ненадлежащее исполнение </w:t>
      </w:r>
      <w:r>
        <w:rPr>
          <w:rFonts w:cs="Times New Roman"/>
          <w:b w:val="false"/>
          <w:bCs w:val="false"/>
          <w:spacing w:val="4"/>
          <w:sz w:val="23"/>
          <w:szCs w:val="23"/>
        </w:rPr>
        <w:t>Исполнителем обязательств, предусмотренных контрактом, не может превышать цену контракта.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 w:val="false"/>
          <w:bCs w:val="false"/>
          <w:color w:val="000000"/>
          <w:spacing w:val="-5"/>
          <w:sz w:val="23"/>
          <w:szCs w:val="23"/>
        </w:rPr>
        <w:t xml:space="preserve">6.4. Уплата пеней, штрафов не освобождает Стороны от исполнения обязательств </w:t>
        <w:br/>
        <w:t>по настоящему контракту.</w:t>
      </w:r>
    </w:p>
    <w:p>
      <w:pPr>
        <w:pStyle w:val="Normal"/>
        <w:shd w:val="clear" w:fill="FFFFFF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7. Порядок разрешения споров</w:t>
      </w:r>
    </w:p>
    <w:p>
      <w:pPr>
        <w:pStyle w:val="Normal"/>
        <w:ind w:end="0"/>
        <w:jc w:val="both"/>
        <w:rPr>
          <w:rFonts w:eastAsia="Times New Roman" w:cs="Times New Roman"/>
          <w:b w:val="false"/>
          <w:bCs w:val="false"/>
          <w:color w:val="auto"/>
          <w:sz w:val="23"/>
          <w:szCs w:val="23"/>
          <w:lang w:val="ru-RU" w:eastAsia="zh-CN" w:bidi="ar-SA"/>
        </w:rPr>
      </w:pPr>
      <w:r>
        <w:rPr>
          <w:rFonts w:cs="Times New Roman"/>
          <w:sz w:val="23"/>
          <w:szCs w:val="23"/>
        </w:rPr>
        <w:t xml:space="preserve">7.1. Все споры по настоящему Контракту решаются путем переговоров с соблюдением досудебного урегулирования путем предъявления претензий. </w:t>
      </w:r>
      <w:r>
        <w:rPr>
          <w:rFonts w:cs="Times New Roman"/>
          <w:sz w:val="24"/>
          <w:szCs w:val="24"/>
        </w:rPr>
        <w:t>Срок рассмотрения претензии не может превышать 10 дней</w:t>
      </w:r>
      <w:r>
        <w:rPr>
          <w:rFonts w:cs="Times New Roman"/>
          <w:sz w:val="23"/>
          <w:szCs w:val="23"/>
        </w:rPr>
        <w:t xml:space="preserve"> с момента получения.</w:t>
      </w:r>
    </w:p>
    <w:p>
      <w:pPr>
        <w:pStyle w:val="Normal"/>
        <w:ind w:end="0"/>
        <w:jc w:val="both"/>
        <w:rPr>
          <w:rFonts w:ascii="Times New Roman" w:hAnsi="Times New Roman" w:eastAsia="Times New Roman" w:cs="Times New Roman"/>
          <w:b/>
          <w:bCs w:val="false"/>
          <w:color w:val="auto"/>
          <w:sz w:val="23"/>
          <w:szCs w:val="23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3"/>
          <w:szCs w:val="23"/>
          <w:lang w:val="ru-RU" w:eastAsia="zh-CN" w:bidi="ar-SA"/>
        </w:rPr>
        <w:t>7.2 В случае не достижения согласия споры разрешается в судебном порядке, предусмотренном действующим законодательством Российской Федерации.</w:t>
      </w:r>
    </w:p>
    <w:p>
      <w:pPr>
        <w:pStyle w:val="Normal"/>
        <w:ind w:end="0"/>
        <w:rPr>
          <w:rFonts w:ascii="Times New Roman" w:hAnsi="Times New Roman" w:eastAsia="Times New Roman" w:cs="Times New Roman"/>
          <w:b/>
          <w:bCs w:val="false"/>
          <w:color w:val="auto"/>
          <w:sz w:val="23"/>
          <w:szCs w:val="23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sz w:val="23"/>
          <w:szCs w:val="23"/>
          <w:lang w:val="ru-RU" w:eastAsia="zh-CN" w:bidi="ar-SA"/>
        </w:rPr>
      </w:r>
    </w:p>
    <w:p>
      <w:pPr>
        <w:pStyle w:val="Normal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8. Форс-мажорные обстоятельства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8.1. Стороны освобождаются от ответственности за полное или частичное неисполнение какого-либо из обязательств вследствие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Контракта.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8.2. Если какое-либо из перечисленных обстоятельств длится в течение срока действия настоящего Контракта, то этот срок продлевается на время указанных обстоятельств.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sz w:val="23"/>
          <w:szCs w:val="23"/>
        </w:rPr>
        <w:t>8.3.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обязательств, вследствие указанных обстоятельств.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</w:r>
    </w:p>
    <w:p>
      <w:pPr>
        <w:pStyle w:val="Normal"/>
        <w:ind w:end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9. Порядок изменения и расторжения контрактов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9.1.</w:t>
      </w:r>
      <w:r>
        <w:rPr>
          <w:rFonts w:eastAsia="Calibri" w:cs="Times New Roman"/>
          <w:color w:val="auto"/>
          <w:kern w:val="0"/>
          <w:sz w:val="23"/>
          <w:szCs w:val="23"/>
          <w:lang w:val="ru-RU" w:eastAsia="en-US" w:bidi="ar-SA"/>
        </w:rPr>
        <w:t xml:space="preserve"> Настоящий контракт составлен в форме электронного документа, подписанного усиленными квалифицированными подписями Сторон.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9.2. Изменение существенных условий контракта не допускается, за исключением случаев, предусмотренных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9.3. Любые изменения и дополнения к настоящему Контракту имеют силу только при условии их оформления в письменном виде и подписании Сторонами.</w:t>
      </w:r>
    </w:p>
    <w:p>
      <w:pPr>
        <w:pStyle w:val="Normal"/>
        <w:ind w:end="0"/>
        <w:jc w:val="both"/>
        <w:rPr>
          <w:rFonts w:cs="Times New Roman"/>
          <w:b w:val="false"/>
          <w:bCs w:val="false"/>
          <w:sz w:val="23"/>
          <w:szCs w:val="23"/>
        </w:rPr>
      </w:pPr>
      <w:r>
        <w:rPr>
          <w:rFonts w:cs="Times New Roman"/>
          <w:sz w:val="23"/>
          <w:szCs w:val="23"/>
        </w:rPr>
        <w:t>9.4. Расторжение настоящего Контракта допускается по соглашению Сторон по решению суда или в связи с односторонним отказом от исполнения Контракта, в соответствии с гражданским законодательством.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 w:val="false"/>
          <w:bCs w:val="false"/>
          <w:sz w:val="23"/>
          <w:szCs w:val="23"/>
        </w:rPr>
        <w:t>9.5. Сторона, решившая расторгнуть настоящий Контракт, должна  направить соответствующее письменное уведомление другой стороне не позднее, чем за 5 рабочих дней до предполагаемого дня его расторжения.</w:t>
      </w:r>
    </w:p>
    <w:p>
      <w:pPr>
        <w:pStyle w:val="Normal"/>
        <w:shd w:val="clear" w:fill="FFFFFF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>10. Прочие условия</w:t>
      </w:r>
    </w:p>
    <w:p>
      <w:pPr>
        <w:pStyle w:val="Normal"/>
        <w:shd w:val="clear" w:fill="FFFFFF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</w:r>
    </w:p>
    <w:p>
      <w:pPr>
        <w:pStyle w:val="BodyTextIndent"/>
        <w:spacing w:before="0" w:after="0"/>
        <w:ind w:hanging="0" w:start="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10.1. </w:t>
      </w:r>
      <w:r>
        <w:rPr>
          <w:rFonts w:eastAsia="Calibri" w:cs="Times New Roman"/>
          <w:color w:val="auto"/>
          <w:kern w:val="0"/>
          <w:sz w:val="23"/>
          <w:szCs w:val="23"/>
          <w:lang w:val="ru-RU" w:eastAsia="en-US" w:bidi="ar-SA"/>
        </w:rPr>
        <w:t xml:space="preserve">Настоящий Контракт вступает в силу с даты подписания и действует </w:t>
      </w:r>
      <w:r>
        <w:rPr>
          <w:rFonts w:eastAsia="Calibri" w:cs="Times New Roman"/>
          <w:color w:val="auto"/>
          <w:kern w:val="0"/>
          <w:sz w:val="23"/>
          <w:szCs w:val="23"/>
          <w:lang w:val="ru-RU" w:eastAsia="en-US" w:bidi="ar-SA"/>
        </w:rPr>
        <w:br w:type="textWrapping" w:clear="all"/>
      </w:r>
      <w:r>
        <w:rPr>
          <w:rFonts w:eastAsia="Calibri" w:cs="Times New Roman"/>
          <w:color w:val="auto"/>
          <w:kern w:val="0"/>
          <w:sz w:val="23"/>
          <w:szCs w:val="23"/>
          <w:lang w:val="ru-RU" w:eastAsia="en-US" w:bidi="ar-SA"/>
        </w:rPr>
        <w:t xml:space="preserve">по 22.09.2026 г., а в части взаимных обязательств, возникших в период действия настоящего контракта, - до полного их исполнения Сторонами. Срок исполнения Контракта — 22.09.2026 г. 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10.2. 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срока, указанного в пункте 10.1. настоящего Контракта.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10.3. </w:t>
      </w:r>
      <w:r>
        <w:rPr>
          <w:rFonts w:eastAsia="Calibri" w:cs="Times New Roman"/>
          <w:sz w:val="23"/>
          <w:szCs w:val="23"/>
        </w:rPr>
        <w:t>Заказчик вправе в одностороннем порядке отказаться от исполнения настоящего Контракта в случае, если: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- </w:t>
      </w:r>
      <w:r>
        <w:rPr>
          <w:rFonts w:eastAsia="Calibri" w:cs="Times New Roman"/>
          <w:sz w:val="23"/>
          <w:szCs w:val="23"/>
        </w:rPr>
        <w:t xml:space="preserve">Исполнитель </w:t>
      </w:r>
      <w:r>
        <w:rPr>
          <w:rFonts w:cs="Times New Roman"/>
          <w:sz w:val="23"/>
          <w:szCs w:val="23"/>
        </w:rPr>
        <w:t>оказывает услуги</w:t>
      </w:r>
      <w:r>
        <w:rPr>
          <w:rFonts w:eastAsia="Calibri" w:cs="Times New Roman"/>
          <w:sz w:val="23"/>
          <w:szCs w:val="23"/>
        </w:rPr>
        <w:t xml:space="preserve"> ненадлежащего качества, при этом недостатки не могут быть устранены в приемлемый для Заказчика срок;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- </w:t>
      </w:r>
      <w:r>
        <w:rPr>
          <w:rFonts w:eastAsia="Calibri" w:cs="Times New Roman"/>
          <w:sz w:val="23"/>
          <w:szCs w:val="23"/>
        </w:rPr>
        <w:t xml:space="preserve">Исполнитель нарушил сроки </w:t>
      </w:r>
      <w:r>
        <w:rPr>
          <w:rFonts w:cs="Times New Roman"/>
          <w:sz w:val="23"/>
          <w:szCs w:val="23"/>
        </w:rPr>
        <w:t>оказания услуг</w:t>
      </w:r>
      <w:r>
        <w:rPr>
          <w:rFonts w:eastAsia="Calibri" w:cs="Times New Roman"/>
          <w:sz w:val="23"/>
          <w:szCs w:val="23"/>
        </w:rPr>
        <w:t>, предусмотренные настоящим Контрактом;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- </w:t>
      </w:r>
      <w:r>
        <w:rPr>
          <w:rFonts w:eastAsia="Calibri" w:cs="Times New Roman"/>
          <w:sz w:val="23"/>
          <w:szCs w:val="23"/>
        </w:rPr>
        <w:t xml:space="preserve">Исполнитель не приступает к исполнению настоящего Контракта в срок, установленный настоящим Контрактом, либо в ходе </w:t>
      </w:r>
      <w:r>
        <w:rPr>
          <w:rFonts w:cs="Times New Roman"/>
          <w:sz w:val="23"/>
          <w:szCs w:val="23"/>
        </w:rPr>
        <w:t>оказания услуг</w:t>
      </w:r>
      <w:r>
        <w:rPr>
          <w:rFonts w:eastAsia="Calibri" w:cs="Times New Roman"/>
          <w:sz w:val="23"/>
          <w:szCs w:val="23"/>
        </w:rPr>
        <w:t xml:space="preserve"> стало очевидно, что они не будут </w:t>
      </w:r>
      <w:r>
        <w:rPr>
          <w:rFonts w:cs="Times New Roman"/>
          <w:sz w:val="23"/>
          <w:szCs w:val="23"/>
        </w:rPr>
        <w:t xml:space="preserve">оказаны </w:t>
      </w:r>
      <w:r>
        <w:rPr>
          <w:rFonts w:eastAsia="Calibri" w:cs="Times New Roman"/>
          <w:sz w:val="23"/>
          <w:szCs w:val="23"/>
        </w:rPr>
        <w:t>надлежащим образом в установленный настоящим Контрактом срок;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о</w:t>
      </w:r>
      <w:r>
        <w:rPr>
          <w:rFonts w:eastAsia="Calibri" w:cs="Times New Roman"/>
          <w:sz w:val="23"/>
          <w:szCs w:val="23"/>
        </w:rPr>
        <w:t xml:space="preserve">тступления в </w:t>
      </w:r>
      <w:r>
        <w:rPr>
          <w:rFonts w:cs="Times New Roman"/>
          <w:sz w:val="23"/>
          <w:szCs w:val="23"/>
        </w:rPr>
        <w:t>оказании услуг</w:t>
      </w:r>
      <w:r>
        <w:rPr>
          <w:rFonts w:eastAsia="Calibri" w:cs="Times New Roman"/>
          <w:sz w:val="23"/>
          <w:szCs w:val="23"/>
        </w:rPr>
        <w:t xml:space="preserve"> от условий настоящего Контракта или иные недостатки результата </w:t>
      </w:r>
      <w:r>
        <w:rPr>
          <w:rFonts w:cs="Times New Roman"/>
          <w:sz w:val="23"/>
          <w:szCs w:val="23"/>
        </w:rPr>
        <w:t>оказания услуг</w:t>
      </w:r>
      <w:r>
        <w:rPr>
          <w:rFonts w:eastAsia="Calibri" w:cs="Times New Roman"/>
          <w:sz w:val="23"/>
          <w:szCs w:val="23"/>
        </w:rPr>
        <w:t xml:space="preserve"> в установленный Заказчиком разумный срок не были устранены либо являютс</w:t>
      </w:r>
      <w:r>
        <w:rPr>
          <w:rFonts w:cs="Times New Roman"/>
          <w:sz w:val="23"/>
          <w:szCs w:val="23"/>
        </w:rPr>
        <w:t>я существенными и неустранимыми</w:t>
      </w:r>
      <w:r>
        <w:rPr>
          <w:rFonts w:eastAsia="Calibri" w:cs="Times New Roman"/>
          <w:sz w:val="23"/>
          <w:szCs w:val="23"/>
        </w:rPr>
        <w:t>.</w:t>
      </w:r>
    </w:p>
    <w:p>
      <w:pPr>
        <w:pStyle w:val="Normal"/>
        <w:ind w:end="0"/>
        <w:jc w:val="both"/>
        <w:rPr>
          <w:rFonts w:ascii="Times New Roman" w:hAnsi="Times New Roman" w:eastAsia="" w:cs="Times New Roman"/>
          <w:b w:val="false"/>
          <w:bCs w:val="false"/>
          <w:color w:val="auto"/>
          <w:kern w:val="0"/>
          <w:sz w:val="23"/>
          <w:szCs w:val="23"/>
          <w:lang w:val="ru-RU" w:eastAsia="ru-RU" w:bidi="ar-SA"/>
        </w:rPr>
      </w:pPr>
      <w:r>
        <w:rPr>
          <w:rFonts w:cs="Times New Roman"/>
          <w:sz w:val="23"/>
          <w:szCs w:val="23"/>
        </w:rPr>
        <w:t xml:space="preserve">- </w:t>
      </w:r>
      <w:r>
        <w:rPr>
          <w:rFonts w:eastAsia="Calibri" w:cs="Times New Roman"/>
          <w:sz w:val="23"/>
          <w:szCs w:val="23"/>
        </w:rPr>
        <w:t>по иным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rFonts w:cs="Times New Roman"/>
          <w:sz w:val="23"/>
          <w:szCs w:val="23"/>
        </w:rPr>
        <w:t>.</w:t>
      </w:r>
    </w:p>
    <w:p>
      <w:pPr>
        <w:pStyle w:val="Normal"/>
        <w:shd w:val="clear" w:fill="FFFFFF"/>
        <w:ind w:end="0"/>
        <w:jc w:val="both"/>
        <w:rPr>
          <w:rFonts w:ascii="Times New Roman" w:hAnsi="Times New Roman" w:eastAsia="" w:cs="Times New Roman"/>
          <w:b w:val="false"/>
          <w:bCs w:val="false"/>
          <w:color w:val="auto"/>
          <w:kern w:val="0"/>
          <w:sz w:val="23"/>
          <w:szCs w:val="23"/>
          <w:lang w:val="ru-RU" w:eastAsia="ru-RU" w:bidi="ar-SA"/>
        </w:rPr>
      </w:pPr>
      <w:r>
        <w:rPr>
          <w:rFonts w:eastAsia="" w:cs="Times New Roman"/>
          <w:b w:val="false"/>
          <w:bCs w:val="false"/>
          <w:color w:val="auto"/>
          <w:kern w:val="0"/>
          <w:sz w:val="23"/>
          <w:szCs w:val="23"/>
          <w:lang w:val="ru-RU" w:eastAsia="ru-RU" w:bidi="ar-SA"/>
        </w:rPr>
        <w:t>10.4. В случаях, не урегулированных настоящим Контрактом, Стороны руководствуются действующим гражданским законодательством РФ.</w:t>
      </w:r>
    </w:p>
    <w:p>
      <w:pPr>
        <w:pStyle w:val="Normal"/>
        <w:shd w:val="clear" w:fill="FFFFFF"/>
        <w:ind w:end="0"/>
        <w:jc w:val="both"/>
        <w:rPr>
          <w:rFonts w:ascii="Times New Roman" w:hAnsi="Times New Roman" w:eastAsia="" w:cs="Times New Roman"/>
          <w:b w:val="false"/>
          <w:bCs w:val="false"/>
          <w:color w:val="auto"/>
          <w:kern w:val="0"/>
          <w:sz w:val="23"/>
          <w:szCs w:val="23"/>
          <w:lang w:val="ru-RU" w:eastAsia="ru-RU" w:bidi="ar-SA"/>
        </w:rPr>
      </w:pPr>
      <w:r>
        <w:rPr>
          <w:rFonts w:eastAsia="" w:cs="Times New Roman"/>
          <w:b w:val="false"/>
          <w:bCs w:val="false"/>
          <w:color w:val="auto"/>
          <w:kern w:val="0"/>
          <w:sz w:val="23"/>
          <w:szCs w:val="23"/>
          <w:lang w:val="ru-RU" w:eastAsia="ru-RU" w:bidi="ar-SA"/>
        </w:rPr>
      </w:r>
    </w:p>
    <w:p>
      <w:pPr>
        <w:pStyle w:val="NoSpacing"/>
        <w:ind w:firstLine="426" w:end="0"/>
        <w:jc w:val="center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Times New Roman" w:cs="Times New Roman"/>
          <w:b/>
          <w:color w:val="auto"/>
          <w:sz w:val="24"/>
          <w:szCs w:val="24"/>
          <w:lang w:val="ru-RU" w:eastAsia="zh-CN" w:bidi="ar-SA"/>
        </w:rPr>
        <w:t>11. Перечень приложений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11.1.</w:t>
        <w:tab/>
        <w:t>Неотъемлемой частью Контракта являются следующие приложения: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- техническое задание (приложение № 1)</w:t>
      </w:r>
    </w:p>
    <w:p>
      <w:pPr>
        <w:pStyle w:val="Normal"/>
        <w:ind w:end="0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</w:r>
    </w:p>
    <w:p>
      <w:pPr>
        <w:pStyle w:val="Style17"/>
        <w:numPr>
          <w:ilvl w:val="0"/>
          <w:numId w:val="0"/>
        </w:numPr>
        <w:ind w:hanging="0" w:start="720" w:end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12.  Реквизиты и подписи сторон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12.1. Заказчик: Управление Федеральной службы государственной регистрации, кадастра и картографии по Волгоградской области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Юридический и почтовый адрес: 400001, г. Волгоград, ул. Калинина, д. 4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Телефон/факс: +7 (8442) 97-59-62/94-80-76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ИНН 3445071298, КПП 344501001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Банковские реквизиты: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л. с. 03291W00960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Банк получателя: ОКЦ № 1 ВВГУ БАНКА РОССИИ // УФК по Нижегородской области, г. Нижний Новгород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БИК: 012202102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Счет банка получателя, входящего в состав ЕКС: 40102810745370000024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Счет получателя: 03211643000000013245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ОКОПФ 75104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ОКВЭД2 84.11.12</w:t>
      </w:r>
    </w:p>
    <w:p>
      <w:pPr>
        <w:pStyle w:val="Normal"/>
        <w:widowControl/>
        <w:suppressAutoHyphens w:val="true"/>
        <w:bidi w:val="0"/>
        <w:spacing w:before="0" w:after="0"/>
        <w:ind w:end="0"/>
        <w:rPr>
          <w:rFonts w:ascii="Times New Roman" w:hAnsi="Times New Roman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cs="Times New Roman"/>
          <w:sz w:val="24"/>
          <w:szCs w:val="24"/>
        </w:rPr>
        <w:t>ОКТМО 18701000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bCs/>
          <w:color w:val="000000"/>
          <w:sz w:val="24"/>
          <w:szCs w:val="24"/>
          <w:shd w:fill="auto" w:val="clear"/>
        </w:rPr>
        <w:t>Адрес электронной почты: 34_upr@rosreestr.ru</w:t>
      </w:r>
    </w:p>
    <w:p>
      <w:pPr>
        <w:pStyle w:val="Normal"/>
        <w:ind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  <w:t>12.2. Исполнитель: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/>
          <w:sz w:val="24"/>
          <w:szCs w:val="24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60"/>
      </w:tblGrid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Заказчик:</w:t>
            </w:r>
          </w:p>
        </w:tc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Исполнитель:</w:t>
            </w:r>
          </w:p>
        </w:tc>
      </w:tr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Заместитель руководителя Управления</w:t>
            </w:r>
          </w:p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Федеральной службы государственной регистрации, кадастра и картографии</w:t>
            </w:r>
          </w:p>
        </w:tc>
        <w:tc>
          <w:tcPr>
            <w:tcW w:w="4960" w:type="dxa"/>
            <w:tcBorders/>
          </w:tcPr>
          <w:p>
            <w:pPr>
              <w:pStyle w:val="user2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______________________(Коломыцева Н.С.)</w:t>
            </w:r>
          </w:p>
        </w:tc>
        <w:tc>
          <w:tcPr>
            <w:tcW w:w="4960" w:type="dxa"/>
            <w:tcBorders/>
          </w:tcPr>
          <w:p>
            <w:pPr>
              <w:pStyle w:val="user2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</w:r>
    </w:p>
    <w:p>
      <w:pPr>
        <w:pStyle w:val="Style17"/>
        <w:jc w:val="both"/>
        <w:rPr>
          <w:rFonts w:ascii="Times New Roman" w:hAnsi="Times New Roman" w:cs="Times New Roman"/>
          <w:b/>
          <w:i/>
          <w:i/>
          <w:sz w:val="24"/>
          <w:szCs w:val="24"/>
          <w:shd w:fill="auto" w:val="clear"/>
        </w:rPr>
      </w:pPr>
      <w:r>
        <w:rPr>
          <w:rFonts w:cs="Times New Roman"/>
          <w:b/>
          <w:i/>
          <w:sz w:val="24"/>
          <w:szCs w:val="24"/>
          <w:shd w:fill="auto" w:val="clear"/>
        </w:rPr>
      </w:r>
    </w:p>
    <w:p>
      <w:pPr>
        <w:pStyle w:val="Style1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ab/>
        <w:tab/>
        <w:tab/>
        <w:tab/>
        <w:tab/>
      </w:r>
    </w:p>
    <w:p>
      <w:pPr>
        <w:pStyle w:val="Style1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Style1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2"/>
          <w:szCs w:val="22"/>
        </w:rPr>
        <w:tab/>
        <w:tab/>
      </w:r>
    </w:p>
    <w:p>
      <w:pPr>
        <w:pStyle w:val="Normal"/>
        <w:jc w:val="end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>ПРИЛОЖЕНИЕ №1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val="en-US"/>
        </w:rPr>
        <w:t xml:space="preserve">                                                 </w:t>
      </w:r>
      <w:r>
        <w:rPr>
          <w:rFonts w:cs="Times New Roman"/>
          <w:b/>
          <w:sz w:val="24"/>
          <w:szCs w:val="24"/>
        </w:rPr>
        <w:t>к контракту №</w:t>
      </w:r>
    </w:p>
    <w:p>
      <w:pPr>
        <w:pStyle w:val="Normal"/>
        <w:jc w:val="end"/>
        <w:rPr>
          <w:sz w:val="22"/>
          <w:szCs w:val="22"/>
        </w:rPr>
      </w:pPr>
      <w:r>
        <w:rPr>
          <w:rFonts w:cs="Times New Roman"/>
          <w:b/>
          <w:sz w:val="24"/>
          <w:szCs w:val="24"/>
        </w:rPr>
        <w:t>от «    » августа 2026 г</w:t>
      </w:r>
      <w:r>
        <w:rPr>
          <w:rFonts w:cs="Times New Roman"/>
          <w:b/>
          <w:sz w:val="28"/>
        </w:rPr>
        <w:t>.</w:t>
      </w:r>
    </w:p>
    <w:p>
      <w:pPr>
        <w:pStyle w:val="14"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 w:end="0"/>
        <w:jc w:val="end"/>
        <w:rPr>
          <w:w w:val="89"/>
          <w:sz w:val="22"/>
          <w:szCs w:val="22"/>
        </w:rPr>
      </w:pPr>
      <w:r>
        <w:rPr>
          <w:w w:val="89"/>
          <w:sz w:val="22"/>
          <w:szCs w:val="22"/>
        </w:rPr>
      </w:r>
    </w:p>
    <w:p>
      <w:pPr>
        <w:pStyle w:val="Normal"/>
        <w:ind w:end="0"/>
        <w:jc w:val="center"/>
        <w:rPr>
          <w:rFonts w:ascii="Times New Roman" w:hAnsi="Times New Roman" w:eastAsia="Calibri" w:cs="Times New Roman"/>
          <w:b/>
          <w:bCs/>
          <w:sz w:val="23"/>
          <w:szCs w:val="23"/>
        </w:rPr>
      </w:pPr>
      <w:r>
        <w:rPr>
          <w:rFonts w:eastAsia="Calibri" w:cs="Times New Roman"/>
          <w:b/>
          <w:bCs/>
          <w:sz w:val="23"/>
          <w:szCs w:val="23"/>
        </w:rPr>
        <w:t>ТЕХНИЧЕСКОЕ ЗАДАНИЕ</w:t>
      </w:r>
    </w:p>
    <w:p>
      <w:pPr>
        <w:pStyle w:val="Normal"/>
        <w:ind w:end="0"/>
        <w:jc w:val="center"/>
        <w:rPr>
          <w:rFonts w:ascii="Times New Roman" w:hAnsi="Times New Roman" w:eastAsia="Calibri" w:cs="Times New Roman"/>
          <w:b/>
          <w:bCs/>
          <w:sz w:val="23"/>
          <w:szCs w:val="23"/>
        </w:rPr>
      </w:pPr>
      <w:r>
        <w:rPr>
          <w:rFonts w:eastAsia="Calibri" w:cs="Times New Roman"/>
          <w:b/>
          <w:bCs/>
          <w:sz w:val="23"/>
          <w:szCs w:val="23"/>
        </w:rPr>
        <w:t>На оказание услуг по оценке соответствия лифта</w:t>
      </w:r>
    </w:p>
    <w:p>
      <w:pPr>
        <w:pStyle w:val="Normal"/>
        <w:ind w:end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eastAsia="Calibri" w:cs="Times New Roman"/>
          <w:b/>
          <w:bCs/>
          <w:sz w:val="23"/>
          <w:szCs w:val="23"/>
        </w:rPr>
        <w:t>в форме периодического технического освидетельствования.</w:t>
      </w:r>
    </w:p>
    <w:p>
      <w:pPr>
        <w:pStyle w:val="Normal"/>
        <w:ind w:end="0"/>
        <w:jc w:val="star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 xml:space="preserve">1. ОКПД 2: 71.20.19.190 </w:t>
      </w:r>
      <w:r>
        <w:rPr>
          <w:rStyle w:val="Strong"/>
          <w:rFonts w:eastAsia="Calibri" w:cs="Times New Roman"/>
          <w:sz w:val="23"/>
          <w:szCs w:val="23"/>
        </w:rPr>
        <w:t>«Услуги по техническим испытаниям и анализу прочие, не включённые в другие группировки»</w:t>
      </w:r>
    </w:p>
    <w:p>
      <w:pPr>
        <w:pStyle w:val="Normal"/>
        <w:ind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2. Период оказания услуг:  с даты заключения контракта и не позднее 31 августа 2026г.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3. Место оказания услуг: г. Волгоград, ул. Калинина, д. 4 (здание пристройки).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4. Полное техническое освидетельствование имеет целью установить, что: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а) лифт и его установка соответствуют паспортным данным и настоящим Правилам;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б) лифт находится в исправном состоянии, обеспечивающем его безопасную работу;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в) организация эксплуатации лифта соответствует действующим Правилам.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</w:r>
    </w:p>
    <w:p>
      <w:pPr>
        <w:pStyle w:val="Normal"/>
        <w:ind w:end="0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</w:r>
    </w:p>
    <w:tbl>
      <w:tblPr>
        <w:tblW w:w="96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96"/>
        <w:gridCol w:w="2112"/>
        <w:gridCol w:w="1822"/>
        <w:gridCol w:w="1774"/>
        <w:gridCol w:w="2844"/>
      </w:tblGrid>
      <w:tr>
        <w:trPr/>
        <w:tc>
          <w:tcPr>
            <w:tcW w:w="1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№</w:t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п/п</w:t>
            </w:r>
          </w:p>
        </w:tc>
        <w:tc>
          <w:tcPr>
            <w:tcW w:w="2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Адрес объекта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Тип оборудования</w:t>
            </w:r>
          </w:p>
        </w:tc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Завод.рег. номер</w:t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Общие сведения</w:t>
            </w:r>
          </w:p>
        </w:tc>
      </w:tr>
      <w:tr>
        <w:trPr/>
        <w:tc>
          <w:tcPr>
            <w:tcW w:w="1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г. Волгоград, ул.Калинина 4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Лифт пассажирский ЛП-0401Б</w:t>
            </w:r>
          </w:p>
        </w:tc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128850</w:t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Грузоподъёмность 400 кг. Число пассажиров 5 человек число остановок 5</w:t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Нормативная скорость движения кабины, м/с 1,0</w:t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Число дверей шахты 5</w:t>
            </w:r>
          </w:p>
          <w:p>
            <w:pPr>
              <w:pStyle w:val="Normal"/>
              <w:ind w:end="0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Высота подъёма, м 13,800</w:t>
            </w:r>
          </w:p>
        </w:tc>
      </w:tr>
    </w:tbl>
    <w:p>
      <w:pPr>
        <w:pStyle w:val="Normal"/>
        <w:ind w:end="0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Требования к гарантии и качеству:</w:t>
      </w:r>
    </w:p>
    <w:p>
      <w:pPr>
        <w:pStyle w:val="Normal"/>
        <w:ind w:end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1. Качество оказанных услуг должно соответствовать обязательным требованиям, установленным нормативными документами для услуг соответствующего вида.</w:t>
      </w:r>
    </w:p>
    <w:p>
      <w:pPr>
        <w:pStyle w:val="Normal"/>
        <w:ind w:end="0"/>
        <w:jc w:val="both"/>
        <w:rPr>
          <w:b/>
          <w:sz w:val="22"/>
          <w:szCs w:val="22"/>
        </w:rPr>
      </w:pPr>
      <w:r>
        <w:rPr>
          <w:rFonts w:eastAsia="Calibri" w:cs="Times New Roman"/>
          <w:sz w:val="23"/>
          <w:szCs w:val="23"/>
        </w:rPr>
        <w:t>2. На результат оказания услуг устанавливается гарантии качества оказанных услуг 12 (двенадцать) месяцев, с момента подписания соответствующего акта оказанных услуг.</w:t>
      </w:r>
      <w:r>
        <w:rPr>
          <w:b/>
          <w:sz w:val="22"/>
          <w:szCs w:val="22"/>
        </w:rPr>
        <w:t xml:space="preserve">                                                                                 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/>
      </w:pPr>
      <w:r>
        <w:rPr>
          <w:b/>
          <w:sz w:val="22"/>
          <w:szCs w:val="22"/>
        </w:rPr>
        <w:tab/>
      </w:r>
      <w:r>
        <w:rPr/>
        <w:t xml:space="preserve">                                                                                        </w:t>
      </w:r>
    </w:p>
    <w:p>
      <w:pPr>
        <w:pStyle w:val="Normal"/>
        <w:ind w:firstLine="284" w:start="-284" w:end="0"/>
        <w:jc w:val="end"/>
        <w:rPr/>
      </w:pPr>
      <w:r>
        <w:rPr/>
      </w:r>
    </w:p>
    <w:p>
      <w:pPr>
        <w:pStyle w:val="Normal"/>
        <w:ind w:firstLine="284" w:start="-284" w:end="0"/>
        <w:jc w:val="end"/>
        <w:rPr/>
      </w:pPr>
      <w:r>
        <w:rPr/>
      </w:r>
    </w:p>
    <w:p>
      <w:pPr>
        <w:pStyle w:val="Normal"/>
        <w:ind w:firstLine="284" w:start="-284" w:end="0"/>
        <w:jc w:val="end"/>
        <w:rPr>
          <w:b/>
          <w:bCs/>
          <w:sz w:val="22"/>
          <w:szCs w:val="22"/>
          <w:u w:val="single"/>
        </w:rPr>
      </w:pPr>
      <w:r>
        <w:rPr/>
        <w:t xml:space="preserve"> 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60"/>
      </w:tblGrid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Заказчик:</w:t>
            </w:r>
          </w:p>
        </w:tc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Исполнитель:</w:t>
            </w:r>
          </w:p>
        </w:tc>
      </w:tr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Заместитель руководителя Управления</w:t>
            </w:r>
          </w:p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Федеральной службы государственной регистрации, кадастра и картографии</w:t>
            </w:r>
          </w:p>
        </w:tc>
        <w:tc>
          <w:tcPr>
            <w:tcW w:w="4960" w:type="dxa"/>
            <w:tcBorders/>
          </w:tcPr>
          <w:p>
            <w:pPr>
              <w:pStyle w:val="user2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60" w:type="dxa"/>
            <w:tcBorders/>
          </w:tcPr>
          <w:p>
            <w:pPr>
              <w:pStyle w:val="Style1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______________________(Коломыцева Н.С.)</w:t>
            </w:r>
          </w:p>
        </w:tc>
        <w:tc>
          <w:tcPr>
            <w:tcW w:w="4960" w:type="dxa"/>
            <w:tcBorders/>
          </w:tcPr>
          <w:p>
            <w:pPr>
              <w:pStyle w:val="user2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gutter="0" w:header="0" w:top="56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start"/>
      <w:pPr>
        <w:tabs>
          <w:tab w:val="num" w:pos="432"/>
        </w:tabs>
        <w:ind w:start="432" w:hanging="432"/>
      </w:pPr>
      <w:rPr>
        <w:sz w:val="26"/>
        <w:szCs w:val="26"/>
        <w:rFonts w:ascii="Times New Roman" w:hAnsi="Times New Roman" w:cs="Times New Roman"/>
      </w:rPr>
    </w:lvl>
    <w:lvl w:ilvl="1">
      <w:start w:val="1"/>
      <w:pStyle w:val="Heading2"/>
      <w:numFmt w:val="decimal"/>
      <w:lvlText w:val="%1.%2."/>
      <w:lvlJc w:val="start"/>
      <w:pPr>
        <w:tabs>
          <w:tab w:val="num" w:pos="576"/>
        </w:tabs>
        <w:ind w:start="576" w:hanging="576"/>
      </w:pPr>
      <w:rPr/>
    </w:lvl>
    <w:lvl w:ilvl="2">
      <w:start w:val="1"/>
      <w:pStyle w:val="Heading3"/>
      <w:numFmt w:val="decimal"/>
      <w:lvlText w:val="%1.%2.%3."/>
      <w:lvlJc w:val="start"/>
      <w:pPr>
        <w:tabs>
          <w:tab w:val="num" w:pos="170"/>
        </w:tabs>
        <w:ind w:start="720" w:hanging="720"/>
      </w:pPr>
      <w:rPr>
        <w:sz w:val="26"/>
        <w:i w:val="false"/>
        <w:b w:val="false"/>
        <w:szCs w:val="26"/>
        <w:iCs w:val="false"/>
        <w:bCs w:val="false"/>
        <w:rFonts w:ascii="Times New Roman" w:hAnsi="Times New Roman" w:cs="Times New Roman"/>
      </w:rPr>
    </w:lvl>
    <w:lvl w:ilvl="3">
      <w:start w:val="1"/>
      <w:pStyle w:val="Heading4"/>
      <w:numFmt w:val="decimal"/>
      <w:lvlText w:val="%1.%2.%3.%4."/>
      <w:lvlJc w:val="start"/>
      <w:pPr>
        <w:tabs>
          <w:tab w:val="num" w:pos="864"/>
        </w:tabs>
        <w:ind w:start="864" w:hanging="864"/>
      </w:pPr>
      <w:rPr>
        <w:sz w:val="26"/>
        <w:szCs w:val="26"/>
        <w:rFonts w:ascii="Times New Roman" w:hAnsi="Times New Roman" w:cs="Times New Roman"/>
      </w:rPr>
    </w:lvl>
    <w:lvl w:ilvl="4">
      <w:start w:val="1"/>
      <w:numFmt w:val="russianLower"/>
      <w:lvlText w:val="%5)"/>
      <w:lvlJc w:val="start"/>
      <w:pPr>
        <w:tabs>
          <w:tab w:val="num" w:pos="1800"/>
        </w:tabs>
        <w:ind w:star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287" w:hanging="36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2007" w:hanging="720"/>
      </w:pPr>
      <w:rPr>
        <w:color w:val="auto"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2367" w:hanging="72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3087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3447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4167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4527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5247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center"/>
      <w:outlineLvl w:val="0"/>
    </w:pPr>
    <w:rPr>
      <w:b/>
      <w:bC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60"/>
      <w:jc w:val="center"/>
      <w:outlineLvl w:val="1"/>
    </w:pPr>
    <w:rPr>
      <w:b/>
      <w:bCs/>
      <w:sz w:val="30"/>
      <w:szCs w:val="30"/>
      <w:lang w:val="ru-RU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 w:cs="Arial"/>
      <w:b/>
      <w:bCs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lang w:val="ru-RU"/>
    </w:rPr>
  </w:style>
  <w:style w:type="character" w:styleId="WW8Num1z0">
    <w:name w:val="WW8Num1z0"/>
    <w:qFormat/>
    <w:rPr>
      <w:rFonts w:ascii="Times New Roman" w:hAnsi="Times New Roman" w:cs="Times New Roman"/>
      <w:sz w:val="26"/>
      <w:szCs w:val="26"/>
    </w:rPr>
  </w:style>
  <w:style w:type="character" w:styleId="WW8Num1z1">
    <w:name w:val="WW8Num1z1"/>
    <w:qFormat/>
    <w:rPr/>
  </w:style>
  <w:style w:type="character" w:styleId="WW8Num1z2">
    <w:name w:val="WW8Num1z2"/>
    <w:qFormat/>
    <w:rPr>
      <w:rFonts w:ascii="Times New Roman" w:hAnsi="Times New Roman" w:cs="Times New Roman"/>
      <w:b w:val="false"/>
      <w:bCs w:val="false"/>
      <w:i w:val="false"/>
      <w:iCs w:val="false"/>
      <w:sz w:val="26"/>
      <w:szCs w:val="26"/>
    </w:rPr>
  </w:style>
  <w:style w:type="character" w:styleId="WW8Num1z4">
    <w:name w:val="WW8Num1z4"/>
    <w:qFormat/>
    <w:rPr>
      <w:sz w:val="26"/>
      <w:szCs w:val="26"/>
    </w:rPr>
  </w:style>
  <w:style w:type="character" w:styleId="WW8Num2z2">
    <w:name w:val="WW8Num2z2"/>
    <w:qFormat/>
    <w:rPr>
      <w:color w:val="auto"/>
    </w:rPr>
  </w:style>
  <w:style w:type="character" w:styleId="WW8Num2z0">
    <w:name w:val="WW8Num2z0"/>
    <w:qFormat/>
    <w:rPr/>
  </w:style>
  <w:style w:type="character" w:styleId="WW8Num3z2">
    <w:name w:val="WW8Num3z2"/>
    <w:qFormat/>
    <w:rPr>
      <w:color w:val="auto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  <w:sz w:val="26"/>
      <w:szCs w:val="26"/>
    </w:rPr>
  </w:style>
  <w:style w:type="character" w:styleId="WW8Num7z1">
    <w:name w:val="WW8Num7z1"/>
    <w:qFormat/>
    <w:rPr/>
  </w:style>
  <w:style w:type="character" w:styleId="WW8Num7z2">
    <w:name w:val="WW8Num7z2"/>
    <w:qFormat/>
    <w:rPr>
      <w:rFonts w:ascii="Times New Roman" w:hAnsi="Times New Roman" w:cs="Times New Roman"/>
      <w:b w:val="false"/>
      <w:bCs w:val="false"/>
      <w:i w:val="false"/>
      <w:iCs w:val="false"/>
      <w:sz w:val="26"/>
      <w:szCs w:val="26"/>
    </w:rPr>
  </w:style>
  <w:style w:type="character" w:styleId="WW8Num7z4">
    <w:name w:val="WW8Num7z4"/>
    <w:qFormat/>
    <w:rPr>
      <w:sz w:val="26"/>
      <w:szCs w:val="26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Style10">
    <w:name w:val="Основной шрифт абзаца"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1">
    <w:name w:val="Заголовок 1 Знак"/>
    <w:qFormat/>
    <w:rPr>
      <w:b/>
      <w:bCs/>
      <w:kern w:val="2"/>
      <w:sz w:val="36"/>
      <w:szCs w:val="36"/>
    </w:rPr>
  </w:style>
  <w:style w:type="character" w:styleId="2">
    <w:name w:val="Заголовок 2 Знак"/>
    <w:qFormat/>
    <w:rPr>
      <w:b/>
      <w:bCs/>
      <w:sz w:val="30"/>
      <w:szCs w:val="30"/>
    </w:rPr>
  </w:style>
  <w:style w:type="character" w:styleId="31">
    <w:name w:val="Заголовок 3 Знак"/>
    <w:qFormat/>
    <w:rPr>
      <w:rFonts w:ascii="Arial" w:hAnsi="Arial" w:cs="Arial"/>
      <w:b/>
      <w:bCs/>
      <w:sz w:val="24"/>
      <w:szCs w:val="24"/>
    </w:rPr>
  </w:style>
  <w:style w:type="character" w:styleId="4">
    <w:name w:val="Заголовок 4 Знак"/>
    <w:qFormat/>
    <w:rPr>
      <w:rFonts w:ascii="Arial" w:hAnsi="Arial" w:cs="Arial"/>
      <w:sz w:val="24"/>
      <w:szCs w:val="24"/>
    </w:rPr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Hyperlink">
    <w:name w:val="Hyperlink"/>
    <w:rPr>
      <w:color w:val="0000FF"/>
      <w:u w:val="single"/>
    </w:rPr>
  </w:style>
  <w:style w:type="character" w:styleId="Style12">
    <w:name w:val="Без интервала Знак"/>
    <w:qFormat/>
    <w:rPr>
      <w:lang w:val="ru-RU" w:bidi="ar-SA"/>
    </w:rPr>
  </w:style>
  <w:style w:type="character" w:styleId="Style13">
    <w:name w:val="Подзаголовок Знак"/>
    <w:qFormat/>
    <w:rPr>
      <w:sz w:val="36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BodyTextIndent">
    <w:name w:val="Body Text Indent"/>
    <w:basedOn w:val="Normal"/>
    <w:pPr>
      <w:ind w:firstLine="567" w:start="0" w:end="0"/>
      <w:jc w:val="both"/>
    </w:pPr>
    <w:rPr>
      <w:szCs w:val="20"/>
    </w:rPr>
  </w:style>
  <w:style w:type="paragraph" w:styleId="21">
    <w:name w:val="Основной текст 2"/>
    <w:basedOn w:val="Normal"/>
    <w:qFormat/>
    <w:pPr>
      <w:spacing w:lineRule="auto" w:line="480" w:before="0" w:after="120"/>
    </w:pPr>
    <w:rPr/>
  </w:style>
  <w:style w:type="paragraph" w:styleId="32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11">
    <w:name w:val="Знак1 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12">
    <w:name w:val="Стиль1"/>
    <w:basedOn w:val="Normal"/>
    <w:qFormat/>
    <w:pPr>
      <w:spacing w:lineRule="auto" w:line="360"/>
      <w:ind w:firstLine="567" w:start="0" w:end="0"/>
      <w:jc w:val="both"/>
    </w:pPr>
    <w:rPr>
      <w:szCs w:val="20"/>
    </w:rPr>
  </w:style>
  <w:style w:type="paragraph" w:styleId="Style16">
    <w:name w:val=" Знак Знак Знак Знак Знак Знак Знак"/>
    <w:basedOn w:val="Normal"/>
    <w:qFormat/>
    <w:pPr>
      <w:widowControl w:val="false"/>
      <w:jc w:val="both"/>
    </w:pPr>
    <w:rPr>
      <w:rFonts w:ascii="Arial" w:hAnsi="Arial" w:eastAsia="SimSun;宋体" w:cs="Arial"/>
      <w:kern w:val="2"/>
      <w:sz w:val="21"/>
      <w:szCs w:val="21"/>
      <w:lang w:val="en-US" w:eastAsia="zh-CN"/>
    </w:rPr>
  </w:style>
  <w:style w:type="paragraph" w:styleId="13">
    <w:name w:val=" Знак Знак1"/>
    <w:basedOn w:val="Normal"/>
    <w:qFormat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22">
    <w:name w:val=" Знак Знак Знак2 Знак"/>
    <w:basedOn w:val="Normal"/>
    <w:qFormat/>
    <w:pPr>
      <w:widowControl w:val="false"/>
      <w:spacing w:lineRule="exact" w:line="240" w:before="0" w:after="160"/>
      <w:jc w:val="end"/>
    </w:pPr>
    <w:rPr>
      <w:sz w:val="20"/>
      <w:szCs w:val="20"/>
      <w:lang w:val="en-GB"/>
    </w:rPr>
  </w:style>
  <w:style w:type="paragraph" w:styleId="23">
    <w:name w:val=" Знак2"/>
    <w:basedOn w:val="Normal"/>
    <w:qFormat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Style17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33">
    <w:name w:val="Основной текст с отступом 3"/>
    <w:basedOn w:val="Normal"/>
    <w:qFormat/>
    <w:pPr>
      <w:spacing w:before="0" w:after="120"/>
      <w:ind w:hanging="0" w:start="283" w:end="0"/>
    </w:pPr>
    <w:rPr>
      <w:sz w:val="16"/>
      <w:szCs w:val="16"/>
      <w:lang w:val="ru-RU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start="0" w:end="19772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ubtitle">
    <w:name w:val="Subtitle"/>
    <w:basedOn w:val="Normal"/>
    <w:next w:val="BodyText"/>
    <w:qFormat/>
    <w:pPr>
      <w:jc w:val="center"/>
    </w:pPr>
    <w:rPr>
      <w:sz w:val="3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9">
    <w:name w:val="Абзац списка"/>
    <w:basedOn w:val="Normal"/>
    <w:qFormat/>
    <w:pPr>
      <w:spacing w:before="0" w:after="0"/>
      <w:ind w:firstLine="567" w:start="720" w:end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14">
    <w:name w:val="Без интервала1"/>
    <w:qFormat/>
    <w:pPr>
      <w:widowControl/>
      <w:suppressAutoHyphens w:val="true"/>
      <w:bidi w:val="0"/>
      <w:spacing w:before="0" w:after="0"/>
      <w:ind w:hanging="0" w:start="0" w:end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  <w:ind w:hanging="0" w:start="0" w:end="0"/>
      <w:jc w:val="star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233</TotalTime>
  <Application>LibreOffice/25.2.6.2$Linux_X86_64 LibreOffice_project/520$Build-2</Application>
  <AppVersion>15.0000</AppVersion>
  <Pages>5</Pages>
  <Words>1926</Words>
  <Characters>14099</Characters>
  <CharactersWithSpaces>16149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2024-02-19T13:44:00Z</dcterms:created>
  <dc:creator>Ирина Владимировна</dc:creator>
  <dc:description/>
  <dc:language>ru-RU</dc:language>
  <cp:lastModifiedBy/>
  <cp:lastPrinted>2026-08-13T15:45:09Z</cp:lastPrinted>
  <dcterms:modified xsi:type="dcterms:W3CDTF">2026-08-13T15:45:15Z</dcterms:modified>
  <cp:revision>39</cp:revision>
  <dc:subject/>
  <dc:title>ДОГОВОР №32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