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3"/>
        <w:jc w:val="center"/>
        <w:rPr>
          <w:b/>
          <w:color w:val="000000"/>
        </w:rPr>
      </w:pPr>
      <w:r>
        <w:rPr>
          <w:b/>
          <w:color w:val="000000"/>
        </w:rPr>
        <w:t xml:space="preserve">ТЕХНИЧЕСКОЕ ЗАДАНИЕ</w:t>
      </w:r>
      <w:r>
        <w:rPr>
          <w:b/>
          <w:color w:val="000000"/>
        </w:rPr>
        <w:t xml:space="preserve"> НА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ПРОДЛЕНИЕ ПРАВА</w:t>
      </w:r>
      <w:r>
        <w:rPr>
          <w:b/>
          <w:color w:val="000000"/>
        </w:rPr>
        <w:t xml:space="preserve"> ИСПОЛЬЗОВАНИЯ И</w:t>
      </w:r>
      <w:r>
        <w:rPr>
          <w:b/>
          <w:color w:val="000000"/>
        </w:rPr>
        <w:t xml:space="preserve"> </w:t>
      </w:r>
      <w:r>
        <w:rPr>
          <w:b/>
        </w:rPr>
        <w:t xml:space="preserve">АБОНЕНСТСКОГО ОБСЛУЖИВАНИЯ</w:t>
      </w:r>
      <w:r>
        <w:rPr>
          <w:b/>
        </w:rPr>
        <w:t xml:space="preserve"> </w:t>
      </w:r>
      <w:r>
        <w:rPr>
          <w:b/>
        </w:rPr>
        <w:t xml:space="preserve">СИСТЕМЫ</w:t>
      </w:r>
      <w:r>
        <w:rPr>
          <w:b/>
        </w:rPr>
        <w:t xml:space="preserve"> </w:t>
      </w:r>
      <w:r>
        <w:rPr>
          <w:b/>
        </w:rPr>
        <w:t xml:space="preserve">ЗАЩИЩЕННОГО ЭЛЕКТРОННОГО ДОКУМЕНТООБОРОТА</w:t>
      </w:r>
      <w:r>
        <w:rPr>
          <w:b/>
        </w:rPr>
        <w:t xml:space="preserve">,</w:t>
      </w:r>
      <w:r>
        <w:rPr>
          <w:b/>
        </w:rPr>
        <w:t xml:space="preserve"> ПРЕДНАЗНАЧЕНН</w:t>
      </w:r>
      <w:r>
        <w:rPr>
          <w:b/>
        </w:rPr>
        <w:t xml:space="preserve">ОЙ</w:t>
      </w:r>
      <w:r>
        <w:rPr>
          <w:b/>
        </w:rPr>
        <w:t xml:space="preserve"> ДЛЯ </w:t>
      </w:r>
      <w:r>
        <w:rPr>
          <w:b/>
          <w:color w:val="000000"/>
        </w:rPr>
        <w:t xml:space="preserve">ФОРМИРОВАНИЯ И ОТПРАВКИ ОТЧЕТНОСТИ В КОНТРОЛИРУЮЩИЕ ОРГАНЫ</w:t>
      </w:r>
      <w:r>
        <w:rPr>
          <w:b/>
          <w:color w:val="000000"/>
        </w:rPr>
      </w:r>
    </w:p>
    <w:p>
      <w:pPr>
        <w:pStyle w:val="713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721"/>
        <w:numPr>
          <w:ilvl w:val="0"/>
          <w:numId w:val="10"/>
        </w:numPr>
        <w:ind w:left="0" w:firstLine="0"/>
        <w:jc w:val="both"/>
        <w:rPr>
          <w:b/>
        </w:rPr>
      </w:pPr>
      <w:r>
        <w:rPr>
          <w:b/>
        </w:rPr>
        <w:t xml:space="preserve">ОБЩИЕ СВЕДЕНИЯ</w:t>
      </w:r>
      <w:r>
        <w:rPr>
          <w:b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настоящем техническом задании описаны требования, предъ</w:t>
      </w:r>
      <w:r>
        <w:rPr>
          <w:sz w:val="26"/>
          <w:szCs w:val="26"/>
        </w:rPr>
        <w:t xml:space="preserve">являемые к </w:t>
      </w:r>
      <w:r>
        <w:rPr>
          <w:sz w:val="26"/>
          <w:szCs w:val="26"/>
        </w:rPr>
        <w:t xml:space="preserve">системе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Контур.Экстерн</w:t>
      </w:r>
      <w:r>
        <w:rPr>
          <w:sz w:val="26"/>
          <w:szCs w:val="26"/>
        </w:rPr>
        <w:t xml:space="preserve">» (далее − Система)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1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  <w:r>
        <w:rPr>
          <w:color w:val="000000"/>
          <w:sz w:val="26"/>
          <w:szCs w:val="26"/>
        </w:rPr>
      </w:r>
    </w:p>
    <w:p>
      <w:pPr>
        <w:pStyle w:val="713"/>
        <w:numPr>
          <w:ilvl w:val="0"/>
          <w:numId w:val="10"/>
        </w:numPr>
        <w:ind w:left="0" w:firstLine="0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ТРЕБОВАНИЯ, ПРЕДЪЯВЛЯЕМЫЕ К </w:t>
      </w:r>
      <w:r>
        <w:rPr>
          <w:b/>
          <w:color w:val="000000"/>
        </w:rPr>
        <w:t xml:space="preserve">СИСТЕМЕ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2.1. Систе</w:t>
      </w:r>
      <w:r>
        <w:rPr>
          <w:color w:val="000000"/>
        </w:rPr>
        <w:t xml:space="preserve">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2.2. Формирование и передача отчётности в контролирующие органы должны отвечать следующим критериям: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2.2.1. ФНС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формирования отчетности в веб-интерфейсе в режиме онлайн в актуальном формате;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обязательной проверки сформированной отчётности на соответствие действующему формату;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проверки отчётности, сформированной любой другой программой для ЭВМ, на соответствие действующему формату;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</w:t>
      </w:r>
      <w:r>
        <w:rPr>
          <w:color w:val="000000"/>
        </w:rPr>
        <w:t xml:space="preserve">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>
        <w:rPr>
          <w:rFonts w:ascii="Symbol" w:hAnsi="Symbol" w:eastAsia="Symbol" w:cs="Symbol"/>
          <w:color w:val="000000"/>
        </w:rPr>
        <w:t xml:space="preserve">-</w:t>
      </w:r>
      <w:r>
        <w:rPr>
          <w:color w:val="000000"/>
        </w:rPr>
        <w:t xml:space="preserve"> далее ИОН);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получения справочной информации и нормативных документов по заполнению форм налоговой отчетности;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получения требований от ФНС;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массово загружать готовые отчеты и массово отправлять их в ФНС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709" w:hanging="426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2.2.2. СФР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</w:pPr>
      <w:r>
        <w:t xml:space="preserve"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  <w:r/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возможность формирования и передачи отчетности по форме ЕФС-1 (бывшие формы СЗВ-ТД, СЗВ-СТАЖ, ДСВ-З, </w:t>
      </w:r>
      <w:r>
        <w:rPr>
          <w:color w:val="000000"/>
        </w:rPr>
        <w:t xml:space="preserve">СИоЗП</w:t>
      </w:r>
      <w:r>
        <w:rPr>
          <w:color w:val="000000"/>
        </w:rPr>
        <w:t xml:space="preserve">, </w:t>
      </w:r>
      <w:r>
        <w:rPr>
          <w:color w:val="000000"/>
        </w:rPr>
        <w:t xml:space="preserve">СИоРУН</w:t>
      </w:r>
      <w:r>
        <w:rPr>
          <w:color w:val="000000"/>
        </w:rPr>
        <w:t xml:space="preserve">, 4-ФСС);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возможность формирования и передачи ПОВЭД, специальных социальных выплат;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возможность отправки реестров листков нетрудоспособности и электронных листков нетрудоспособности;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документооборот по </w:t>
      </w:r>
      <w:r>
        <w:rPr>
          <w:color w:val="000000"/>
        </w:rPr>
        <w:t xml:space="preserve">проактивным</w:t>
      </w:r>
      <w:r>
        <w:rPr>
          <w:color w:val="000000"/>
        </w:rPr>
        <w:t xml:space="preserve"> выплатам социальных пособий;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возможность передачи корректирующей отчетности по формам, действовавшим до 2023 года (СЗВ-ТД, СЗВ-КОРР, 4-ФСС);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получение информации от СФР в электронном виде по телекоммуникационным каналам связи;</w:t>
      </w:r>
      <w:r>
        <w:rPr>
          <w:color w:val="000000"/>
        </w:rPr>
      </w:r>
    </w:p>
    <w:p>
      <w:pPr>
        <w:pStyle w:val="713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  <w:t xml:space="preserve">возможность массово загружать готовые отчеты и массово отправлять их в СФР;</w:t>
      </w:r>
      <w:r>
        <w:rPr>
          <w:color w:val="000000"/>
        </w:rPr>
      </w:r>
    </w:p>
    <w:p>
      <w:pPr>
        <w:pStyle w:val="721"/>
        <w:numPr>
          <w:ilvl w:val="0"/>
          <w:numId w:val="33"/>
        </w:numPr>
        <w:ind w:left="567"/>
        <w:jc w:val="both"/>
        <w:tabs>
          <w:tab w:val="left" w:pos="567" w:leader="none"/>
        </w:tabs>
        <w:rPr>
          <w:color w:val="000000"/>
        </w:rPr>
      </w:pPr>
      <w:r>
        <w:rPr>
          <w:rFonts w:eastAsiaTheme="minorHAnsi"/>
          <w:color w:val="000000"/>
        </w:rPr>
        <w:t xml:space="preserve"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2.2.3. Росстат</w:t>
      </w:r>
      <w:r>
        <w:rPr>
          <w:color w:val="000000"/>
        </w:rPr>
      </w:r>
    </w:p>
    <w:p>
      <w:pPr>
        <w:pStyle w:val="713"/>
        <w:numPr>
          <w:ilvl w:val="0"/>
          <w:numId w:val="34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возможность подготовки форм статистической отчетности непосредственно в системе;</w:t>
      </w:r>
      <w:r>
        <w:rPr>
          <w:color w:val="000000"/>
        </w:rPr>
      </w:r>
    </w:p>
    <w:p>
      <w:pPr>
        <w:pStyle w:val="713"/>
        <w:numPr>
          <w:ilvl w:val="0"/>
          <w:numId w:val="34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возможность обязательной проверки сформированной отчётности на соответствие действующему формату;</w:t>
      </w:r>
      <w:r>
        <w:rPr>
          <w:color w:val="000000"/>
        </w:rPr>
      </w:r>
    </w:p>
    <w:p>
      <w:pPr>
        <w:pStyle w:val="713"/>
        <w:numPr>
          <w:ilvl w:val="0"/>
          <w:numId w:val="34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возможность проверки отчётности, сформированной любой другой программой для ЭВМ, на соответствие действующему формату;</w:t>
      </w:r>
      <w:r>
        <w:rPr>
          <w:color w:val="000000"/>
        </w:rPr>
      </w:r>
    </w:p>
    <w:p>
      <w:pPr>
        <w:pStyle w:val="713"/>
        <w:numPr>
          <w:ilvl w:val="0"/>
          <w:numId w:val="34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  <w:r>
        <w:rPr>
          <w:color w:val="000000"/>
        </w:rPr>
      </w:r>
    </w:p>
    <w:p>
      <w:pPr>
        <w:pStyle w:val="713"/>
        <w:numPr>
          <w:ilvl w:val="0"/>
          <w:numId w:val="34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возможность массово загружать готовые отчеты и массово отправлять их в Росстат.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2.4. Должна быть возможность получения рассылок из контролирующих органов.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2.5. Доступ к веб-интерфейсу системы должен осуществляться по шифрованному каналу связи, исключающему доступ третьих лиц.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2.6. Система должна позволять подписание передаваемой отчётности электронными подписями сторон электронного документооборота.</w:t>
      </w:r>
      <w:r>
        <w:rPr>
          <w:color w:val="000000"/>
        </w:rPr>
      </w:r>
    </w:p>
    <w:p>
      <w:pPr>
        <w:pStyle w:val="713"/>
        <w:jc w:val="both"/>
      </w:pPr>
      <w:r>
        <w:rPr>
          <w:color w:val="000000"/>
        </w:rPr>
        <w:t xml:space="preserve">2.7</w:t>
      </w:r>
      <w:r>
        <w:rPr>
          <w:color w:val="000000"/>
        </w:rPr>
        <w:t xml:space="preserve">. Система должна позволять подписание передаваемой отчётности электронными подписями сторон электронного документооборота, </w:t>
      </w:r>
      <w:r>
        <w:t xml:space="preserve">в том числе с возможностью использования машиночитаемой доверенности (далее </w:t>
      </w:r>
      <w:r>
        <w:rPr>
          <w:rFonts w:ascii="Symbol" w:hAnsi="Symbol" w:eastAsia="Symbol" w:cs="Symbol"/>
        </w:rPr>
        <w:t xml:space="preserve">-</w:t>
      </w:r>
      <w:r>
        <w:t xml:space="preserve"> МЧД).</w:t>
      </w:r>
      <w:r/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2.8</w:t>
      </w:r>
      <w:r>
        <w:rPr>
          <w:color w:val="000000"/>
        </w:rPr>
        <w:t xml:space="preserve">. В Системе должно осуществляться хранение всех созданных и/или загруженных в Системе МЧД Абонента.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</w:t>
      </w:r>
      <w:r>
        <w:rPr>
          <w:color w:val="000000"/>
        </w:rPr>
        <w:t xml:space="preserve">9</w:t>
      </w:r>
      <w:r>
        <w:rPr>
          <w:color w:val="000000"/>
        </w:rPr>
        <w:t xml:space="preserve"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</w:t>
      </w:r>
      <w:r>
        <w:rPr>
          <w:color w:val="000000"/>
        </w:rPr>
        <w:t xml:space="preserve">10</w:t>
      </w:r>
      <w:r>
        <w:rPr>
          <w:color w:val="000000"/>
        </w:rPr>
        <w:t xml:space="preserve">. Возможность вести юридически значимую переписку с контролирующими органами по телекоммуникационным каналам связи.</w:t>
      </w:r>
      <w:r>
        <w:rPr>
          <w:color w:val="000000"/>
        </w:rPr>
      </w:r>
    </w:p>
    <w:p>
      <w:pPr>
        <w:pStyle w:val="713"/>
        <w:jc w:val="both"/>
      </w:pPr>
      <w:r>
        <w:t xml:space="preserve">2.1</w:t>
      </w:r>
      <w:r>
        <w:t xml:space="preserve">1</w:t>
      </w:r>
      <w:r>
        <w:t xml:space="preserve">. Должна быть возможность получения информации о состоянии Единого налогового </w:t>
      </w:r>
      <w:r>
        <w:t xml:space="preserve">счета</w:t>
      </w:r>
      <w:r>
        <w:t xml:space="preserve"> (далее </w:t>
      </w:r>
      <w:r>
        <w:rPr>
          <w:rFonts w:ascii="Symbol" w:hAnsi="Symbol" w:eastAsia="Symbol" w:cs="Symbol"/>
        </w:rPr>
        <w:t xml:space="preserve">-</w:t>
      </w:r>
      <w:r>
        <w:t xml:space="preserve"> ЕНС</w:t>
      </w:r>
      <w:r>
        <w:t xml:space="preserve">) в автоматическом режиме (</w:t>
      </w:r>
      <w:r>
        <w:t xml:space="preserve">автосверка</w:t>
      </w:r>
      <w:r>
        <w:t xml:space="preserve"> ЕНС). </w:t>
      </w:r>
      <w:r/>
    </w:p>
    <w:p>
      <w:pPr>
        <w:pStyle w:val="713"/>
        <w:jc w:val="both"/>
      </w:pPr>
      <w:r>
        <w:t xml:space="preserve">Данные о состоянии ЕНС могут быть получены следующими способами: </w:t>
      </w:r>
      <w:r/>
    </w:p>
    <w:p>
      <w:pPr>
        <w:pStyle w:val="721"/>
        <w:numPr>
          <w:ilvl w:val="0"/>
          <w:numId w:val="40"/>
        </w:numPr>
        <w:ind w:left="0" w:firstLine="0"/>
        <w:jc w:val="both"/>
      </w:pPr>
      <w:r>
        <w:t xml:space="preserve">направлением запросов ИОН в ИФНС;</w:t>
      </w:r>
      <w:r/>
    </w:p>
    <w:p>
      <w:pPr>
        <w:pStyle w:val="713"/>
        <w:numPr>
          <w:ilvl w:val="0"/>
          <w:numId w:val="39"/>
        </w:numPr>
        <w:ind w:left="0" w:firstLine="0"/>
      </w:pPr>
      <w:r>
        <w:t xml:space="preserve">интеграцией с ФНС (при этом Заказчик представляет согласие Исполнителю на раскрытие Оператору налоговой тайны по коду 21001).</w:t>
      </w:r>
      <w:r/>
    </w:p>
    <w:p>
      <w:pPr>
        <w:pStyle w:val="713"/>
        <w:jc w:val="both"/>
      </w:pPr>
      <w:r>
        <w:rPr>
          <w:color w:val="000000"/>
        </w:rPr>
        <w:t xml:space="preserve">2.</w:t>
      </w:r>
      <w:r>
        <w:rPr>
          <w:color w:val="000000"/>
        </w:rPr>
        <w:t xml:space="preserve">12</w:t>
      </w:r>
      <w:r>
        <w:rPr>
          <w:color w:val="000000"/>
        </w:rPr>
        <w:t xml:space="preserve">. </w:t>
      </w:r>
      <w:r>
        <w:t xml:space="preserve">Автоматическая сверка данных в отчетах за разные отчетные периоды или данных в декларациях разного типа.</w:t>
      </w:r>
      <w:r/>
    </w:p>
    <w:p>
      <w:pPr>
        <w:pStyle w:val="713"/>
        <w:jc w:val="both"/>
        <w:rPr>
          <w:color w:val="000000"/>
        </w:rPr>
      </w:pPr>
      <w:r>
        <w:t xml:space="preserve">2.1</w:t>
      </w:r>
      <w:r>
        <w:t xml:space="preserve">3</w:t>
      </w:r>
      <w:r>
        <w:t xml:space="preserve">. </w:t>
      </w:r>
      <w:r>
        <w:rPr>
          <w:color w:val="000000"/>
        </w:rPr>
        <w:t xml:space="preserve">Должна быть предусмотрена возможность получения на телефон </w:t>
      </w:r>
      <w:r>
        <w:rPr>
          <w:color w:val="000000"/>
        </w:rPr>
        <w:t xml:space="preserve">СМС-сообщений</w:t>
      </w:r>
      <w:r>
        <w:rPr>
          <w:color w:val="000000"/>
        </w:rPr>
        <w:t xml:space="preserve"> или уведомлений в мобильном приложении Системы или на электронную почту (в зависимости от настроек пользователя).</w:t>
      </w:r>
      <w:r>
        <w:rPr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2.1</w:t>
      </w:r>
      <w:r>
        <w:rPr>
          <w:color w:val="000000"/>
        </w:rPr>
        <w:t xml:space="preserve">4</w:t>
      </w:r>
      <w:r>
        <w:rPr>
          <w:color w:val="000000"/>
        </w:rPr>
        <w:t xml:space="preserve">. Должна быть предусмотрена возможность автоматически формировать и отправлять квитанции на требование без участия пользователя.</w:t>
      </w:r>
      <w:r>
        <w:rPr>
          <w:color w:val="000000"/>
        </w:rPr>
      </w:r>
    </w:p>
    <w:p>
      <w:pPr>
        <w:pStyle w:val="721"/>
        <w:ind w:left="0"/>
      </w:pPr>
      <w:r>
        <w:rPr>
          <w:rFonts w:eastAsiaTheme="minorHAnsi"/>
          <w:color w:val="000000"/>
        </w:rPr>
        <w:t xml:space="preserve">2.1</w:t>
      </w:r>
      <w:r>
        <w:rPr>
          <w:rFonts w:eastAsiaTheme="minorHAnsi"/>
          <w:color w:val="000000"/>
        </w:rPr>
        <w:t xml:space="preserve">5</w:t>
      </w:r>
      <w:r>
        <w:rPr>
          <w:rFonts w:eastAsiaTheme="minorHAnsi"/>
          <w:color w:val="000000"/>
        </w:rPr>
        <w:t xml:space="preserve">. </w:t>
      </w:r>
      <w:r>
        <w:t xml:space="preserve"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  <w:r/>
    </w:p>
    <w:p>
      <w:pPr>
        <w:pStyle w:val="713"/>
        <w:jc w:val="both"/>
      </w:pPr>
      <w:r>
        <w:t xml:space="preserve">2.</w:t>
      </w:r>
      <w:r>
        <w:t xml:space="preserve">16</w:t>
      </w:r>
      <w:r>
        <w:t xml:space="preserve"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  <w:r/>
    </w:p>
    <w:p>
      <w:pPr>
        <w:pStyle w:val="713"/>
        <w:numPr>
          <w:ilvl w:val="0"/>
          <w:numId w:val="41"/>
        </w:numPr>
        <w:jc w:val="both"/>
      </w:pPr>
      <w:r>
        <w:t xml:space="preserve">отображение информации о ЮЛ и ИП;</w:t>
      </w:r>
      <w:r/>
    </w:p>
    <w:p>
      <w:pPr>
        <w:pStyle w:val="713"/>
        <w:numPr>
          <w:ilvl w:val="0"/>
          <w:numId w:val="41"/>
        </w:numPr>
        <w:jc w:val="both"/>
      </w:pPr>
      <w:r>
        <w:t xml:space="preserve">поиск по реквизитам и их сочетаниям: наименованию, адресу, ФИО руководителей, учредителей и др.;</w:t>
      </w:r>
      <w:r/>
    </w:p>
    <w:p>
      <w:pPr>
        <w:pStyle w:val="713"/>
        <w:numPr>
          <w:ilvl w:val="0"/>
          <w:numId w:val="41"/>
        </w:numPr>
        <w:jc w:val="both"/>
      </w:pPr>
      <w:r>
        <w:t xml:space="preserve">история изменений в сведениях о ЮЛ и ИП;</w:t>
      </w:r>
      <w:r/>
    </w:p>
    <w:p>
      <w:pPr>
        <w:pStyle w:val="713"/>
        <w:numPr>
          <w:ilvl w:val="0"/>
          <w:numId w:val="41"/>
        </w:numPr>
        <w:jc w:val="both"/>
      </w:pPr>
      <w:r>
        <w:t xml:space="preserve">отдельные финансовые показатели (при их наличии);</w:t>
      </w:r>
      <w:r/>
    </w:p>
    <w:p>
      <w:pPr>
        <w:pStyle w:val="721"/>
        <w:numPr>
          <w:ilvl w:val="0"/>
          <w:numId w:val="41"/>
        </w:numPr>
      </w:pPr>
      <w:r>
        <w:t xml:space="preserve">запросы на информационную выписку из ЕГРЮЛ и ЕГРИП.</w:t>
      </w:r>
      <w:r/>
    </w:p>
    <w:p>
      <w:pPr>
        <w:pStyle w:val="713"/>
        <w:jc w:val="both"/>
        <w:rPr>
          <w:color w:val="000000"/>
        </w:rPr>
      </w:pPr>
      <w:r>
        <w:t xml:space="preserve">2.</w:t>
      </w:r>
      <w:r>
        <w:t xml:space="preserve">17</w:t>
      </w:r>
      <w:r>
        <w:t xml:space="preserve">. </w:t>
      </w:r>
      <w:r>
        <w:rPr>
          <w:color w:val="000000"/>
        </w:rPr>
        <w:t xml:space="preserve">Должна быть возможность контролировать сроки выполнения следующих задач:</w:t>
      </w:r>
      <w:r>
        <w:rPr>
          <w:color w:val="000000"/>
        </w:rPr>
      </w:r>
    </w:p>
    <w:p>
      <w:pPr>
        <w:pStyle w:val="713"/>
        <w:numPr>
          <w:ilvl w:val="0"/>
          <w:numId w:val="42"/>
        </w:numPr>
        <w:jc w:val="both"/>
        <w:rPr>
          <w:color w:val="000000"/>
        </w:rPr>
      </w:pPr>
      <w:r>
        <w:rPr>
          <w:color w:val="000000"/>
        </w:rPr>
        <w:t xml:space="preserve">отправка квитанции о приеме требования ФНС;</w:t>
      </w:r>
      <w:r>
        <w:rPr>
          <w:color w:val="000000"/>
        </w:rPr>
      </w:r>
    </w:p>
    <w:p>
      <w:pPr>
        <w:pStyle w:val="713"/>
        <w:numPr>
          <w:ilvl w:val="0"/>
          <w:numId w:val="42"/>
        </w:numPr>
        <w:jc w:val="both"/>
        <w:rPr>
          <w:color w:val="000000"/>
        </w:rPr>
      </w:pPr>
      <w:r>
        <w:rPr>
          <w:color w:val="000000"/>
        </w:rPr>
        <w:t xml:space="preserve">отправка ответа на требование ФНС;</w:t>
      </w:r>
      <w:r>
        <w:rPr>
          <w:color w:val="000000"/>
        </w:rPr>
      </w:r>
    </w:p>
    <w:p>
      <w:pPr>
        <w:pStyle w:val="713"/>
        <w:numPr>
          <w:ilvl w:val="0"/>
          <w:numId w:val="42"/>
        </w:numPr>
        <w:jc w:val="both"/>
        <w:rPr>
          <w:color w:val="000000"/>
        </w:rPr>
      </w:pPr>
      <w:r>
        <w:rPr>
          <w:color w:val="000000"/>
        </w:rPr>
        <w:t xml:space="preserve">отправка отчетов, заведенных в Таблицу отчетности;</w:t>
      </w:r>
      <w:r>
        <w:rPr>
          <w:color w:val="000000"/>
        </w:rPr>
      </w:r>
    </w:p>
    <w:p>
      <w:pPr>
        <w:pStyle w:val="721"/>
        <w:numPr>
          <w:ilvl w:val="0"/>
          <w:numId w:val="42"/>
        </w:numPr>
        <w:rPr>
          <w:rFonts w:eastAsiaTheme="minorHAnsi"/>
          <w:color w:val="000000"/>
        </w:rPr>
      </w:pPr>
      <w:r>
        <w:rPr>
          <w:color w:val="000000"/>
        </w:rPr>
        <w:t xml:space="preserve">пользовательские задачи.</w:t>
      </w:r>
      <w:r>
        <w:rPr>
          <w:rFonts w:eastAsiaTheme="minorHAnsi"/>
          <w:color w:val="000000"/>
        </w:rPr>
      </w:r>
    </w:p>
    <w:p>
      <w:pPr>
        <w:pStyle w:val="721"/>
        <w:ind w:left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2.</w:t>
      </w:r>
      <w:r>
        <w:rPr>
          <w:rFonts w:eastAsiaTheme="minorHAnsi"/>
          <w:color w:val="000000"/>
        </w:rPr>
        <w:t xml:space="preserve">18</w:t>
      </w:r>
      <w:r>
        <w:rPr>
          <w:rFonts w:eastAsiaTheme="minorHAnsi"/>
          <w:color w:val="000000"/>
        </w:rPr>
        <w:t xml:space="preserve">. Доступ к Системе должен быть предоставлен для </w:t>
      </w:r>
      <w:r>
        <w:rPr>
          <w:rFonts w:eastAsiaTheme="minorHAnsi"/>
          <w:color w:val="000000"/>
        </w:rPr>
        <w:t xml:space="preserve">1</w:t>
      </w:r>
      <w:r>
        <w:rPr>
          <w:rFonts w:eastAsiaTheme="minorHAnsi"/>
          <w:color w:val="000000"/>
        </w:rPr>
        <w:t xml:space="preserve"> (</w:t>
      </w:r>
      <w:r>
        <w:rPr>
          <w:rFonts w:eastAsiaTheme="minorHAnsi"/>
          <w:color w:val="000000"/>
        </w:rPr>
        <w:t xml:space="preserve">один</w:t>
      </w:r>
      <w:r>
        <w:rPr>
          <w:rFonts w:eastAsiaTheme="minorHAnsi"/>
          <w:color w:val="000000"/>
        </w:rPr>
        <w:t xml:space="preserve">) пользователей Заказчика.</w:t>
      </w:r>
      <w:r>
        <w:rPr>
          <w:rFonts w:eastAsiaTheme="minorHAnsi"/>
          <w:color w:val="000000"/>
        </w:rPr>
      </w:r>
    </w:p>
    <w:p>
      <w:pPr>
        <w:pStyle w:val="721"/>
        <w:ind w:left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</w:r>
      <w:r>
        <w:rPr>
          <w:rFonts w:eastAsiaTheme="minorHAnsi"/>
          <w:color w:val="000000"/>
        </w:rPr>
      </w:r>
    </w:p>
    <w:p>
      <w:pPr>
        <w:pStyle w:val="713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ТРЕБОВАНИЯ, ПРЕДЪЯВЛЯЕМЫЕ К АБОНЕНТСКОМУ ОБСЛУЖИВАНИЮ</w:t>
      </w:r>
      <w:r>
        <w:rPr>
          <w:b/>
          <w:color w:val="000000"/>
        </w:rPr>
      </w:r>
    </w:p>
    <w:p>
      <w:pPr>
        <w:pStyle w:val="713"/>
        <w:jc w:val="both"/>
        <w:rPr>
          <w:b/>
          <w:color w:val="000000"/>
        </w:rPr>
      </w:pPr>
      <w:r>
        <w:rPr>
          <w:color w:val="000000"/>
        </w:rPr>
        <w:t xml:space="preserve">3.1. Техническая </w:t>
      </w:r>
      <w:r>
        <w:rPr>
          <w:color w:val="000000"/>
        </w:rPr>
        <w:t xml:space="preserve">поддержка</w:t>
      </w:r>
      <w:r>
        <w:rPr>
          <w:color w:val="000000"/>
        </w:rPr>
        <w:t xml:space="preserve"> пользователей системы</w:t>
      </w:r>
      <w:r>
        <w:rPr>
          <w:color w:val="000000"/>
        </w:rPr>
        <w:t xml:space="preserve"> </w:t>
      </w:r>
      <w:r>
        <w:rPr>
          <w:color w:val="000000"/>
        </w:rPr>
        <w:t xml:space="preserve">в виде консультаций по телефону в режиме</w:t>
      </w:r>
      <w:r>
        <w:rPr>
          <w:color w:val="000000"/>
        </w:rPr>
        <w:t xml:space="preserve"> 24 часа в сутки 7 дней в неделю</w:t>
      </w:r>
      <w:r>
        <w:rPr>
          <w:color w:val="000000"/>
        </w:rPr>
        <w:t xml:space="preserve">.</w:t>
      </w:r>
      <w:r>
        <w:rPr>
          <w:b/>
          <w:color w:val="000000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13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ИСПОЛНИТЕЛЬ </w:t>
      </w:r>
      <w:r>
        <w:rPr>
          <w:b/>
          <w:color w:val="000000"/>
        </w:rPr>
        <w:t xml:space="preserve">ОБЯЗАН:</w:t>
      </w:r>
      <w:r>
        <w:rPr>
          <w:b/>
          <w:color w:val="000000"/>
        </w:rPr>
      </w:r>
    </w:p>
    <w:p>
      <w:pPr>
        <w:pStyle w:val="721"/>
        <w:ind w:left="0"/>
        <w:jc w:val="both"/>
      </w:pPr>
      <w:r>
        <w:t xml:space="preserve">4.1. Обеспечить надлежащую передачу прав (простых (неисключительных) лицензий) на использование</w:t>
      </w:r>
      <w:r>
        <w:t xml:space="preserve"> </w:t>
      </w:r>
      <w:r>
        <w:t xml:space="preserve">результатов интеллектуальной </w:t>
      </w:r>
      <w:r>
        <w:t xml:space="preserve">деятельности – программ для</w:t>
      </w:r>
      <w:r>
        <w:t xml:space="preserve"> ЭВМ</w:t>
      </w:r>
      <w:r>
        <w:t xml:space="preserve">:</w:t>
      </w:r>
      <w:r>
        <w:t xml:space="preserve"> </w:t>
      </w:r>
      <w:r>
        <w:t xml:space="preserve">с</w:t>
      </w:r>
      <w:r>
        <w:t xml:space="preserve">истемы</w:t>
      </w:r>
      <w:r>
        <w:t xml:space="preserve"> и СКЗИ «КриптоПро CSP</w:t>
      </w:r>
      <w:r>
        <w:t xml:space="preserve">»</w:t>
      </w:r>
      <w:r>
        <w:t xml:space="preserve"> </w:t>
      </w:r>
      <w:r>
        <w:t xml:space="preserve">− путем заключения</w:t>
      </w:r>
      <w:r>
        <w:t xml:space="preserve"> </w:t>
      </w:r>
      <w:r>
        <w:t xml:space="preserve">с Заказчиком </w:t>
      </w:r>
      <w:r>
        <w:t xml:space="preserve">лицензионного</w:t>
      </w:r>
      <w:r>
        <w:t xml:space="preserve">(</w:t>
      </w:r>
      <w:r>
        <w:t xml:space="preserve">ых</w:t>
      </w:r>
      <w:r>
        <w:t xml:space="preserve">) и (или) </w:t>
      </w:r>
      <w:r>
        <w:t xml:space="preserve">сублицензионного</w:t>
      </w:r>
      <w:r>
        <w:t xml:space="preserve"> (</w:t>
      </w:r>
      <w:r>
        <w:t xml:space="preserve">ых</w:t>
      </w:r>
      <w:r>
        <w:t xml:space="preserve">)</w:t>
      </w:r>
      <w:r>
        <w:t xml:space="preserve"> договора</w:t>
      </w:r>
      <w:r>
        <w:t xml:space="preserve"> (</w:t>
      </w:r>
      <w:r>
        <w:t xml:space="preserve">ов</w:t>
      </w:r>
      <w:r>
        <w:t xml:space="preserve">).</w:t>
      </w:r>
      <w:r/>
    </w:p>
    <w:p>
      <w:pPr>
        <w:pStyle w:val="721"/>
        <w:ind w:left="0"/>
        <w:jc w:val="both"/>
      </w:pPr>
      <w:r>
        <w:t xml:space="preserve">4.2. Надлежащим образом оказать услуги абонентского обслуживания в соответствии</w:t>
      </w:r>
      <w:r>
        <w:t xml:space="preserve"> </w:t>
      </w:r>
      <w:r>
        <w:t xml:space="preserve">с требованиями, установленными разделом 3</w:t>
      </w:r>
      <w:r>
        <w:t xml:space="preserve"> </w:t>
      </w:r>
      <w:r>
        <w:t xml:space="preserve">настоящего Технического задания.</w:t>
      </w:r>
      <w:r/>
    </w:p>
    <w:p>
      <w:pPr>
        <w:pStyle w:val="721"/>
        <w:ind w:left="0"/>
        <w:jc w:val="both"/>
        <w:keepNext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</w:r>
    </w:p>
    <w:p>
      <w:pPr>
        <w:pStyle w:val="713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МЕСТО ПРЕДОСТАВЛЕНИЯ</w:t>
      </w:r>
      <w:r>
        <w:rPr>
          <w:b/>
          <w:color w:val="000000"/>
          <w:sz w:val="26"/>
          <w:szCs w:val="26"/>
        </w:rPr>
        <w:t xml:space="preserve"> доступа к СИСТЕМЕ</w:t>
      </w:r>
      <w:r>
        <w:rPr>
          <w:b/>
          <w:color w:val="000000"/>
          <w:sz w:val="26"/>
          <w:szCs w:val="26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5.1. Исполнитель предоставляет доступ к системе на рабочих местах Заказчика, размещенных по адресу:</w:t>
      </w:r>
      <w:r>
        <w:rPr>
          <w:color w:val="000000"/>
        </w:rPr>
      </w:r>
    </w:p>
    <w:p>
      <w:pPr>
        <w:pStyle w:val="713"/>
        <w:jc w:val="both"/>
        <w:rPr>
          <w:i/>
          <w:color w:val="ff0000"/>
        </w:rPr>
      </w:pPr>
      <w:r>
        <w:rPr>
          <w:i/>
          <w:color w:val="ff0000"/>
        </w:rPr>
        <w:t xml:space="preserve">Заполняется заказчиком</w:t>
      </w:r>
      <w:r>
        <w:rPr>
          <w:i/>
          <w:color w:val="ff0000"/>
        </w:rPr>
      </w:r>
    </w:p>
    <w:p>
      <w:pPr>
        <w:pStyle w:val="713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713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СРОКИ ПРЕДОСТАВЛЕНИЯ</w:t>
      </w:r>
      <w:r>
        <w:rPr>
          <w:b/>
          <w:color w:val="000000"/>
          <w:sz w:val="26"/>
          <w:szCs w:val="26"/>
        </w:rPr>
        <w:t xml:space="preserve"> ДОСТУПА К СИСТЕМЕ</w:t>
      </w:r>
      <w:r>
        <w:rPr>
          <w:b/>
          <w:color w:val="000000"/>
          <w:sz w:val="26"/>
          <w:szCs w:val="26"/>
        </w:rPr>
      </w:r>
    </w:p>
    <w:p>
      <w:pPr>
        <w:pStyle w:val="713"/>
        <w:jc w:val="both"/>
        <w:rPr>
          <w:color w:val="000000"/>
        </w:rPr>
      </w:pPr>
      <w:r>
        <w:rPr>
          <w:color w:val="000000"/>
        </w:rPr>
        <w:t xml:space="preserve">6.1. Исполнитель предоставля</w:t>
      </w:r>
      <w:r>
        <w:rPr>
          <w:color w:val="000000"/>
        </w:rPr>
        <w:t xml:space="preserve">ет доступ Заказчику к Системе </w:t>
      </w:r>
      <w:r>
        <w:rPr>
          <w:color w:val="000000"/>
        </w:rPr>
      </w:r>
    </w:p>
    <w:p>
      <w:pPr>
        <w:pStyle w:val="713"/>
        <w:jc w:val="both"/>
        <w:rPr>
          <w:i/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 xml:space="preserve">Заполняется заказчиком</w:t>
      </w:r>
      <w:r>
        <w:rPr>
          <w:i/>
          <w:color w:val="ff0000"/>
          <w:sz w:val="26"/>
          <w:szCs w:val="26"/>
        </w:rPr>
      </w:r>
    </w:p>
    <w:p>
      <w:pPr>
        <w:jc w:val="right"/>
      </w:pPr>
      <w:r>
        <w:t xml:space="preserve">Приложение № 1 </w:t>
      </w:r>
      <w:r/>
    </w:p>
    <w:p>
      <w:pPr>
        <w:ind w:left="360"/>
        <w:jc w:val="right"/>
      </w:pPr>
      <w:r>
        <w:t xml:space="preserve">к Техническому заданию</w:t>
      </w:r>
      <w:r/>
    </w:p>
    <w:p>
      <w:pPr>
        <w:ind w:left="360"/>
        <w:jc w:val="both"/>
      </w:pPr>
      <w:r/>
      <w:r/>
    </w:p>
    <w:p>
      <w:pPr>
        <w:pStyle w:val="722"/>
        <w:ind w:left="578"/>
        <w:jc w:val="center"/>
        <w:keepNext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пецификация</w:t>
      </w:r>
      <w:r>
        <w:rPr>
          <w:sz w:val="24"/>
          <w:szCs w:val="24"/>
          <w:lang w:val="en-US"/>
        </w:rPr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3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Ед.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Кол-во</w:t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337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Право использования программы для ЭВМ «Контур.Экстерн» по тарифному плану «</w:t>
            </w:r>
            <w:r>
              <w:rPr>
                <w:color w:val="000000"/>
              </w:rPr>
              <w:t xml:space="preserve">Бюджетник плюс</w:t>
            </w:r>
            <w:r>
              <w:rPr>
                <w:color w:val="000000"/>
              </w:rPr>
              <w:t xml:space="preserve">» на 1 год, с применением встроенных в сертификат/ключевой контейнер СКЗИ «КриптоПро CSP»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шт.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337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Услуги по сопровождению программы для ЭВМ «Контур.Экстерн» (техническая поддержка в виде абонентского обслуживания) по тарифному плану «</w:t>
            </w:r>
            <w:r>
              <w:rPr>
                <w:color w:val="000000"/>
              </w:rPr>
              <w:t xml:space="preserve">Бюджетник плюс</w:t>
            </w:r>
            <w:r>
              <w:rPr>
                <w:color w:val="000000"/>
              </w:rPr>
              <w:t xml:space="preserve">» на 1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шт.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</w:tbl>
    <w:p>
      <w:pPr>
        <w:pStyle w:val="722"/>
        <w:ind w:left="578"/>
        <w:jc w:val="center"/>
        <w:keepNext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color w:val="auto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9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98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eastAsia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0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8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1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7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2"/>
  </w:num>
  <w:num w:numId="36">
    <w:abstractNumId w:val="13"/>
  </w:num>
  <w:num w:numId="37">
    <w:abstractNumId w:val="39"/>
  </w:num>
  <w:num w:numId="38">
    <w:abstractNumId w:val="35"/>
  </w:num>
  <w:num w:numId="39">
    <w:abstractNumId w:val="6"/>
  </w:num>
  <w:num w:numId="40">
    <w:abstractNumId w:val="18"/>
  </w:num>
  <w:num w:numId="41">
    <w:abstractNumId w:val="36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3"/>
    <w:next w:val="70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6"/>
    <w:link w:val="70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6"/>
    <w:link w:val="70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6"/>
    <w:link w:val="42"/>
    <w:uiPriority w:val="99"/>
  </w:style>
  <w:style w:type="paragraph" w:styleId="44">
    <w:name w:val="Footer"/>
    <w:basedOn w:val="70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6"/>
    <w:link w:val="44"/>
    <w:uiPriority w:val="99"/>
  </w:style>
  <w:style w:type="paragraph" w:styleId="46">
    <w:name w:val="Caption"/>
    <w:basedOn w:val="703"/>
    <w:next w:val="70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rPr>
      <w:sz w:val="24"/>
      <w:szCs w:val="24"/>
      <w:lang w:eastAsia="ru-RU"/>
    </w:rPr>
  </w:style>
  <w:style w:type="paragraph" w:styleId="704">
    <w:name w:val="Heading 2"/>
    <w:basedOn w:val="703"/>
    <w:link w:val="709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705">
    <w:name w:val="Heading 3"/>
    <w:basedOn w:val="703"/>
    <w:link w:val="71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2 Знак"/>
    <w:link w:val="704"/>
    <w:uiPriority w:val="9"/>
    <w:rPr>
      <w:b/>
      <w:bCs/>
      <w:sz w:val="36"/>
      <w:szCs w:val="36"/>
    </w:rPr>
  </w:style>
  <w:style w:type="character" w:styleId="710" w:customStyle="1">
    <w:name w:val="Заголовок 3 Знак"/>
    <w:link w:val="705"/>
    <w:uiPriority w:val="9"/>
    <w:rPr>
      <w:b/>
      <w:bCs/>
      <w:sz w:val="27"/>
      <w:szCs w:val="27"/>
    </w:rPr>
  </w:style>
  <w:style w:type="character" w:styleId="711">
    <w:name w:val="Strong"/>
    <w:qFormat/>
    <w:rPr>
      <w:b/>
      <w:bCs/>
    </w:rPr>
  </w:style>
  <w:style w:type="character" w:styleId="712">
    <w:name w:val="Emphasis"/>
    <w:uiPriority w:val="20"/>
    <w:qFormat/>
    <w:rPr>
      <w:i/>
      <w:iCs/>
    </w:rPr>
  </w:style>
  <w:style w:type="paragraph" w:styleId="713">
    <w:name w:val="Normal (Web)"/>
    <w:basedOn w:val="703"/>
    <w:uiPriority w:val="99"/>
    <w:unhideWhenUsed/>
    <w:rPr>
      <w:rFonts w:eastAsiaTheme="minorHAnsi"/>
    </w:rPr>
  </w:style>
  <w:style w:type="character" w:styleId="714">
    <w:name w:val="annotation reference"/>
    <w:basedOn w:val="706"/>
    <w:uiPriority w:val="99"/>
    <w:semiHidden/>
    <w:unhideWhenUsed/>
    <w:rPr>
      <w:sz w:val="16"/>
      <w:szCs w:val="16"/>
    </w:rPr>
  </w:style>
  <w:style w:type="paragraph" w:styleId="715">
    <w:name w:val="annotation text"/>
    <w:basedOn w:val="703"/>
    <w:link w:val="716"/>
    <w:uiPriority w:val="99"/>
    <w:semiHidden/>
    <w:unhideWhenUsed/>
    <w:rPr>
      <w:sz w:val="20"/>
      <w:szCs w:val="20"/>
    </w:rPr>
  </w:style>
  <w:style w:type="character" w:styleId="716" w:customStyle="1">
    <w:name w:val="Текст примечания Знак"/>
    <w:basedOn w:val="706"/>
    <w:link w:val="715"/>
    <w:uiPriority w:val="99"/>
    <w:semiHidden/>
    <w:rPr>
      <w:lang w:eastAsia="ru-RU"/>
    </w:rPr>
  </w:style>
  <w:style w:type="paragraph" w:styleId="717">
    <w:name w:val="annotation subject"/>
    <w:basedOn w:val="715"/>
    <w:next w:val="715"/>
    <w:link w:val="718"/>
    <w:uiPriority w:val="99"/>
    <w:semiHidden/>
    <w:unhideWhenUsed/>
    <w:rPr>
      <w:b/>
      <w:bCs/>
    </w:rPr>
  </w:style>
  <w:style w:type="character" w:styleId="718" w:customStyle="1">
    <w:name w:val="Тема примечания Знак"/>
    <w:basedOn w:val="716"/>
    <w:link w:val="717"/>
    <w:uiPriority w:val="99"/>
    <w:semiHidden/>
    <w:rPr>
      <w:b/>
      <w:bCs/>
      <w:lang w:eastAsia="ru-RU"/>
    </w:rPr>
  </w:style>
  <w:style w:type="paragraph" w:styleId="719">
    <w:name w:val="Balloon Text"/>
    <w:basedOn w:val="703"/>
    <w:link w:val="720"/>
    <w:uiPriority w:val="99"/>
    <w:semiHidden/>
    <w:unhideWhenUsed/>
    <w:rPr>
      <w:rFonts w:ascii="Tahoma" w:hAnsi="Tahoma" w:cs="Tahoma"/>
      <w:sz w:val="16"/>
      <w:szCs w:val="16"/>
    </w:rPr>
  </w:style>
  <w:style w:type="character" w:styleId="720" w:customStyle="1">
    <w:name w:val="Текст выноски Знак"/>
    <w:basedOn w:val="706"/>
    <w:link w:val="71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721">
    <w:name w:val="List Paragraph"/>
    <w:basedOn w:val="703"/>
    <w:link w:val="727"/>
    <w:uiPriority w:val="34"/>
    <w:qFormat/>
    <w:pPr>
      <w:contextualSpacing/>
      <w:ind w:left="720"/>
    </w:pPr>
  </w:style>
  <w:style w:type="paragraph" w:styleId="722">
    <w:name w:val="Body Text Indent"/>
    <w:basedOn w:val="703"/>
    <w:link w:val="723"/>
    <w:semiHidden/>
    <w:unhideWhenUsed/>
    <w:pPr>
      <w:ind w:left="283"/>
      <w:spacing w:after="120"/>
    </w:pPr>
    <w:rPr>
      <w:sz w:val="20"/>
      <w:szCs w:val="20"/>
      <w:lang w:eastAsia="ar-SA"/>
    </w:rPr>
  </w:style>
  <w:style w:type="character" w:styleId="723" w:customStyle="1">
    <w:name w:val="Основной текст с отступом Знак"/>
    <w:basedOn w:val="706"/>
    <w:link w:val="722"/>
    <w:semiHidden/>
    <w:rPr>
      <w:lang w:eastAsia="ar-SA"/>
    </w:rPr>
  </w:style>
  <w:style w:type="paragraph" w:styleId="724">
    <w:name w:val="Body Text 3"/>
    <w:basedOn w:val="703"/>
    <w:link w:val="725"/>
    <w:uiPriority w:val="99"/>
    <w:semiHidden/>
    <w:unhideWhenUsed/>
    <w:pPr>
      <w:spacing w:after="120"/>
    </w:pPr>
    <w:rPr>
      <w:sz w:val="16"/>
      <w:szCs w:val="16"/>
    </w:rPr>
  </w:style>
  <w:style w:type="character" w:styleId="725" w:customStyle="1">
    <w:name w:val="Основной текст 3 Знак"/>
    <w:basedOn w:val="706"/>
    <w:link w:val="724"/>
    <w:rPr>
      <w:sz w:val="16"/>
      <w:szCs w:val="16"/>
      <w:lang w:eastAsia="ru-RU"/>
    </w:rPr>
  </w:style>
  <w:style w:type="paragraph" w:styleId="726">
    <w:name w:val="Revision"/>
    <w:hidden/>
    <w:uiPriority w:val="99"/>
    <w:semiHidden/>
    <w:rPr>
      <w:sz w:val="24"/>
      <w:szCs w:val="24"/>
      <w:lang w:eastAsia="ru-RU"/>
    </w:rPr>
  </w:style>
  <w:style w:type="character" w:styleId="727" w:customStyle="1">
    <w:name w:val="Абзац списка Знак"/>
    <w:link w:val="721"/>
    <w:uiPriority w:val="34"/>
    <w:qFormat/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C665-E01E-4C1D-9096-03482AF5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a.yaskevich</cp:lastModifiedBy>
  <cp:revision>14</cp:revision>
  <dcterms:created xsi:type="dcterms:W3CDTF">2025-07-29T06:52:00Z</dcterms:created>
  <dcterms:modified xsi:type="dcterms:W3CDTF">2026-07-02T04:31:42Z</dcterms:modified>
</cp:coreProperties>
</file>