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widowControl w:val="false"/>
        <w:numPr>
          <w:ilvl w:val="0"/>
          <w:numId w:val="0"/>
        </w:numPr>
        <w:tabs>
          <w:tab w:val="clear" w:pos="408"/>
          <w:tab w:val="center" w:pos="4590" w:leader="none"/>
        </w:tabs>
        <w:spacing w:lineRule="auto" w:line="240" w:before="0" w:after="0"/>
        <w:ind w:left="0" w:firstLine="567"/>
        <w:jc w:val="center"/>
        <w:outlineLvl w:val="1"/>
        <w:rPr>
          <w:rFonts w:ascii="Liberation Serif" w:hAnsi="Liberation Serif" w:cs="Times New Roman"/>
          <w:b/>
          <w:i/>
          <w:i/>
          <w:sz w:val="24"/>
          <w:szCs w:val="24"/>
          <w:lang w:eastAsia="ru-RU"/>
        </w:rPr>
      </w:pPr>
      <w:r>
        <w:rPr>
          <w:rFonts w:cs="Times New Roman" w:ascii="Liberation Serif" w:hAnsi="Liberation Serif"/>
          <w:b/>
          <w:i/>
          <w:sz w:val="24"/>
          <w:szCs w:val="24"/>
          <w:lang w:eastAsia="ru-RU"/>
        </w:rPr>
        <w:t>ОБОСНОВАНИЕ НАЧАЛЬНОЙ (МАКСИМАЛЬНОЙ) ЦЕНЫ КОНТРАКТА</w:t>
      </w:r>
    </w:p>
    <w:p>
      <w:pPr>
        <w:pStyle w:val="Standard"/>
        <w:widowControl w:val="false"/>
        <w:numPr>
          <w:ilvl w:val="0"/>
          <w:numId w:val="0"/>
        </w:numPr>
        <w:tabs>
          <w:tab w:val="clear" w:pos="408"/>
          <w:tab w:val="center" w:pos="4590" w:leader="none"/>
        </w:tabs>
        <w:spacing w:lineRule="auto" w:line="240" w:before="0" w:after="0"/>
        <w:ind w:left="0" w:firstLine="567"/>
        <w:jc w:val="center"/>
        <w:outlineLvl w:val="1"/>
        <w:rPr>
          <w:rFonts w:ascii="Liberation Serif" w:hAnsi="Liberation Serif" w:cs="Times New Roman"/>
          <w:b/>
          <w:i/>
          <w:i/>
          <w:sz w:val="24"/>
          <w:szCs w:val="24"/>
          <w:lang w:eastAsia="ru-RU"/>
        </w:rPr>
      </w:pPr>
      <w:r>
        <w:rPr>
          <w:rFonts w:cs="Times New Roman" w:ascii="Liberation Serif" w:hAnsi="Liberation Serif"/>
          <w:b/>
          <w:i/>
          <w:sz w:val="24"/>
          <w:szCs w:val="24"/>
          <w:lang w:eastAsia="ru-RU"/>
        </w:rPr>
      </w:r>
    </w:p>
    <w:tbl>
      <w:tblPr>
        <w:tblW w:w="15704" w:type="dxa"/>
        <w:jc w:val="left"/>
        <w:tblInd w:w="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noVBand="1" w:val="04a0" w:noHBand="0" w:lastColumn="0" w:firstColumn="1" w:lastRow="0" w:firstRow="1"/>
      </w:tblPr>
      <w:tblGrid>
        <w:gridCol w:w="318"/>
        <w:gridCol w:w="1844"/>
        <w:gridCol w:w="165"/>
        <w:gridCol w:w="959"/>
        <w:gridCol w:w="1530"/>
        <w:gridCol w:w="1545"/>
        <w:gridCol w:w="1530"/>
        <w:gridCol w:w="1532"/>
        <w:gridCol w:w="1126"/>
        <w:gridCol w:w="1473"/>
        <w:gridCol w:w="1664"/>
        <w:gridCol w:w="2016"/>
      </w:tblGrid>
      <w:tr>
        <w:trPr>
          <w:trHeight w:val="1186" w:hRule="atLeast"/>
        </w:trPr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tabs>
                <w:tab w:val="clear" w:pos="408"/>
                <w:tab w:val="left" w:pos="993" w:leader="none"/>
              </w:tabs>
              <w:spacing w:lineRule="auto" w:line="240" w:before="0" w:after="0"/>
              <w:rPr>
                <w:rFonts w:ascii="Liberation Serif" w:hAnsi="Liberation Serif" w:cs="Times New Roman"/>
                <w:lang w:eastAsia="ru-RU"/>
              </w:rPr>
            </w:pPr>
            <w:r>
              <w:rPr>
                <w:rFonts w:cs="Times New Roman" w:ascii="Liberation Serif" w:hAnsi="Liberation Serif"/>
                <w:lang w:eastAsia="ru-RU"/>
              </w:rPr>
              <w:t>Используемый метод определения НМЦК</w:t>
              <w:br/>
              <w:t>с обоснованием:</w:t>
            </w:r>
          </w:p>
        </w:tc>
        <w:tc>
          <w:tcPr>
            <w:tcW w:w="135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Liberation Serif" w:hAnsi="Liberation Serif" w:cs="Times New Roman"/>
                <w:lang w:eastAsia="ru-RU"/>
              </w:rPr>
            </w:pPr>
            <w:r>
              <w:rPr>
                <w:rFonts w:cs="Times New Roman" w:ascii="Liberation Serif" w:hAnsi="Liberation Serif"/>
                <w:lang w:eastAsia="ru-RU"/>
              </w:rPr>
              <w:t>Метод сопоставимых рыночных цен (анализа рынка), данный метод определения НМЦК является приоритетным.</w:t>
            </w:r>
          </w:p>
          <w:p>
            <w:pPr>
              <w:pStyle w:val="Standard"/>
              <w:widowControl w:val="false"/>
              <w:tabs>
                <w:tab w:val="clear" w:pos="408"/>
                <w:tab w:val="left" w:pos="993" w:leader="none"/>
              </w:tabs>
              <w:spacing w:lineRule="auto" w:line="240" w:before="0" w:after="0"/>
              <w:jc w:val="both"/>
              <w:rPr>
                <w:rFonts w:ascii="Liberation Serif" w:hAnsi="Liberation Serif" w:cs="Times New Roman"/>
                <w:lang w:eastAsia="ru-RU"/>
              </w:rPr>
            </w:pPr>
            <w:r>
              <w:rPr>
                <w:rFonts w:cs="Times New Roman" w:ascii="Liberation Serif" w:hAnsi="Liberation Serif"/>
                <w:lang w:eastAsia="ru-RU"/>
              </w:rPr>
              <w:t>В целях определения начальной (максимальной) цены контракта в порядке, установленном Законом и приказом Минэкономразвития России от 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осуществлена процедура получения ценовой информации путем направления запросов о предоставлении ценовой информации исполнителям, обладающих опытом выполнения аналогичных работ (оказания услуг).</w:t>
            </w:r>
          </w:p>
        </w:tc>
      </w:tr>
      <w:tr>
        <w:trPr>
          <w:trHeight w:val="326" w:hRule="atLeast"/>
        </w:trPr>
        <w:tc>
          <w:tcPr>
            <w:tcW w:w="15702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tabs>
                <w:tab w:val="clear" w:pos="408"/>
                <w:tab w:val="left" w:pos="993" w:leader="none"/>
              </w:tabs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 xml:space="preserve">Расчет начальной (максимальной) цены контракта на оказание услуг по предоставлению доступа </w:t>
            </w:r>
          </w:p>
          <w:p>
            <w:pPr>
              <w:pStyle w:val="Standard"/>
              <w:widowControl w:val="false"/>
              <w:tabs>
                <w:tab w:val="clear" w:pos="408"/>
                <w:tab w:val="left" w:pos="993" w:leader="none"/>
              </w:tabs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>к информационно-коммуникационной сети Интернет</w:t>
            </w:r>
          </w:p>
        </w:tc>
      </w:tr>
      <w:tr>
        <w:trPr>
          <w:trHeight w:val="685" w:hRule="atLeast"/>
        </w:trPr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abs>
                <w:tab w:val="clear" w:pos="408"/>
                <w:tab w:val="left" w:pos="993" w:leader="none"/>
              </w:tabs>
              <w:spacing w:lineRule="auto" w:line="240" w:before="0" w:after="0"/>
              <w:jc w:val="center"/>
              <w:rPr>
                <w:rFonts w:ascii="Liberation Serif" w:hAnsi="Liberation Serif" w:cs="Times New Roman"/>
                <w:lang w:eastAsia="ru-RU"/>
              </w:rPr>
            </w:pPr>
            <w:r>
              <w:rPr>
                <w:rFonts w:cs="Times New Roman" w:ascii="Liberation Serif" w:hAnsi="Liberation Serif"/>
                <w:lang w:eastAsia="ru-RU"/>
              </w:rPr>
              <w:t xml:space="preserve">№ </w:t>
            </w:r>
            <w:r>
              <w:rPr>
                <w:rFonts w:cs="Times New Roman" w:ascii="Liberation Serif" w:hAnsi="Liberation Serif"/>
                <w:lang w:eastAsia="ru-RU"/>
              </w:rPr>
              <w:t>п/п</w:t>
            </w:r>
          </w:p>
        </w:tc>
        <w:tc>
          <w:tcPr>
            <w:tcW w:w="20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abs>
                <w:tab w:val="clear" w:pos="408"/>
                <w:tab w:val="left" w:pos="993" w:leader="none"/>
              </w:tabs>
              <w:spacing w:lineRule="auto" w:line="240" w:before="0" w:after="0"/>
              <w:jc w:val="center"/>
              <w:rPr>
                <w:rFonts w:ascii="Liberation Serif" w:hAnsi="Liberation Serif" w:cs="Times New Roman"/>
                <w:lang w:eastAsia="ru-RU"/>
              </w:rPr>
            </w:pPr>
            <w:r>
              <w:rPr>
                <w:rFonts w:cs="Times New Roman" w:ascii="Liberation Serif" w:hAnsi="Liberation Serif"/>
                <w:lang w:eastAsia="ru-RU"/>
              </w:rPr>
              <w:t>Наименование товара, работы, услуги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cs="Times New Roman" w:ascii="Liberation Serif" w:hAnsi="Liberation Serif"/>
                <w:color w:val="000000"/>
                <w:lang w:eastAsia="ru-RU"/>
              </w:rPr>
              <w:t>Кол-во (</w:t>
            </w:r>
            <w:r>
              <w:rPr>
                <w:rFonts w:cs="Times New Roman" w:ascii="Liberation Serif" w:hAnsi="Liberation Serif"/>
                <w:color w:val="000000"/>
                <w:lang w:eastAsia="ru-RU"/>
              </w:rPr>
              <w:t>мес</w:t>
            </w:r>
            <w:r>
              <w:rPr>
                <w:rFonts w:cs="Times New Roman" w:ascii="Liberation Serif" w:hAnsi="Liberation Serif"/>
                <w:color w:val="000000"/>
                <w:lang w:eastAsia="ru-RU"/>
              </w:rPr>
              <w:t>.)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Коммерческое предложение № 09-05/26-01/4316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 13.07.2026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цена за ед. (руб.)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Коммерческое предложение № 09-05/26-01/4381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 15.07.2026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cs="Times New Roman" w:ascii="Liberation Serif" w:hAnsi="Liberation Serif"/>
                <w:color w:val="000000"/>
                <w:lang w:eastAsia="ru-RU"/>
              </w:rPr>
              <w:t>цена за ед. (руб.)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Коммерческое предложение № 09-05/26-01/4382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 15.07.2026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цена за ед.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(руб.)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Коммерческое предложение 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№ </w:t>
            </w:r>
            <w:r>
              <w:rPr>
                <w:rFonts w:ascii="Liberation Serif" w:hAnsi="Liberation Serif"/>
                <w:color w:val="000000"/>
              </w:rPr>
              <w:t>09-05/26-01/4410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 16.07.2026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цена за ед.</w:t>
            </w:r>
          </w:p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(руб)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Средняя </w:t>
            </w:r>
            <w:r>
              <w:rPr>
                <w:rFonts w:cs="Times New Roman" w:ascii="Liberation Serif" w:hAnsi="Liberation Serif"/>
                <w:color w:val="000000"/>
                <w:lang w:eastAsia="ru-RU"/>
              </w:rPr>
              <w:t>цена за ед. (руб.)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abs>
                <w:tab w:val="clear" w:pos="408"/>
                <w:tab w:val="left" w:pos="993" w:leader="none"/>
              </w:tabs>
              <w:spacing w:lineRule="auto" w:line="240" w:before="0" w:after="0"/>
              <w:jc w:val="center"/>
              <w:rPr>
                <w:rFonts w:ascii="Liberation Serif" w:hAnsi="Liberation Serif" w:cs="Times New Roman"/>
                <w:color w:val="000000"/>
                <w:shd w:fill="FFFFFF" w:val="clear"/>
                <w:lang w:eastAsia="ru-RU"/>
              </w:rPr>
            </w:pPr>
            <w:r>
              <w:rPr>
                <w:rFonts w:cs="Times New Roman" w:ascii="Liberation Serif" w:hAnsi="Liberation Serif"/>
                <w:color w:val="000000"/>
                <w:shd w:fill="FFFFFF" w:val="clear"/>
                <w:lang w:eastAsia="ru-RU"/>
              </w:rPr>
              <w:t>Итоговая цена (руб.)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abs>
                <w:tab w:val="clear" w:pos="408"/>
                <w:tab w:val="left" w:pos="993" w:leader="none"/>
              </w:tabs>
              <w:spacing w:lineRule="auto" w:line="240" w:before="0" w:after="0"/>
              <w:jc w:val="center"/>
              <w:rPr>
                <w:rFonts w:ascii="Liberation Serif" w:hAnsi="Liberation Serif" w:cs="Times New Roman"/>
                <w:lang w:eastAsia="ru-RU"/>
              </w:rPr>
            </w:pPr>
            <w:r>
              <w:rPr>
                <w:rFonts w:cs="Times New Roman" w:ascii="Liberation Serif" w:hAnsi="Liberation Serif"/>
                <w:lang w:eastAsia="ru-RU"/>
              </w:rPr>
              <w:t>Среднее квадратичное отклонение</w:t>
            </w:r>
          </w:p>
        </w:tc>
        <w:tc>
          <w:tcPr>
            <w:tcW w:w="2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 w:cs="Times New Roman"/>
                <w:lang w:eastAsia="ru-RU"/>
              </w:rPr>
            </w:pPr>
            <w:r>
              <w:rPr>
                <w:rFonts w:cs="Times New Roman" w:ascii="Liberation Serif" w:hAnsi="Liberation Serif"/>
                <w:lang w:eastAsia="ru-RU"/>
              </w:rPr>
              <w:t>Коэффициент вариации (%)*</w:t>
            </w:r>
          </w:p>
        </w:tc>
      </w:tr>
      <w:tr>
        <w:trPr>
          <w:trHeight w:val="483" w:hRule="atLeast"/>
        </w:trPr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abs>
                <w:tab w:val="clear" w:pos="408"/>
                <w:tab w:val="left" w:pos="993" w:leader="none"/>
              </w:tabs>
              <w:spacing w:lineRule="auto" w:line="240" w:before="0" w:after="0"/>
              <w:jc w:val="center"/>
              <w:rPr>
                <w:rFonts w:ascii="Liberation Serif" w:hAnsi="Liberation Serif" w:cs="Times New Roman"/>
                <w:lang w:eastAsia="ru-RU"/>
              </w:rPr>
            </w:pPr>
            <w:r>
              <w:rPr>
                <w:rFonts w:cs="Times New Roman" w:ascii="Liberation Serif" w:hAnsi="Liberation Serif"/>
                <w:lang w:eastAsia="ru-RU"/>
              </w:rPr>
              <w:t>1.</w:t>
            </w:r>
          </w:p>
        </w:tc>
        <w:tc>
          <w:tcPr>
            <w:tcW w:w="20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993" w:leader="none"/>
              </w:tabs>
              <w:jc w:val="center"/>
              <w:rPr>
                <w:rFonts w:ascii="Liberation Serif" w:hAnsi="Liberation Serif" w:cs="Times New Roman"/>
                <w:sz w:val="22"/>
                <w:lang w:eastAsia="ru-RU"/>
              </w:rPr>
            </w:pPr>
            <w:r>
              <w:rPr>
                <w:rFonts w:cs="Times New Roman" w:ascii="Liberation Serif" w:hAnsi="Liberation Serif"/>
                <w:sz w:val="22"/>
                <w:lang w:eastAsia="ru-RU"/>
              </w:rPr>
              <w:t>Оказание услуг по предоставлению доступа к информационно-коммуникационной сети Интернет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lineRule="auto" w:line="240" w:before="0" w:after="0"/>
              <w:jc w:val="center"/>
              <w:rPr>
                <w:rFonts w:ascii="Liberation Serif" w:hAnsi="Liberation Serif" w:eastAsia="Noto Sans CJK SC Regular" w:cs="FreeSans"/>
                <w:lang w:eastAsia="zh-CN" w:bidi="hi-IN"/>
              </w:rPr>
            </w:pPr>
            <w:r>
              <w:rPr>
                <w:rFonts w:eastAsia="Noto Sans CJK SC Regular" w:cs="FreeSans" w:ascii="Liberation Serif" w:hAnsi="Liberation Serif"/>
                <w:lang w:eastAsia="zh-CN" w:bidi="hi-IN"/>
              </w:rPr>
              <w:t>4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115 900,00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159 800,00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160 000,00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210 000,00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161 425,00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645 700,00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 w:cs="Times New Roman"/>
                <w:lang w:val="en-US" w:eastAsia="ru-RU"/>
              </w:rPr>
            </w:pPr>
            <w:r>
              <w:rPr>
                <w:rFonts w:cs="Times New Roman" w:ascii="Liberation Serif" w:hAnsi="Liberation Serif"/>
                <w:lang w:val="en-US" w:eastAsia="ru-RU"/>
              </w:rPr>
              <w:t>38 456,59</w:t>
            </w:r>
          </w:p>
        </w:tc>
        <w:tc>
          <w:tcPr>
            <w:tcW w:w="2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 w:cs="Times New Roman"/>
                <w:lang w:val="en-US" w:eastAsia="ru-RU"/>
              </w:rPr>
            </w:pPr>
            <w:r>
              <w:rPr>
                <w:rFonts w:cs="Times New Roman" w:ascii="Liberation Serif" w:hAnsi="Liberation Serif"/>
                <w:lang w:val="en-US" w:eastAsia="ru-RU"/>
              </w:rPr>
              <w:t>23,82 %</w:t>
            </w:r>
          </w:p>
        </w:tc>
      </w:tr>
      <w:tr>
        <w:trPr>
          <w:trHeight w:val="483" w:hRule="atLeast"/>
        </w:trPr>
        <w:tc>
          <w:tcPr>
            <w:tcW w:w="9423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ind w:left="113" w:hanging="0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В соответствии с Приказом Министерства цифрового развития, связи и массовых коммуникаций Российской Федерации от 11.03.2021 №144 «Об утверждении нормативных затрат на обеспечение функций федерального казенного учреждения «Государственные технологии»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130 000,00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520 000,00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 w:cs="Times New Roman"/>
                <w:lang w:val="en-US" w:eastAsia="ru-RU"/>
              </w:rPr>
            </w:pPr>
            <w:r>
              <w:rPr>
                <w:rFonts w:cs="Times New Roman" w:ascii="Liberation Serif" w:hAnsi="Liberation Serif"/>
                <w:lang w:val="en-US" w:eastAsia="ru-RU"/>
              </w:rPr>
            </w:r>
          </w:p>
        </w:tc>
        <w:tc>
          <w:tcPr>
            <w:tcW w:w="2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 w:cs="Times New Roman"/>
                <w:lang w:val="en-US" w:eastAsia="ru-RU"/>
              </w:rPr>
            </w:pPr>
            <w:r>
              <w:rPr>
                <w:rFonts w:cs="Times New Roman" w:ascii="Liberation Serif" w:hAnsi="Liberation Serif"/>
                <w:lang w:val="en-US" w:eastAsia="ru-RU"/>
              </w:rPr>
            </w:r>
          </w:p>
        </w:tc>
      </w:tr>
      <w:tr>
        <w:trPr>
          <w:trHeight w:val="304" w:hRule="atLeast"/>
        </w:trPr>
        <w:tc>
          <w:tcPr>
            <w:tcW w:w="10549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abs>
                <w:tab w:val="clear" w:pos="408"/>
                <w:tab w:val="left" w:pos="993" w:leader="none"/>
              </w:tabs>
              <w:spacing w:lineRule="auto" w:line="240" w:before="0" w:after="0"/>
              <w:jc w:val="right"/>
              <w:rPr>
                <w:rFonts w:ascii="Liberation Serif" w:hAnsi="Liberation Serif" w:cs="Times New Roman"/>
                <w:b/>
                <w:lang w:eastAsia="ru-RU"/>
              </w:rPr>
            </w:pPr>
            <w:r>
              <w:rPr>
                <w:rFonts w:cs="Times New Roman" w:ascii="Liberation Serif" w:hAnsi="Liberation Serif"/>
                <w:b/>
                <w:lang w:eastAsia="ru-RU"/>
              </w:rPr>
              <w:t>Итого, руб.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28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520 000,00</w:t>
            </w:r>
          </w:p>
        </w:tc>
        <w:tc>
          <w:tcPr>
            <w:tcW w:w="166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2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Liberation Serif" w:hAnsi="Liberation Serif" w:cs="Times New Roman"/>
                <w:lang w:val="en-US" w:eastAsia="ru-RU"/>
              </w:rPr>
            </w:pPr>
            <w:r>
              <w:rPr>
                <w:rFonts w:cs="Times New Roman" w:ascii="Liberation Serif" w:hAnsi="Liberation Serif"/>
                <w:lang w:val="en-US" w:eastAsia="ru-RU"/>
              </w:rPr>
            </w:r>
          </w:p>
        </w:tc>
      </w:tr>
      <w:tr>
        <w:trPr>
          <w:trHeight w:val="304" w:hRule="atLeast"/>
        </w:trPr>
        <w:tc>
          <w:tcPr>
            <w:tcW w:w="15702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keepLines/>
              <w:widowControl w:val="false"/>
              <w:spacing w:lineRule="auto" w:line="240" w:before="0" w:after="0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>В целях определения однородности совокупности значений выявленных цен, используемых в расчете начальной (максимальной) цены контракта, по указанной ниже формуле, был рассчитан коэффициент вариации:</w:t>
            </w:r>
          </w:p>
          <w:p>
            <w:pPr>
              <w:pStyle w:val="Standard"/>
              <w:keepLines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>, где</w:t>
            </w:r>
          </w:p>
          <w:p>
            <w:pPr>
              <w:pStyle w:val="Standard"/>
              <w:keepLines/>
              <w:widowControl w:val="false"/>
              <w:spacing w:lineRule="auto" w:line="240" w:before="0" w:after="0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>V — коэффициент вариации;</w:t>
            </w:r>
          </w:p>
          <w:p>
            <w:pPr>
              <w:pStyle w:val="Standard"/>
              <w:keepLines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 xml:space="preserve"> — </w:t>
            </w: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>среднее квадратичное отклонение;</w:t>
            </w:r>
          </w:p>
          <w:p>
            <w:pPr>
              <w:pStyle w:val="Standard"/>
              <w:keepLines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>ц</w:t>
            </w:r>
            <w:r>
              <w:rPr>
                <w:rFonts w:cs="Times New Roman" w:ascii="Liberation Serif" w:hAnsi="Liberation Serif"/>
                <w:sz w:val="24"/>
                <w:szCs w:val="24"/>
                <w:vertAlign w:val="superscript"/>
                <w:lang w:eastAsia="ru-RU"/>
              </w:rPr>
              <w:t>i</w:t>
            </w: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 xml:space="preserve"> — цена работ, указанная в источнике с номером i;</w:t>
            </w:r>
          </w:p>
          <w:p>
            <w:pPr>
              <w:pStyle w:val="Standard"/>
              <w:keepLines/>
              <w:widowControl w:val="false"/>
              <w:spacing w:lineRule="auto" w:line="240" w:before="0" w:after="0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>&lt;ц&gt; — средняя арифметическая величина цены работ;</w:t>
            </w:r>
          </w:p>
          <w:p>
            <w:pPr>
              <w:pStyle w:val="Standard"/>
              <w:keepLines/>
              <w:widowControl w:val="false"/>
              <w:spacing w:lineRule="auto" w:line="240" w:before="0" w:after="0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>n — количество значений, используемых в расчете.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Коэффициент вариации цены составляет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23,82 %, что не превышает 33%, в связи с чем, совокупность значений, используемых в расчете при определении начальной (максимальной) цены контракта, является однородной.</w:t>
            </w:r>
          </w:p>
          <w:p>
            <w:pPr>
              <w:pStyle w:val="Standard"/>
              <w:keepLines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</w:rPr>
            </w:pPr>
            <w:r>
              <w:rPr>
                <w:rFonts w:cs="Times New Roman" w:ascii="Liberation Serif" w:hAnsi="Liberation Serif"/>
                <w:b/>
                <w:sz w:val="24"/>
                <w:szCs w:val="24"/>
                <w:lang w:eastAsia="ru-RU"/>
              </w:rPr>
              <w:t>Расчет начальной (максимальной) цены контракта</w:t>
            </w: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>:</w:t>
            </w:r>
          </w:p>
          <w:p>
            <w:pPr>
              <w:pStyle w:val="Standard"/>
              <w:keepLines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>, где</w:t>
            </w:r>
          </w:p>
          <w:p>
            <w:pPr>
              <w:pStyle w:val="Standard"/>
              <w:keepLines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>НМЦК</w:t>
            </w:r>
            <w:r>
              <w:rPr>
                <w:rFonts w:cs="Times New Roman" w:ascii="Liberation Serif" w:hAnsi="Liberation Serif"/>
                <w:sz w:val="24"/>
                <w:szCs w:val="24"/>
                <w:vertAlign w:val="superscript"/>
                <w:lang w:eastAsia="ru-RU"/>
              </w:rPr>
              <w:t>рын</w:t>
            </w: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 xml:space="preserve"> — начальная (максимальная) цена контракта, определяемая методом сопоставимых рыночных цен (анализа рынка);</w:t>
            </w:r>
          </w:p>
          <w:p>
            <w:pPr>
              <w:pStyle w:val="Standard"/>
              <w:keepLines/>
              <w:widowControl w:val="false"/>
              <w:spacing w:lineRule="auto" w:line="240" w:before="0" w:after="0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>v — объем работ;</w:t>
            </w:r>
          </w:p>
          <w:p>
            <w:pPr>
              <w:pStyle w:val="Standard"/>
              <w:keepLines/>
              <w:widowControl w:val="false"/>
              <w:spacing w:lineRule="auto" w:line="240" w:before="0" w:after="0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>n — количество значений, используемых в расчете;</w:t>
            </w:r>
          </w:p>
          <w:p>
            <w:pPr>
              <w:pStyle w:val="Standard"/>
              <w:keepLines/>
              <w:widowControl w:val="false"/>
              <w:spacing w:lineRule="auto" w:line="240" w:before="0" w:after="0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>i — номер источника ценовой информации;</w:t>
            </w:r>
          </w:p>
          <w:p>
            <w:pPr>
              <w:pStyle w:val="Standard"/>
              <w:keepLines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</w:rPr>
            </w:pP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>ц</w:t>
            </w:r>
            <w:r>
              <w:rPr>
                <w:rFonts w:cs="Times New Roman" w:ascii="Liberation Serif" w:hAnsi="Liberation Serif"/>
                <w:sz w:val="24"/>
                <w:szCs w:val="24"/>
                <w:vertAlign w:val="superscript"/>
                <w:lang w:eastAsia="ru-RU"/>
              </w:rPr>
              <w:t>i</w:t>
            </w: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 xml:space="preserve"> — цена работ, представленная в источнике с номером i,</w:t>
            </w:r>
          </w:p>
          <w:p>
            <w:pPr>
              <w:pStyle w:val="Standard"/>
              <w:keepLines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</w:rPr>
            </w:pPr>
            <w:r>
              <w:rPr>
                <w:rFonts w:cs="Times New Roman" w:ascii="Liberation Serif" w:hAnsi="Liberation Serif"/>
                <w:b/>
                <w:sz w:val="24"/>
                <w:szCs w:val="24"/>
                <w:lang w:eastAsia="ru-RU"/>
              </w:rPr>
              <w:t>Начальная (максимальная) цена контракта</w:t>
            </w:r>
            <w:r>
              <w:rPr>
                <w:rFonts w:cs="Times New Roman" w:ascii="Liberation Serif" w:hAnsi="Liberation Serif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cs="Liberation Serif" w:ascii="Liberation Serif" w:hAnsi="Liberation Serif"/>
                <w:color w:val="000000"/>
                <w:lang w:eastAsia="ru-RU"/>
              </w:rPr>
              <w:t>НМЦК</w:t>
            </w:r>
            <w:r>
              <w:rPr>
                <w:rFonts w:cs="Liberation Serif" w:ascii="Liberation Serif" w:hAnsi="Liberation Serif"/>
                <w:color w:val="000000"/>
                <w:vertAlign w:val="superscript"/>
                <w:lang w:eastAsia="ru-RU"/>
              </w:rPr>
              <w:t>рын</w:t>
            </w:r>
            <w:r>
              <w:rPr>
                <w:rFonts w:cs="Liberation Serif" w:ascii="Liberation Serif" w:hAnsi="Liberation Serif"/>
                <w:b/>
                <w:bCs/>
                <w:color w:val="000000"/>
                <w:vertAlign w:val="superscript"/>
                <w:lang w:eastAsia="ru-RU"/>
              </w:rPr>
              <w:t xml:space="preserve"> </w:t>
            </w: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= 520 000,00</w:t>
            </w:r>
            <w:r>
              <w:rPr>
                <w:rFonts w:cs="Times New Roman" w:ascii="Liberation Serif" w:hAnsi="Liberation Serif"/>
                <w:b/>
                <w:bCs/>
                <w:sz w:val="24"/>
                <w:szCs w:val="24"/>
                <w:lang w:eastAsia="ru-RU"/>
              </w:rPr>
              <w:t xml:space="preserve"> рублей.</w:t>
            </w:r>
          </w:p>
          <w:p>
            <w:pPr>
              <w:pStyle w:val="Standard"/>
              <w:keepLines/>
              <w:widowControl w:val="false"/>
              <w:spacing w:lineRule="auto" w:line="240" w:before="0" w:after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В соответствии с Приказом Министерства цифрового развития, связи и массовых коммуникаций Российской Федерации от 11.03.2021 №144 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«Об утверждении нормативных затрат на обеспечение функций федерального казенного учреждения «Государственные технологии»</w:t>
              <w:br/>
              <w:t>НМЦК составляет 520 000,00 рублей.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</w:rPr>
            </w:pPr>
            <w:bookmarkStart w:id="0" w:name="_GoBack"/>
            <w:bookmarkEnd w:id="0"/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Начальная (максимальная) цена контракта сформирована исходя из требований Приказа по строке: «Предельные нормативы количества и цены аренды канала передачи данных сети Интернет и услуги интернет-провайдеров», включает в себя стоимость выполнения работ, все расходы на выполнение работ, и все предусмотренные действующим законодательством Российской Федерации налоги, сборы и другие обязательные платежи</w:t>
              <w:br/>
              <w:t xml:space="preserve">и составляет </w:t>
            </w:r>
            <w:r>
              <w:rPr>
                <w:rFonts w:cs="Times New Roman" w:ascii="Liberation Serif" w:hAnsi="Liberation Serif"/>
                <w:b/>
                <w:bCs/>
                <w:color w:val="000000"/>
                <w:sz w:val="24"/>
                <w:szCs w:val="24"/>
                <w:lang w:eastAsia="ru-RU"/>
              </w:rPr>
              <w:t>520 000,00</w:t>
            </w: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(пятьсот двадцать тысяч) рублей.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Все показатели, требования, условные обозначения и терминология, касающиеся характеристик объекта закупки, установлены в соответствии</w:t>
              <w:br/>
              <w:t>с потребностями заказчика и являются широко используемыми на современном рынке данного вида работ.</w:t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  <w:p>
            <w:pPr>
              <w:pStyle w:val="Standard"/>
              <w:widowControl w:val="false"/>
              <w:spacing w:lineRule="auto" w:line="240" w:before="0" w:after="0"/>
              <w:jc w:val="both"/>
              <w:rPr>
                <w:rFonts w:ascii="Liberation Serif" w:hAnsi="Liberation Serif"/>
              </w:rPr>
            </w:pPr>
            <w:r>
              <w:rPr>
                <w:rFonts w:cs="Times New Roman" w:ascii="Liberation Serif" w:hAnsi="Liberation Serif"/>
                <w:color w:val="000000"/>
                <w:sz w:val="24"/>
                <w:szCs w:val="24"/>
                <w:lang w:eastAsia="ru-RU"/>
              </w:rPr>
              <w:t>Расчет выполнен «16» июля 2026 г.</w:t>
            </w:r>
          </w:p>
        </w:tc>
      </w:tr>
    </w:tbl>
    <w:p>
      <w:pPr>
        <w:pStyle w:val="Standard"/>
        <w:widowControl w:val="false"/>
        <w:spacing w:lineRule="auto" w:line="276" w:before="0" w:after="200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Standard"/>
        <w:widowControl w:val="false"/>
        <w:spacing w:lineRule="auto" w:line="276" w:before="0" w:after="200"/>
        <w:rPr>
          <w:rFonts w:ascii="Times New Roman" w:hAnsi="Times New Roman"/>
        </w:rPr>
      </w:pPr>
      <w:r>
        <w:rPr/>
      </w:r>
    </w:p>
    <w:sectPr>
      <w:headerReference w:type="default" r:id="rId2"/>
      <w:type w:val="nextPage"/>
      <w:pgSz w:orient="landscape" w:w="16838" w:h="11906"/>
      <w:pgMar w:left="567" w:right="567" w:gutter="0" w:header="720" w:top="1701" w:footer="0" w:bottom="567"/>
      <w:pgNumType w:fmt="decimal"/>
      <w:formProt w:val="false"/>
      <w:titlePg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spacing w:lineRule="auto" w:line="240" w:before="0" w:after="0"/>
      <w:jc w:val="center"/>
      <w:rPr>
        <w:rFonts w:ascii="Liberation Serif" w:hAnsi="Liberation Serif"/>
        <w:sz w:val="24"/>
        <w:szCs w:val="24"/>
      </w:rPr>
    </w:pPr>
    <w:r>
      <w:rPr>
        <w:rFonts w:ascii="Liberation Serif" w:hAnsi="Liberation Serif"/>
        <w:sz w:val="24"/>
        <w:szCs w:val="24"/>
      </w:rPr>
      <w:fldChar w:fldCharType="begin"/>
    </w:r>
    <w:r>
      <w:rPr>
        <w:sz w:val="24"/>
        <w:szCs w:val="24"/>
        <w:rFonts w:ascii="Liberation Serif" w:hAnsi="Liberation Serif"/>
      </w:rPr>
      <w:instrText xml:space="preserve"> PAGE </w:instrText>
    </w:r>
    <w:r>
      <w:rPr>
        <w:sz w:val="24"/>
        <w:szCs w:val="24"/>
        <w:rFonts w:ascii="Liberation Serif" w:hAnsi="Liberation Serif"/>
      </w:rPr>
      <w:fldChar w:fldCharType="separate"/>
    </w:r>
    <w:r>
      <w:rPr>
        <w:sz w:val="24"/>
        <w:szCs w:val="24"/>
        <w:rFonts w:ascii="Liberation Serif" w:hAnsi="Liberation Serif"/>
      </w:rPr>
      <w:t>2</w:t>
    </w:r>
    <w:r>
      <w:rPr>
        <w:sz w:val="24"/>
        <w:szCs w:val="24"/>
        <w:rFonts w:ascii="Liberation Serif" w:hAnsi="Liberation Serif"/>
      </w:rPr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DejaVu Sans"/>
      <w:color w:val="auto"/>
      <w:kern w:val="0"/>
      <w:sz w:val="20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Symbol" w:customStyle="1">
    <w:name w:val="Footnote Symbol"/>
    <w:qFormat/>
    <w:rPr>
      <w:vertAlign w:val="superscript"/>
    </w:rPr>
  </w:style>
  <w:style w:type="character" w:styleId="Style14" w:customStyle="1">
    <w:name w:val="Символ сноски"/>
    <w:qFormat/>
    <w:rPr>
      <w:vertAlign w:val="superscript"/>
    </w:rPr>
  </w:style>
  <w:style w:type="character" w:styleId="Style15">
    <w:name w:val="Footnote Reference"/>
    <w:rPr>
      <w:vertAlign w:val="superscript"/>
    </w:rPr>
  </w:style>
  <w:style w:type="character" w:styleId="EndnoteSymbol" w:customStyle="1">
    <w:name w:val="Endnote Symbol"/>
    <w:qFormat/>
    <w:rPr>
      <w:vertAlign w:val="superscript"/>
    </w:rPr>
  </w:style>
  <w:style w:type="character" w:styleId="Style16" w:customStyle="1">
    <w:name w:val="Символ концевой сноски"/>
    <w:qFormat/>
    <w:rPr>
      <w:vertAlign w:val="superscript"/>
    </w:rPr>
  </w:style>
  <w:style w:type="character" w:styleId="Style17">
    <w:name w:val="Endnote Reference"/>
    <w:rPr>
      <w:vertAlign w:val="superscript"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Linenumbering" w:customStyle="1">
    <w:name w:val="Line numbering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Textbody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1" w:customStyle="1">
    <w:name w:val="Указатель1"/>
    <w:basedOn w:val="Standard"/>
    <w:qFormat/>
    <w:pPr>
      <w:suppressLineNumbers/>
    </w:pPr>
    <w:rPr>
      <w:rFonts w:cs="Lohit Devanagari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59" w:before="0" w:after="160"/>
      <w:jc w:val="left"/>
      <w:textAlignment w:val="baseline"/>
    </w:pPr>
    <w:rPr>
      <w:rFonts w:ascii="Calibri" w:hAnsi="Calibri" w:eastAsia="Calibri" w:cs="DejaVu Sans"/>
      <w:color w:val="auto"/>
      <w:kern w:val="0"/>
      <w:sz w:val="22"/>
      <w:szCs w:val="22"/>
      <w:lang w:val="ru-RU" w:eastAsia="en-US" w:bidi="ar-SA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Style23">
    <w:name w:val="Title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Indexheading">
    <w:name w:val="index heading"/>
    <w:basedOn w:val="Standard"/>
    <w:qFormat/>
    <w:pPr>
      <w:suppressLineNumbers/>
    </w:pPr>
    <w:rPr>
      <w:rFonts w:cs="Lohit Devanagari"/>
    </w:rPr>
  </w:style>
  <w:style w:type="paragraph" w:styleId="Footnote" w:customStyle="1">
    <w:name w:val="Footnote"/>
    <w:basedOn w:val="Standard"/>
    <w:qFormat/>
    <w:pPr/>
    <w:rPr/>
  </w:style>
  <w:style w:type="paragraph" w:styleId="ListParagraph">
    <w:name w:val="List Paragraph"/>
    <w:basedOn w:val="Standard"/>
    <w:qFormat/>
    <w:pPr>
      <w:ind w:left="720" w:hanging="0"/>
    </w:pPr>
    <w:rPr>
      <w:rFonts w:cs="Calibri"/>
    </w:rPr>
  </w:style>
  <w:style w:type="paragraph" w:styleId="Style24" w:customStyle="1">
    <w:name w:val="Верхний и нижний колонтитулы"/>
    <w:basedOn w:val="Standard"/>
    <w:qFormat/>
    <w:pPr>
      <w:suppressLineNumbers/>
      <w:tabs>
        <w:tab w:val="clear" w:pos="408"/>
        <w:tab w:val="center" w:pos="7285" w:leader="none"/>
        <w:tab w:val="right" w:pos="14570" w:leader="none"/>
      </w:tabs>
    </w:pPr>
    <w:rPr/>
  </w:style>
  <w:style w:type="paragraph" w:styleId="Style25" w:customStyle="1">
    <w:name w:val="Колонтитул"/>
    <w:basedOn w:val="Standard"/>
    <w:qFormat/>
    <w:pPr/>
    <w:rPr/>
  </w:style>
  <w:style w:type="paragraph" w:styleId="Style26">
    <w:name w:val="Header"/>
    <w:basedOn w:val="Style24"/>
    <w:pPr/>
    <w:rPr/>
  </w:style>
  <w:style w:type="paragraph" w:styleId="Style27">
    <w:name w:val="Footer"/>
    <w:basedOn w:val="Standard"/>
    <w:pPr>
      <w:tabs>
        <w:tab w:val="clear" w:pos="408"/>
        <w:tab w:val="center" w:pos="4677" w:leader="none"/>
        <w:tab w:val="right" w:pos="9355" w:leader="none"/>
      </w:tabs>
    </w:pPr>
    <w:rPr/>
  </w:style>
  <w:style w:type="paragraph" w:styleId="Style28" w:customStyle="1">
    <w:name w:val="Содержимое таблицы"/>
    <w:basedOn w:val="Standard"/>
    <w:qFormat/>
    <w:pPr>
      <w:suppressLineNumbers/>
    </w:pPr>
    <w:rPr/>
  </w:style>
  <w:style w:type="paragraph" w:styleId="Style29" w:customStyle="1">
    <w:name w:val="Заголовок таблицы"/>
    <w:basedOn w:val="Style28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Application>LibreOffice/7.5.2.1$Linux_X86_64 LibreOffice_project/50$Build-1</Application>
  <AppVersion>15.0000</AppVersion>
  <Pages>2</Pages>
  <Words>479</Words>
  <Characters>3388</Characters>
  <CharactersWithSpaces>3815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2026-06-30T08:13:00Z</dcterms:created>
  <dc:creator>Учетная запись Майкрософт</dc:creator>
  <dc:description/>
  <dc:language>ru-RU</dc:language>
  <cp:lastModifiedBy/>
  <dcterms:modified xsi:type="dcterms:W3CDTF">2026-08-12T10:01:59Z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