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otnotes.xml" ContentType="application/vnd.openxmlformats-officedocument.wordprocessingml.footnot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media/image1.jpeg" ContentType="image/jpeg"/>
  <Override PartName="/word/media/image2.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widowControl w:val="false"/>
        <w:tabs>
          <w:tab w:val="clear" w:pos="709"/>
          <w:tab w:val="left" w:pos="2592" w:leader="none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ТЕХНИЧЕСКОЕ ЗАДАНИЕ</w:t>
      </w:r>
    </w:p>
    <w:p>
      <w:pPr>
        <w:pStyle w:val="Standard"/>
        <w:widowControl w:val="false"/>
        <w:jc w:val="center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на оказание услуг по доступу к информационно-коммуникационной сети Интернет</w:t>
      </w:r>
    </w:p>
    <w:p>
      <w:pPr>
        <w:pStyle w:val="Standard"/>
        <w:widowControl w:val="false"/>
        <w:rPr>
          <w:rFonts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  <w:lang w:eastAsia="ar-SA"/>
        </w:rPr>
      </w:r>
    </w:p>
    <w:p>
      <w:pPr>
        <w:pStyle w:val="Standard"/>
        <w:widowControl w:val="false"/>
        <w:numPr>
          <w:ilvl w:val="0"/>
          <w:numId w:val="5"/>
        </w:numPr>
        <w:shd w:val="clear" w:fill="FFFFFF"/>
        <w:ind w:left="0" w:right="0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Наименование заказчика.</w:t>
      </w:r>
    </w:p>
    <w:p>
      <w:pPr>
        <w:pStyle w:val="Standard"/>
        <w:widowControl w:val="false"/>
        <w:shd w:val="clear" w:fill="FFFFFF"/>
        <w:ind w:left="0" w:right="0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Федеральное казенное учреждение «Государственные технологии»</w:t>
        <w:br/>
        <w:t>(далее – ФКУ «Государственные технологии», Заказчик).</w:t>
      </w:r>
    </w:p>
    <w:p>
      <w:pPr>
        <w:pStyle w:val="Standard"/>
        <w:widowControl w:val="false"/>
        <w:numPr>
          <w:ilvl w:val="0"/>
          <w:numId w:val="4"/>
        </w:numPr>
        <w:shd w:val="clear" w:fill="FFFFFF"/>
        <w:ind w:left="0" w:right="0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Предмет закупки.</w:t>
      </w:r>
    </w:p>
    <w:p>
      <w:pPr>
        <w:pStyle w:val="Standard"/>
        <w:widowControl w:val="false"/>
        <w:shd w:val="clear" w:fill="FFFFFF"/>
        <w:ind w:left="0" w:right="0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Оказание услуг по предоставлению доступа к информационно-коммуникационной сети Интернет (далее – Услуги).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Код по Общероссийскому классификатору продукции по видам экономической дея</w:t>
      </w:r>
      <w:r>
        <w:rPr>
          <w:rFonts w:cs="Times New Roman"/>
          <w:color w:val="000000"/>
          <w:sz w:val="28"/>
          <w:szCs w:val="28"/>
          <w:lang w:eastAsia="ru-RU"/>
        </w:rPr>
        <w:t>тельности (ОКПД2) ОК 034-2014 (КПЕС 2008), утвержденному Приказом Росстандарта от 31.01.2014 № 14-ст – 61.10.43.000 «Услуги по широкополосному доступу к информационно-коммуникационной сети Интернет по проводным сетям».</w:t>
      </w:r>
    </w:p>
    <w:p>
      <w:pPr>
        <w:pStyle w:val="Standard"/>
        <w:widowControl w:val="false"/>
        <w:numPr>
          <w:ilvl w:val="0"/>
          <w:numId w:val="4"/>
        </w:numPr>
        <w:shd w:val="clear" w:fill="FFFFFF"/>
        <w:ind w:left="0" w:right="0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Срок оказания Услуг.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Оказание Услуг: осуществляется с даты заключения контракта по 30.11.2026 включительно</w:t>
      </w:r>
      <w:r>
        <w:rPr>
          <w:rStyle w:val="Style31"/>
          <w:rFonts w:cs="Times New Roman"/>
          <w:sz w:val="28"/>
          <w:szCs w:val="28"/>
          <w:lang w:eastAsia="ru-RU"/>
        </w:rPr>
        <w:footnoteReference w:id="2"/>
      </w:r>
      <w:r>
        <w:rPr>
          <w:rFonts w:cs="Times New Roman"/>
          <w:sz w:val="28"/>
          <w:szCs w:val="28"/>
          <w:lang w:eastAsia="ru-RU"/>
        </w:rPr>
        <w:t>.</w:t>
      </w:r>
    </w:p>
    <w:p>
      <w:pPr>
        <w:pStyle w:val="Standard"/>
        <w:widowControl w:val="false"/>
        <w:numPr>
          <w:ilvl w:val="0"/>
          <w:numId w:val="4"/>
        </w:numPr>
        <w:shd w:val="clear" w:fill="FFFFFF"/>
        <w:ind w:left="0" w:right="0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Место оказания Услуг.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Оказание Услуг осуществляется по месту нахождения Заказчика:</w:t>
        <w:br/>
      </w:r>
      <w:r>
        <w:rPr>
          <w:rFonts w:cs="Times New Roman"/>
          <w:color w:val="000000"/>
          <w:sz w:val="28"/>
          <w:szCs w:val="28"/>
          <w:lang w:eastAsia="ru-RU"/>
        </w:rPr>
        <w:t>123112, г. Москва, наб. Пресненская, д. 2, стр. 3, 8 этаж.</w:t>
      </w:r>
    </w:p>
    <w:p>
      <w:pPr>
        <w:pStyle w:val="Standard"/>
        <w:widowControl w:val="false"/>
        <w:numPr>
          <w:ilvl w:val="0"/>
          <w:numId w:val="4"/>
        </w:numPr>
        <w:shd w:val="clear" w:fill="FFFFFF"/>
        <w:ind w:left="0" w:right="0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Технические характеристики оказываемых Услуг.</w:t>
      </w:r>
    </w:p>
    <w:p>
      <w:pPr>
        <w:pStyle w:val="Standard"/>
        <w:widowControl w:val="false"/>
        <w:shd w:val="clear" w:fill="FFFFFF"/>
        <w:ind w:left="709" w:right="0" w:hanging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</w:r>
    </w:p>
    <w:p>
      <w:pPr>
        <w:pStyle w:val="Standard"/>
        <w:widowControl w:val="false"/>
        <w:shd w:val="clear" w:fill="FFFFFF"/>
        <w:ind w:left="709" w:right="0" w:hanging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Таблица 1. Технические характеристики оказываемых Услуг</w:t>
      </w:r>
    </w:p>
    <w:tbl>
      <w:tblPr>
        <w:tblW w:w="5000" w:type="pct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550"/>
        <w:gridCol w:w="1972"/>
        <w:gridCol w:w="698"/>
        <w:gridCol w:w="1814"/>
        <w:gridCol w:w="4604"/>
      </w:tblGrid>
      <w:tr>
        <w:trPr>
          <w:trHeight w:val="480" w:hRule="atLeast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№</w:t>
            </w:r>
            <w:r>
              <w:rPr>
                <w:rFonts w:eastAsia="Liberation Serif;Times New Roman" w:cs="Liberation Serif;Times New Roman"/>
                <w:color w:val="000000"/>
                <w:lang w:eastAsia="ru-RU"/>
              </w:rPr>
              <w:t xml:space="preserve"> </w:t>
            </w:r>
            <w:r>
              <w:rPr>
                <w:rFonts w:eastAsia="Times New Roman" w:cs="Liberation Serif;Times New Roman"/>
                <w:color w:val="000000"/>
                <w:lang w:eastAsia="ru-RU"/>
              </w:rPr>
              <w:t>п/п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Наименование характеристик, потребительских свойств услуги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Ед. изм.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 xml:space="preserve">Обоснование необходимости включения </w:t>
              <w:br/>
              <w:t>в описание услуг дополнительной информации, дополнительных потребительских свойств</w:t>
            </w:r>
          </w:p>
        </w:tc>
      </w:tr>
      <w:tr>
        <w:trPr>
          <w:trHeight w:val="220" w:hRule="atLeast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1.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Пропускная способность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мбит/сек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не менее 950 и не более 1000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</w:r>
          </w:p>
        </w:tc>
      </w:tr>
      <w:tr>
        <w:trPr>
          <w:trHeight w:val="220" w:hRule="atLeast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n"/>
                <w:lang w:eastAsia="ru-RU"/>
              </w:rPr>
            </w:pPr>
            <w:r>
              <w:rPr>
                <w:rFonts w:eastAsia="Times New Roman" w:cs="Liberation Serif;Times New Roman"/>
                <w:lang w:eastAsia="ru-RU"/>
              </w:rPr>
              <w:t>2.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n"/>
                <w:lang w:eastAsia="ru-RU"/>
              </w:rPr>
            </w:pPr>
            <w:r>
              <w:rPr>
                <w:rFonts w:eastAsia="Times New Roman" w:cs="Liberation Serif;Times New Roman"/>
                <w:lang w:eastAsia="ru-RU"/>
              </w:rPr>
              <w:t>Тип услуги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eastAsia="Times New Roman" w:cs="Liberation Serif;Times New Roman"/>
                <w:lang w:eastAsia="ru-RU"/>
              </w:rPr>
            </w:pPr>
            <w:r>
              <w:rPr>
                <w:rFonts w:eastAsia="Times New Roman" w:cs="Liberation Serif;Times New Roman"/>
                <w:lang w:eastAsia="ru-RU"/>
              </w:rPr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n"/>
                <w:lang w:eastAsia="ru-RU"/>
              </w:rPr>
            </w:pPr>
            <w:r>
              <w:rPr>
                <w:rFonts w:eastAsia="Times New Roman" w:cs="Liberation Serif;Times New Roman"/>
                <w:lang w:eastAsia="ru-RU"/>
              </w:rPr>
              <w:t>Проводной доступ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</w:r>
          </w:p>
        </w:tc>
      </w:tr>
      <w:tr>
        <w:trPr>
          <w:trHeight w:val="70" w:hRule="atLeast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3.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Форма учета трафика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Безлимитная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установлена для возможности неограниченной передачи больших объемов данных</w:t>
            </w:r>
          </w:p>
        </w:tc>
      </w:tr>
      <w:tr>
        <w:trPr>
          <w:trHeight w:val="1086" w:hRule="atLeast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4.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Периодичность предоставления доступа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24 часа в сутки, 7 дней в неделю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для обеспечения беспрерывного функционирования систем Заказчика 24 часа в сутки, 7 дней в неделю, за исключением времени необходимого для проведения профилактических и/или регламентных работ</w:t>
            </w:r>
          </w:p>
        </w:tc>
      </w:tr>
      <w:tr>
        <w:trPr>
          <w:trHeight w:val="220" w:hRule="atLeast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5.</w:t>
            </w:r>
          </w:p>
        </w:tc>
        <w:tc>
          <w:tcPr>
            <w:tcW w:w="1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Количество предоставляемых внешних статических IP-адресов</w:t>
            </w:r>
          </w:p>
        </w:tc>
        <w:tc>
          <w:tcPr>
            <w:tcW w:w="6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шт.</w:t>
            </w:r>
          </w:p>
        </w:tc>
        <w:tc>
          <w:tcPr>
            <w:tcW w:w="18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7</w:t>
            </w:r>
          </w:p>
        </w:tc>
        <w:tc>
          <w:tcPr>
            <w:tcW w:w="4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Times New Roman" w:cs="Liberation Serif;Times New Roman"/>
                <w:color w:val="000000"/>
                <w:lang w:eastAsia="ru-RU"/>
              </w:rPr>
            </w:pPr>
            <w:r>
              <w:rPr>
                <w:rFonts w:eastAsia="Times New Roman" w:cs="Liberation Serif;Times New Roman"/>
                <w:color w:val="000000"/>
                <w:lang w:eastAsia="ru-RU"/>
              </w:rPr>
              <w:t>установлено для возможности настройки корректной работы оборудования Заказчика, организации виртуального защищенного канала, построения локальной сети</w:t>
            </w:r>
          </w:p>
        </w:tc>
      </w:tr>
    </w:tbl>
    <w:p>
      <w:pPr>
        <w:pStyle w:val="Standard"/>
        <w:widowControl w:val="false"/>
        <w:numPr>
          <w:ilvl w:val="0"/>
          <w:numId w:val="4"/>
        </w:numPr>
        <w:shd w:val="clear" w:fill="FFFFFF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Условия оказание Услуг.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Реальная скорость передачи данных на организованных каналах связи</w:t>
        <w:br/>
        <w:t>должна составлять не менее 80% от указанной в пункте 1 таблицы 1.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Отсутствие любых ограничений по объёму входящего/исходящего трафика.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Тип подключения – статический </w:t>
      </w:r>
      <w:r>
        <w:rPr>
          <w:rFonts w:cs="Times New Roman"/>
          <w:sz w:val="28"/>
          <w:szCs w:val="28"/>
          <w:lang w:val="en-US"/>
        </w:rPr>
        <w:t>IP</w:t>
      </w:r>
      <w:r>
        <w:rPr>
          <w:rFonts w:cs="Times New Roman"/>
          <w:sz w:val="28"/>
          <w:szCs w:val="28"/>
        </w:rPr>
        <w:t>-адрес.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Предоставление выделенных каналов (исполнитель обеспечивает подведение к точке входа, определенной Заказчиком, выделенных каналов)</w:t>
        <w:br/>
        <w:t xml:space="preserve">на </w:t>
      </w:r>
      <w:r>
        <w:rPr>
          <w:rFonts w:eastAsia="Times New Roman" w:cs="Times New Roman"/>
          <w:sz w:val="28"/>
          <w:szCs w:val="28"/>
        </w:rPr>
        <w:t>базе волоконно-оптической линии.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Исполнитель обеспечивает совместимость своего оборудования</w:t>
        <w:br/>
        <w:t>с оборудованием Заказчика, использующимся в настоящее время на объектах Заказчика. Подключение оборудования Заказчика к оконечному оборудованию Исполнителя осуществляется по стандарту 1000BASE-T(x) (витая пара, 8P8C).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Исполнитель передает Заказчику установленное в помещениях Заказчика оборудование (необходимое для формирования устойчивого доступа через установленный канал связи к ресурсам сети Интернет) в безвозмездное пользование на период оказания услуг.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 окончании оказания Услуг Исполнитель, при необходимости, осуществляет демонтаж оборудования своими силами и за счет собственных средств.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Заказчик не несет ответственности за сохранность оборудования Исполнителя, установленного вне помещений Заказчика.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Исполнитель заблаговременно (в случае запланированных профилактических/регламентных работ, затрудняющих или препятствующих доступу в сеть Интернет, - за неделю до их осуществления) или незамедлительно (в случае незапланированных происшествий/неполадок, затрудняющих или препятствующих доступу в сеть Интернет) извещает Заказчика о прерывании оказания Услуг. Извещение проводится путём уведомления Заказчика по контактным телефонам с одновременной отправкой электронного письма по электронной почте. Время восстановления работоспособности канала связи должно быть не более: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случае неисправности оборудования – 12 часов;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случае неисправности кабеля – 24 часа.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случае проведения профилактических/регламентных работ – не более 12 часов.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Исчисление прерывания предоставления Услуги начинается с момента обращения Заказчика в службу технической поддержки Исполнителя,</w:t>
        <w:br/>
        <w:t>и завершается в момент возобновления доступа.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Круглосуточная (24 часа в сутки, 7 дней в неделю) доступность</w:t>
        <w:br/>
        <w:t>и оперативная реакция службы поддержки на сбои в доступе к сети Интернет.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Исполнитель обеспечивает бесплатную круглосуточную техническую поддержку в течение срока оказания Услуг.</w:t>
      </w:r>
    </w:p>
    <w:p>
      <w:pPr>
        <w:pStyle w:val="Standard"/>
        <w:widowControl w:val="false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Граница ответственности Исполнителя – активный Ethernet порт</w:t>
        <w:br/>
        <w:t>на оборудовании Исполнителя (стык), размещаемого на объекте Заказчика, показана в Схеме 1.</w:t>
      </w:r>
    </w:p>
    <w:p>
      <w:pPr>
        <w:pStyle w:val="Standard"/>
        <w:widowControl w:val="false"/>
        <w:shd w:val="clear" w:fill="FFFFFF"/>
        <w:ind w:left="709" w:right="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Схема 1. Граница зон ответственности</w:t>
      </w:r>
    </w:p>
    <w:p>
      <w:pPr>
        <w:pStyle w:val="Normal"/>
        <w:tabs>
          <w:tab w:val="clear" w:pos="709"/>
          <w:tab w:val="center" w:pos="0" w:leader="none"/>
        </w:tabs>
        <w:rPr>
          <w:rFonts w:cs="Times New Roman"/>
          <w:sz w:val="28"/>
          <w:szCs w:val="28"/>
        </w:rPr>
      </w:pPr>
      <w:r>
        <w:rPr/>
        <w:drawing>
          <wp:inline distT="0" distB="0" distL="0" distR="0">
            <wp:extent cx="6092825" cy="372808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5" t="-90" r="-55" b="-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825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9"/>
          <w:tab w:val="center" w:pos="0" w:leader="none"/>
        </w:tabs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Liberation Serif;Times New Roman"/>
          <w:sz w:val="28"/>
          <w:szCs w:val="28"/>
        </w:rPr>
        <w:t>Оборудование Исполнителя, установленное на объектах Заказчика,</w:t>
        <w:br/>
        <w:t xml:space="preserve">с помощью которого оказываются услуги, должно быть сертифицировано </w:t>
        <w:br/>
        <w:t xml:space="preserve">на соответствие действующим в </w:t>
      </w:r>
      <w:r>
        <w:rPr>
          <w:rFonts w:cs="Liberation Serif;Times New Roman"/>
          <w:sz w:val="28"/>
          <w:szCs w:val="28"/>
          <w:lang w:eastAsia="ru-RU"/>
        </w:rPr>
        <w:t>Российской Федерации</w:t>
      </w:r>
      <w:r>
        <w:rPr>
          <w:rFonts w:cs="Liberation Serif;Times New Roman"/>
          <w:sz w:val="28"/>
          <w:szCs w:val="28"/>
        </w:rPr>
        <w:t xml:space="preserve"> правилам и разрешено для использования на территории </w:t>
      </w:r>
      <w:r>
        <w:rPr>
          <w:rFonts w:cs="Liberation Serif;Times New Roman"/>
          <w:sz w:val="28"/>
          <w:szCs w:val="28"/>
          <w:lang w:eastAsia="ru-RU"/>
        </w:rPr>
        <w:t>Российской Федерации</w:t>
      </w:r>
      <w:r>
        <w:rPr>
          <w:rFonts w:cs="Liberation Serif;Times New Roman"/>
          <w:sz w:val="28"/>
          <w:szCs w:val="28"/>
        </w:rPr>
        <w:t>.</w:t>
      </w:r>
      <w:r>
        <w:rPr>
          <w:rFonts w:cs="Liberation Serif;Times New Roman"/>
          <w:sz w:val="28"/>
          <w:szCs w:val="28"/>
          <w:lang w:val="en-US"/>
        </w:rPr>
        <w:t xml:space="preserve"> </w:t>
      </w:r>
      <w:r>
        <w:rPr>
          <w:rFonts w:cs="Liberation Serif;Times New Roman"/>
          <w:sz w:val="28"/>
          <w:szCs w:val="28"/>
        </w:rPr>
        <w:t>Факт соответствия должен быть подтвержден соответствующим Сертификатом соответствия, копия которого должна быть предоставлена Заказчику.</w:t>
      </w:r>
    </w:p>
    <w:p>
      <w:pPr>
        <w:pStyle w:val="Normal"/>
        <w:tabs>
          <w:tab w:val="clear" w:pos="709"/>
          <w:tab w:val="center" w:pos="0" w:leader="none"/>
        </w:tabs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Liberation Serif;Times New Roman"/>
          <w:sz w:val="28"/>
          <w:szCs w:val="28"/>
          <w:lang w:eastAsia="ru-RU"/>
        </w:rPr>
        <w:t>Исполнитель обязан своими средствами обеспечить передачу данных Заказчика со степенью защиты данных, соответствующей требованиям действующего законодательства Российской Федерации.</w:t>
      </w:r>
    </w:p>
    <w:p>
      <w:pPr>
        <w:pStyle w:val="Standard"/>
        <w:widowControl w:val="false"/>
        <w:numPr>
          <w:ilvl w:val="0"/>
          <w:numId w:val="4"/>
        </w:numPr>
        <w:ind w:left="0" w:right="0" w:firstLine="709"/>
        <w:jc w:val="both"/>
        <w:rPr>
          <w:rFonts w:cs="Liberation Serif;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eastAsia="ru-RU"/>
        </w:rPr>
        <w:t>Требования к Исполнителю.</w:t>
      </w:r>
    </w:p>
    <w:p>
      <w:pPr>
        <w:pStyle w:val="Normal"/>
        <w:tabs>
          <w:tab w:val="clear" w:pos="709"/>
          <w:tab w:val="center" w:pos="0" w:leader="none"/>
        </w:tabs>
        <w:ind w:left="0" w:right="0" w:firstLine="709"/>
        <w:jc w:val="both"/>
        <w:rPr>
          <w:rFonts w:cs="Liberation Serif;Times New Roman"/>
          <w:color w:val="000000"/>
          <w:sz w:val="28"/>
          <w:szCs w:val="28"/>
        </w:rPr>
      </w:pPr>
      <w:r>
        <w:rPr>
          <w:rFonts w:cs="Liberation Serif;Times New Roman"/>
          <w:color w:val="000000"/>
          <w:sz w:val="28"/>
          <w:szCs w:val="28"/>
        </w:rPr>
        <w:t>В соответствии с пунктом 36 части 1 статьи 12 Федерального закона</w:t>
        <w:br/>
        <w:t>от 04.05.2011 № 99-ФЗ «О лицензировании отдельных видов деятельности», Федеральным законом от 07.07.2003 № 126-ФЗ «О связи» и постановлением Правительства Российской Федерации от 25.11.2025 №</w:t>
      </w:r>
      <w:r>
        <w:rPr>
          <w:rFonts w:cs="Liberation Serif;Times New Roman"/>
          <w:color w:val="000000"/>
          <w:sz w:val="28"/>
          <w:szCs w:val="28"/>
          <w:lang w:val="en-US"/>
        </w:rPr>
        <w:t> </w:t>
      </w:r>
      <w:r>
        <w:rPr>
          <w:rFonts w:cs="Liberation Serif;Times New Roman"/>
          <w:color w:val="000000"/>
          <w:sz w:val="28"/>
          <w:szCs w:val="28"/>
        </w:rPr>
        <w:t xml:space="preserve">1875 </w:t>
        <w:br/>
        <w:t>«О лицензировании деятельности в области оказания услуг связи» Исполнитель должен иметь лицензии на следующие виды работ (услуг), выполняемых (оказываемых) в составе лицензируемого вида деятельности:</w:t>
      </w:r>
    </w:p>
    <w:p>
      <w:pPr>
        <w:pStyle w:val="Normal"/>
        <w:tabs>
          <w:tab w:val="clear" w:pos="709"/>
          <w:tab w:val="center" w:pos="0" w:leader="none"/>
        </w:tabs>
        <w:ind w:left="0" w:right="0" w:firstLine="709"/>
        <w:jc w:val="both"/>
        <w:rPr>
          <w:rFonts w:cs="Liberation Serif;Times New Roman"/>
          <w:color w:val="000000"/>
          <w:sz w:val="28"/>
          <w:szCs w:val="28"/>
        </w:rPr>
      </w:pPr>
      <w:r>
        <w:rPr>
          <w:rFonts w:cs="Liberation Serif;Times New Roman"/>
          <w:color w:val="000000"/>
          <w:sz w:val="28"/>
          <w:szCs w:val="28"/>
        </w:rPr>
        <w:t>услуги связи по передаче данных, за исключением услуг связи</w:t>
        <w:br/>
        <w:t>по передаче данных для целей передачи голосовой информации;</w:t>
      </w:r>
    </w:p>
    <w:p>
      <w:pPr>
        <w:pStyle w:val="Normal"/>
        <w:tabs>
          <w:tab w:val="clear" w:pos="709"/>
          <w:tab w:val="center" w:pos="0" w:leader="none"/>
        </w:tabs>
        <w:ind w:left="0" w:right="0" w:firstLine="709"/>
        <w:jc w:val="both"/>
        <w:rPr>
          <w:rFonts w:cs="Liberation Serif;Times New Roman"/>
          <w:color w:val="000000"/>
          <w:sz w:val="28"/>
          <w:szCs w:val="28"/>
        </w:rPr>
      </w:pPr>
      <w:r>
        <w:rPr>
          <w:rFonts w:cs="Liberation Serif;Times New Roman"/>
          <w:color w:val="000000"/>
          <w:sz w:val="28"/>
          <w:szCs w:val="28"/>
          <w:lang w:eastAsia="ru-RU"/>
        </w:rPr>
        <w:t>телематические услуги связи.</w:t>
      </w:r>
    </w:p>
    <w:p>
      <w:pPr>
        <w:pStyle w:val="Normal"/>
        <w:tabs>
          <w:tab w:val="clear" w:pos="709"/>
          <w:tab w:val="center" w:pos="0" w:leader="none"/>
        </w:tabs>
        <w:ind w:left="0" w:right="0" w:firstLine="709"/>
        <w:jc w:val="both"/>
        <w:rPr>
          <w:rFonts w:cs="Liberation Serif;Times New Roman"/>
          <w:color w:val="000000"/>
          <w:sz w:val="28"/>
          <w:szCs w:val="28"/>
        </w:rPr>
      </w:pPr>
      <w:r>
        <w:rPr>
          <w:rFonts w:cs="Liberation Serif;Times New Roman"/>
          <w:color w:val="000000"/>
          <w:sz w:val="28"/>
          <w:szCs w:val="28"/>
          <w:lang w:eastAsia="ru-RU"/>
        </w:rPr>
        <w:t>Перечень нормативно-правовых документов, используемых Исполнителем при оказании услуг:</w:t>
      </w:r>
    </w:p>
    <w:p>
      <w:pPr>
        <w:pStyle w:val="Normal"/>
        <w:tabs>
          <w:tab w:val="clear" w:pos="709"/>
          <w:tab w:val="center" w:pos="0" w:leader="none"/>
        </w:tabs>
        <w:ind w:left="0" w:right="0" w:firstLine="709"/>
        <w:jc w:val="both"/>
        <w:rPr>
          <w:rFonts w:cs="Liberation Serif;Times New Roman"/>
          <w:color w:val="000000"/>
          <w:sz w:val="28"/>
          <w:szCs w:val="28"/>
        </w:rPr>
      </w:pPr>
      <w:r>
        <w:rPr>
          <w:rFonts w:cs="Liberation Serif;Times New Roman"/>
          <w:color w:val="000000"/>
          <w:sz w:val="28"/>
          <w:szCs w:val="28"/>
          <w:lang w:eastAsia="ru-RU"/>
        </w:rPr>
        <w:t>Федеральный закон от 07.07.2003 № 126-ФЗ «О связи»;</w:t>
      </w:r>
    </w:p>
    <w:p>
      <w:pPr>
        <w:pStyle w:val="Normal"/>
        <w:tabs>
          <w:tab w:val="clear" w:pos="709"/>
          <w:tab w:val="center" w:pos="0" w:leader="none"/>
        </w:tabs>
        <w:ind w:left="0" w:right="0" w:firstLine="709"/>
        <w:jc w:val="both"/>
        <w:rPr>
          <w:rFonts w:cs="Liberation Serif;Times New Roman"/>
          <w:color w:val="000000"/>
          <w:sz w:val="28"/>
          <w:szCs w:val="28"/>
        </w:rPr>
      </w:pPr>
      <w:r>
        <w:rPr>
          <w:rFonts w:cs="Liberation Serif;Times New Roman"/>
          <w:color w:val="000000"/>
          <w:sz w:val="28"/>
          <w:szCs w:val="28"/>
          <w:lang w:eastAsia="ru-RU"/>
        </w:rPr>
        <w:t>Федеральный закон от 04.05.2011 № 99-ФЗ «О лицензировании отдельных видов деятельности»;</w:t>
      </w:r>
    </w:p>
    <w:p>
      <w:pPr>
        <w:pStyle w:val="Normal"/>
        <w:tabs>
          <w:tab w:val="clear" w:pos="709"/>
          <w:tab w:val="center" w:pos="0" w:leader="none"/>
        </w:tabs>
        <w:ind w:left="0" w:right="0" w:firstLine="709"/>
        <w:jc w:val="both"/>
        <w:rPr>
          <w:rFonts w:cs="Liberation Serif;Times New Roman"/>
          <w:color w:val="000000"/>
          <w:sz w:val="28"/>
          <w:szCs w:val="28"/>
        </w:rPr>
      </w:pPr>
      <w:r>
        <w:rPr>
          <w:rFonts w:cs="Liberation Serif;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31.12.2021</w:t>
        <w:br/>
        <w:t>№ 2606 «Об утверждении Правил оказания услуг связи по передаче данных»;</w:t>
      </w:r>
    </w:p>
    <w:p>
      <w:pPr>
        <w:pStyle w:val="Normal"/>
        <w:tabs>
          <w:tab w:val="clear" w:pos="709"/>
          <w:tab w:val="center" w:pos="0" w:leader="none"/>
        </w:tabs>
        <w:ind w:left="0" w:right="0" w:firstLine="709"/>
        <w:jc w:val="both"/>
        <w:rPr>
          <w:rFonts w:cs="Liberation Serif;Times New Roman"/>
          <w:color w:val="000000"/>
          <w:sz w:val="28"/>
          <w:szCs w:val="28"/>
        </w:rPr>
      </w:pPr>
      <w:r>
        <w:rPr>
          <w:rFonts w:cs="Liberation Serif;Times New Roman"/>
          <w:color w:val="000000"/>
          <w:sz w:val="28"/>
          <w:szCs w:val="28"/>
          <w:lang w:eastAsia="ru-RU"/>
        </w:rPr>
        <w:t>Постановление Правительства Российской Федерации от 31.12.2021</w:t>
        <w:br/>
        <w:t>№ 2607 «Об утверждении Правил оказания телематических услуг связи»;</w:t>
      </w:r>
    </w:p>
    <w:p>
      <w:pPr>
        <w:pStyle w:val="Normal"/>
        <w:tabs>
          <w:tab w:val="clear" w:pos="709"/>
          <w:tab w:val="center" w:pos="0" w:leader="none"/>
        </w:tabs>
        <w:ind w:left="0" w:right="0" w:firstLine="709"/>
        <w:jc w:val="both"/>
        <w:rPr>
          <w:rFonts w:cs="Liberation Serif;Times New Roman"/>
          <w:color w:val="000000"/>
          <w:sz w:val="28"/>
          <w:szCs w:val="28"/>
        </w:rPr>
      </w:pPr>
      <w:r>
        <w:rPr>
          <w:rFonts w:cs="Liberation Serif;Times New Roman"/>
          <w:color w:val="000000"/>
          <w:sz w:val="28"/>
          <w:szCs w:val="28"/>
          <w:lang w:eastAsia="ru-RU"/>
        </w:rPr>
        <w:t>Приказ Минцифры России от 10.09.2021 № 940 «Об утверждении требований к построению, управлению или нумерации, организационно-техническому обеспечению устойчивого функционирования, условиям взаимодействия, эксплуатации сети связи при оказании универсальных услуг связи».</w:t>
      </w:r>
    </w:p>
    <w:p>
      <w:pPr>
        <w:pStyle w:val="Standard"/>
        <w:widowControl w:val="false"/>
        <w:numPr>
          <w:ilvl w:val="0"/>
          <w:numId w:val="4"/>
        </w:numPr>
        <w:ind w:left="0" w:right="0" w:firstLine="709"/>
        <w:jc w:val="both"/>
        <w:rPr>
          <w:rFonts w:cs="Liberation Serif;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eastAsia="ru-RU"/>
        </w:rPr>
        <w:t>Требования к качеству оказываемых Услуг.</w:t>
      </w:r>
    </w:p>
    <w:p>
      <w:pPr>
        <w:pStyle w:val="Normal"/>
        <w:tabs>
          <w:tab w:val="clear" w:pos="709"/>
          <w:tab w:val="center" w:pos="0" w:leader="none"/>
        </w:tabs>
        <w:ind w:left="0" w:right="0" w:firstLine="709"/>
        <w:jc w:val="both"/>
        <w:rPr>
          <w:rFonts w:cs="Liberation Serif;Times New Roman"/>
          <w:color w:val="000000"/>
          <w:sz w:val="28"/>
          <w:szCs w:val="28"/>
        </w:rPr>
      </w:pPr>
      <w:r>
        <w:rPr>
          <w:rFonts w:cs="Liberation Serif;Times New Roman"/>
          <w:color w:val="000000"/>
          <w:sz w:val="28"/>
          <w:szCs w:val="28"/>
        </w:rPr>
        <w:t>С целью оценки качества предоставленной услуги Заказчик вправе рассчитать коэффициент доступности Услуги по результатам прошедшего месяца её предоставления, который должен рассчитываться по следующей формуле:</w:t>
      </w:r>
    </w:p>
    <w:p>
      <w:pPr>
        <w:pStyle w:val="Normal"/>
        <w:tabs>
          <w:tab w:val="clear" w:pos="709"/>
          <w:tab w:val="center" w:pos="0" w:leader="none"/>
        </w:tabs>
        <w:jc w:val="both"/>
        <w:rPr>
          <w:rFonts w:cs="Liberation Serif;Times New Roman"/>
          <w:color w:val="000000"/>
          <w:sz w:val="28"/>
          <w:szCs w:val="28"/>
        </w:rPr>
      </w:pPr>
      <w:r>
        <w:rPr/>
        <w:drawing>
          <wp:inline distT="0" distB="0" distL="0" distR="0">
            <wp:extent cx="6125845" cy="30353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1" t="-222" r="-11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45" cy="3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Liberation Serif;Times New Roman"/>
          <w:color w:val="000000"/>
          <w:sz w:val="28"/>
          <w:szCs w:val="28"/>
        </w:rPr>
        <w:t xml:space="preserve">где время прерывания предоставления услуги – это общее время (в часах) </w:t>
        <w:br/>
        <w:t xml:space="preserve">в течение одного календарного месяца, в течение которого Услуга </w:t>
        <w:br/>
        <w:t>не предоставлялась.</w:t>
      </w:r>
    </w:p>
    <w:p>
      <w:pPr>
        <w:pStyle w:val="Normal"/>
        <w:tabs>
          <w:tab w:val="clear" w:pos="709"/>
          <w:tab w:val="center" w:pos="0" w:leader="none"/>
        </w:tabs>
        <w:ind w:left="0" w:right="0" w:firstLine="709"/>
        <w:jc w:val="both"/>
        <w:rPr>
          <w:rFonts w:cs="Liberation Serif;Times New Roman"/>
          <w:color w:val="000000"/>
          <w:sz w:val="28"/>
          <w:szCs w:val="28"/>
        </w:rPr>
      </w:pPr>
      <w:r>
        <w:rPr>
          <w:rFonts w:cs="Liberation Serif;Times New Roman"/>
          <w:color w:val="000000"/>
          <w:sz w:val="28"/>
          <w:szCs w:val="28"/>
          <w:lang w:eastAsia="ru-RU"/>
        </w:rPr>
        <w:t>В случае, если данный Коэффициент составит менее 95%, данный факт будет расцениваться как нарушение условий оказания Услуги.</w:t>
      </w:r>
    </w:p>
    <w:p>
      <w:pPr>
        <w:pStyle w:val="Standard"/>
        <w:widowControl w:val="false"/>
        <w:numPr>
          <w:ilvl w:val="0"/>
          <w:numId w:val="4"/>
        </w:numPr>
        <w:ind w:left="0" w:right="0" w:firstLine="709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Результат оказанных Услуг.</w:t>
      </w:r>
    </w:p>
    <w:p>
      <w:pPr>
        <w:pStyle w:val="Standard"/>
        <w:widowControl w:val="false"/>
        <w:ind w:left="0" w:right="0" w:firstLine="709"/>
        <w:jc w:val="both"/>
        <w:rPr>
          <w:highlight w:val="none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  <w:lang w:eastAsia="ru-RU"/>
        </w:rPr>
        <w:t>Заказчику оказаны услуги по</w:t>
      </w:r>
      <w:r>
        <w:rPr>
          <w:rFonts w:cs="Times New Roman"/>
          <w:sz w:val="28"/>
          <w:szCs w:val="28"/>
          <w:shd w:fill="auto" w:val="clear"/>
          <w:lang w:eastAsia="ru-RU"/>
        </w:rPr>
        <w:t xml:space="preserve"> доступу к информационно-коммуникационной сети Интернет </w:t>
      </w:r>
      <w:r>
        <w:rPr>
          <w:rFonts w:cs="Times New Roman"/>
          <w:sz w:val="28"/>
          <w:szCs w:val="28"/>
          <w:shd w:fill="auto" w:val="clear"/>
          <w:lang w:eastAsia="ru-RU"/>
        </w:rPr>
        <w:t>с даты заключения контракта</w:t>
      </w:r>
      <w:r>
        <w:rPr>
          <w:rFonts w:cs="Times New Roman"/>
          <w:sz w:val="28"/>
          <w:szCs w:val="28"/>
          <w:shd w:fill="auto" w:val="clear"/>
          <w:lang w:eastAsia="ru-RU"/>
        </w:rPr>
        <w:t xml:space="preserve"> по 30.11.2026</w:t>
      </w:r>
      <w:r>
        <w:rPr>
          <w:rFonts w:cs="Times New Roman"/>
          <w:color w:val="000000"/>
          <w:sz w:val="28"/>
          <w:szCs w:val="28"/>
          <w:shd w:fill="auto" w:val="clear"/>
          <w:lang w:eastAsia="ru-RU"/>
        </w:rPr>
        <w:t xml:space="preserve"> включительно в соответствии с требованиями настоящего Технического задания.</w:t>
      </w:r>
    </w:p>
    <w:p>
      <w:pPr>
        <w:pStyle w:val="Standard"/>
        <w:widowControl w:val="false"/>
        <w:ind w:left="0" w:right="0" w:firstLine="709"/>
        <w:jc w:val="both"/>
        <w:rPr>
          <w:highlight w:val="none"/>
          <w:shd w:fill="auto" w:val="clear"/>
        </w:rPr>
      </w:pPr>
      <w:r>
        <w:rPr>
          <w:rFonts w:eastAsia="Calibri" w:cs="Times New Roman"/>
          <w:sz w:val="28"/>
          <w:szCs w:val="28"/>
          <w:shd w:fill="auto" w:val="clear"/>
          <w:lang w:eastAsia="ru-RU"/>
        </w:rPr>
        <w:t>9</w:t>
      </w:r>
      <w:r>
        <w:rPr>
          <w:rFonts w:cs="Times New Roman"/>
          <w:sz w:val="28"/>
          <w:szCs w:val="28"/>
          <w:shd w:fill="auto" w:val="clear"/>
          <w:lang w:eastAsia="ru-RU"/>
        </w:rPr>
        <w:t>. Требования объему предоставляемых гарантий.</w:t>
      </w:r>
    </w:p>
    <w:p>
      <w:pPr>
        <w:pStyle w:val="Standard"/>
        <w:widowControl w:val="false"/>
        <w:tabs>
          <w:tab w:val="clear" w:pos="709"/>
          <w:tab w:val="left" w:pos="6804" w:leader="none"/>
        </w:tabs>
        <w:ind w:left="0" w:right="0" w:firstLine="709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shd w:fill="auto" w:val="clear"/>
          <w:lang w:eastAsia="ar-SA"/>
        </w:rPr>
        <w:t>В случае причинения ущерба имуществу Заказчика, его сотрудникам или третьим лицам, при оказании Услуг (вып</w:t>
      </w:r>
      <w:r>
        <w:rPr>
          <w:rFonts w:cs="Times New Roman"/>
          <w:sz w:val="28"/>
          <w:szCs w:val="28"/>
          <w:lang w:eastAsia="ar-SA"/>
        </w:rPr>
        <w:t>олнении работ), или при дальнейшем использовании Заказчиком результата оказанных услуг (выполненных работ), Исполнитель возмещает ущерб в полном объеме.</w:t>
      </w:r>
    </w:p>
    <w:sectPr>
      <w:headerReference w:type="default" r:id="rId4"/>
      <w:headerReference w:type="first" r:id="rId5"/>
      <w:footnotePr>
        <w:numFmt w:val="decimal"/>
      </w:footnotePr>
      <w:type w:val="nextPage"/>
      <w:pgSz w:w="11906" w:h="16838"/>
      <w:pgMar w:left="1701" w:right="567" w:gutter="0" w:header="567" w:top="1128" w:footer="0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71"/>
        <w:rPr/>
      </w:pPr>
      <w:r>
        <w:rPr>
          <w:rStyle w:val="Style8"/>
        </w:rPr>
        <w:footnoteRef/>
      </w:r>
      <w:r>
        <w:rPr>
          <w:rFonts w:cs="Liberation Serif;Times New Roman"/>
          <w:sz w:val="16"/>
          <w:szCs w:val="16"/>
        </w:rPr>
        <w:t xml:space="preserve">Если первый месяц срока является неполным (менее 25 календарных дней), то расчет стоимости услуг  осуществляется исходя из фактического количества календарных дней в неполном календарном месяце по стоимости услуг за первый полный календарный месяц в текущем году.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9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9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Noto Serif CJK SC;Times New Roman" w:cs="Noto Sans;Times New Roman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33"/>
    <w:next w:val="Style42"/>
    <w:qFormat/>
    <w:pPr>
      <w:numPr>
        <w:ilvl w:val="0"/>
        <w:numId w:val="1"/>
      </w:numPr>
      <w:suppressAutoHyphens w:val="true"/>
      <w:outlineLvl w:val="0"/>
    </w:pPr>
    <w:rPr/>
  </w:style>
  <w:style w:type="paragraph" w:styleId="2">
    <w:name w:val="Heading 2"/>
    <w:basedOn w:val="Style33"/>
    <w:next w:val="Style34"/>
    <w:qFormat/>
    <w:pPr>
      <w:numPr>
        <w:ilvl w:val="1"/>
        <w:numId w:val="1"/>
      </w:numPr>
      <w:suppressAutoHyphens w:val="true"/>
      <w:outlineLvl w:val="1"/>
    </w:pPr>
    <w:rPr/>
  </w:style>
  <w:style w:type="paragraph" w:styleId="3">
    <w:name w:val="Heading 3"/>
    <w:basedOn w:val="Style33"/>
    <w:next w:val="Style34"/>
    <w:qFormat/>
    <w:pPr>
      <w:numPr>
        <w:ilvl w:val="2"/>
        <w:numId w:val="1"/>
      </w:numPr>
      <w:suppressAutoHyphens w:val="true"/>
      <w:outlineLvl w:val="2"/>
    </w:pPr>
    <w:rPr/>
  </w:style>
  <w:style w:type="paragraph" w:styleId="4">
    <w:name w:val="Heading 4"/>
    <w:basedOn w:val="Style33"/>
    <w:next w:val="Style34"/>
    <w:qFormat/>
    <w:pPr>
      <w:numPr>
        <w:ilvl w:val="3"/>
        <w:numId w:val="1"/>
      </w:numPr>
      <w:suppressAutoHyphens w:val="true"/>
      <w:outlineLvl w:val="3"/>
    </w:pPr>
    <w:rPr/>
  </w:style>
  <w:style w:type="paragraph" w:styleId="5">
    <w:name w:val="Heading 5"/>
    <w:basedOn w:val="Style33"/>
    <w:next w:val="Style34"/>
    <w:qFormat/>
    <w:pPr>
      <w:numPr>
        <w:ilvl w:val="4"/>
        <w:numId w:val="1"/>
      </w:numPr>
      <w:suppressAutoHyphens w:val="true"/>
      <w:outlineLvl w:val="4"/>
    </w:pPr>
    <w:rPr/>
  </w:style>
  <w:style w:type="paragraph" w:styleId="6">
    <w:name w:val="Heading 6"/>
    <w:basedOn w:val="Style33"/>
    <w:next w:val="Style34"/>
    <w:qFormat/>
    <w:pPr>
      <w:numPr>
        <w:ilvl w:val="5"/>
        <w:numId w:val="1"/>
      </w:numPr>
      <w:suppressAutoHyphens w:val="true"/>
      <w:outlineLvl w:val="5"/>
    </w:pPr>
    <w:rPr/>
  </w:style>
  <w:style w:type="paragraph" w:styleId="7">
    <w:name w:val="Heading 7"/>
    <w:basedOn w:val="Style33"/>
    <w:next w:val="Style34"/>
    <w:qFormat/>
    <w:pPr>
      <w:numPr>
        <w:ilvl w:val="6"/>
        <w:numId w:val="1"/>
      </w:numPr>
      <w:suppressAutoHyphens w:val="true"/>
      <w:outlineLvl w:val="6"/>
    </w:pPr>
    <w:rPr/>
  </w:style>
  <w:style w:type="paragraph" w:styleId="8">
    <w:name w:val="Heading 8"/>
    <w:basedOn w:val="Style33"/>
    <w:next w:val="Style34"/>
    <w:qFormat/>
    <w:pPr>
      <w:numPr>
        <w:ilvl w:val="7"/>
        <w:numId w:val="1"/>
      </w:numPr>
      <w:suppressAutoHyphens w:val="true"/>
      <w:outlineLvl w:val="7"/>
    </w:pPr>
    <w:rPr/>
  </w:style>
  <w:style w:type="paragraph" w:styleId="9">
    <w:name w:val="Heading 9"/>
    <w:basedOn w:val="Style33"/>
    <w:next w:val="Style34"/>
    <w:qFormat/>
    <w:pPr>
      <w:numPr>
        <w:ilvl w:val="8"/>
        <w:numId w:val="1"/>
      </w:numPr>
      <w:suppressAutoHyphens w:val="true"/>
      <w:outlineLvl w:val="8"/>
    </w:pPr>
    <w:rPr/>
  </w:style>
  <w:style w:type="character" w:styleId="WW8Num3z0">
    <w:name w:val="WW8Num3z0"/>
    <w:qFormat/>
    <w:rPr>
      <w:rFonts w:ascii="PT Astra Serif" w:hAnsi="PT Astra Serif" w:cs="PT Astra Serif"/>
    </w:rPr>
  </w:style>
  <w:style w:type="character" w:styleId="WW8Num2z0">
    <w:name w:val="WW8Num2z0"/>
    <w:qFormat/>
    <w:rPr>
      <w:rFonts w:ascii="PT Astra Serif" w:hAnsi="PT Astra Serif" w:cs="PT Astra Serif"/>
    </w:rPr>
  </w:style>
  <w:style w:type="character" w:styleId="Style5">
    <w:name w:val="Основной шрифт абзаца"/>
    <w:qFormat/>
    <w:rPr/>
  </w:style>
  <w:style w:type="character" w:styleId="Style6">
    <w:name w:val="Символ нумерации"/>
    <w:qFormat/>
    <w:rPr/>
  </w:style>
  <w:style w:type="character" w:styleId="Style7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8">
    <w:name w:val="Символ сноски"/>
    <w:qFormat/>
    <w:rPr>
      <w:vertAlign w:val="superscript"/>
    </w:rPr>
  </w:style>
  <w:style w:type="character" w:styleId="Style9">
    <w:name w:val="Знак сноски"/>
    <w:qFormat/>
    <w:rPr>
      <w:vertAlign w:val="superscript"/>
    </w:rPr>
  </w:style>
  <w:style w:type="character" w:styleId="Style10">
    <w:name w:val="Page Number"/>
    <w:rPr/>
  </w:style>
  <w:style w:type="character" w:styleId="Style11">
    <w:name w:val="Символы названия"/>
    <w:qFormat/>
    <w:rPr/>
  </w:style>
  <w:style w:type="character" w:styleId="Style12">
    <w:name w:val="Буквица"/>
    <w:qFormat/>
    <w:rPr/>
  </w:style>
  <w:style w:type="character" w:styleId="-">
    <w:name w:val="Hyperlink"/>
    <w:rPr>
      <w:color w:val="000080"/>
      <w:u w:val="single"/>
    </w:rPr>
  </w:style>
  <w:style w:type="character" w:styleId="Style13">
    <w:name w:val="FollowedHyperlink"/>
    <w:rPr>
      <w:color w:val="800000"/>
      <w:u w:val="single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>
      <w:vertAlign w:val="superscript"/>
    </w:rPr>
  </w:style>
  <w:style w:type="character" w:styleId="Style17">
    <w:name w:val="Line Number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Знак концевой сноски"/>
    <w:qFormat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/>
  </w:style>
  <w:style w:type="character" w:styleId="Style22">
    <w:name w:val="Emphasis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;Courier New" w:hAnsi="Liberation Mono;Courier New" w:eastAsia="Liberation Mono;Courier New" w:cs="Liberation Mono;Courier New"/>
    </w:rPr>
  </w:style>
  <w:style w:type="character" w:styleId="Style25">
    <w:name w:val="Пример"/>
    <w:qFormat/>
    <w:rPr>
      <w:rFonts w:ascii="Liberation Mono;Courier New" w:hAnsi="Liberation Mono;Courier New" w:eastAsia="Liberation Mono;Courier New" w:cs="Liberation Mono;Courier New"/>
    </w:rPr>
  </w:style>
  <w:style w:type="character" w:styleId="Style26">
    <w:name w:val="Ввод пользователя"/>
    <w:qFormat/>
    <w:rPr>
      <w:rFonts w:ascii="Liberation Mono;Courier New" w:hAnsi="Liberation Mono;Courier New" w:eastAsia="Liberation Mono;Courier New" w:cs="Liberation Mono;Courier New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;Courier New" w:hAnsi="Liberation Mono;Courier New" w:eastAsia="Liberation Mono;Courier New" w:cs="Liberation Mono;Courier New"/>
    </w:rPr>
  </w:style>
  <w:style w:type="character" w:styleId="WWCharLFO3LVL1">
    <w:name w:val="WW_CharLFO3LVL1"/>
    <w:qFormat/>
    <w:rPr>
      <w:rFonts w:ascii="PT Astra Serif" w:hAnsi="PT Astra Serif" w:cs="OpenSymbol;Arial Unicode MS"/>
    </w:rPr>
  </w:style>
  <w:style w:type="character" w:styleId="WWCharLFO3LVL2">
    <w:name w:val="WW_CharLFO3LVL2"/>
    <w:qFormat/>
    <w:rPr>
      <w:rFonts w:ascii="PT Astra Serif" w:hAnsi="PT Astra Serif" w:cs="OpenSymbol;Arial Unicode MS"/>
    </w:rPr>
  </w:style>
  <w:style w:type="character" w:styleId="WWCharLFO3LVL3">
    <w:name w:val="WW_CharLFO3LVL3"/>
    <w:qFormat/>
    <w:rPr>
      <w:rFonts w:ascii="PT Astra Serif" w:hAnsi="PT Astra Serif" w:cs="OpenSymbol;Arial Unicode MS"/>
    </w:rPr>
  </w:style>
  <w:style w:type="character" w:styleId="WWCharLFO3LVL4">
    <w:name w:val="WW_CharLFO3LVL4"/>
    <w:qFormat/>
    <w:rPr>
      <w:rFonts w:ascii="PT Astra Serif" w:hAnsi="PT Astra Serif" w:cs="OpenSymbol;Arial Unicode MS"/>
    </w:rPr>
  </w:style>
  <w:style w:type="character" w:styleId="WWCharLFO3LVL5">
    <w:name w:val="WW_CharLFO3LVL5"/>
    <w:qFormat/>
    <w:rPr>
      <w:rFonts w:ascii="PT Astra Serif" w:hAnsi="PT Astra Serif" w:cs="OpenSymbol;Arial Unicode MS"/>
    </w:rPr>
  </w:style>
  <w:style w:type="character" w:styleId="WWCharLFO3LVL6">
    <w:name w:val="WW_CharLFO3LVL6"/>
    <w:qFormat/>
    <w:rPr>
      <w:rFonts w:ascii="PT Astra Serif" w:hAnsi="PT Astra Serif" w:cs="OpenSymbol;Arial Unicode MS"/>
    </w:rPr>
  </w:style>
  <w:style w:type="character" w:styleId="WWCharLFO3LVL7">
    <w:name w:val="WW_CharLFO3LVL7"/>
    <w:qFormat/>
    <w:rPr>
      <w:rFonts w:ascii="PT Astra Serif" w:hAnsi="PT Astra Serif" w:cs="OpenSymbol;Arial Unicode MS"/>
    </w:rPr>
  </w:style>
  <w:style w:type="character" w:styleId="WWCharLFO3LVL8">
    <w:name w:val="WW_CharLFO3LVL8"/>
    <w:qFormat/>
    <w:rPr>
      <w:rFonts w:ascii="PT Astra Serif" w:hAnsi="PT Astra Serif" w:cs="OpenSymbol;Arial Unicode MS"/>
    </w:rPr>
  </w:style>
  <w:style w:type="character" w:styleId="WWCharLFO3LVL9">
    <w:name w:val="WW_CharLFO3LVL9"/>
    <w:qFormat/>
    <w:rPr>
      <w:rFonts w:ascii="PT Astra Serif" w:hAnsi="PT Astra Serif" w:cs="OpenSymbol;Arial Unicode MS"/>
    </w:rPr>
  </w:style>
  <w:style w:type="character" w:styleId="Style30">
    <w:name w:val="Верхний колонтитул Знак"/>
    <w:qFormat/>
    <w:rPr>
      <w:kern w:val="2"/>
      <w:sz w:val="24"/>
      <w:szCs w:val="24"/>
      <w:lang w:eastAsia="zh-CN" w:bidi="hi-IN"/>
    </w:rPr>
  </w:style>
  <w:style w:type="character" w:styleId="Style31">
    <w:name w:val="Footnote Reference"/>
    <w:rPr>
      <w:vertAlign w:val="superscript"/>
    </w:rPr>
  </w:style>
  <w:style w:type="character" w:styleId="Style32">
    <w:name w:val="Endnote Reference"/>
    <w:rPr>
      <w:vertAlign w:val="superscript"/>
    </w:rPr>
  </w:style>
  <w:style w:type="paragraph" w:styleId="Style33">
    <w:name w:val="Заголовок"/>
    <w:basedOn w:val="Normal"/>
    <w:next w:val="Style42"/>
    <w:qFormat/>
    <w:pPr>
      <w:suppressAutoHyphens w:val="true"/>
    </w:pPr>
    <w:rPr>
      <w:b/>
    </w:rPr>
  </w:style>
  <w:style w:type="paragraph" w:styleId="Style34">
    <w:name w:val="Body Text"/>
    <w:basedOn w:val="Normal"/>
    <w:pPr>
      <w:suppressAutoHyphens w:val="true"/>
      <w:jc w:val="both"/>
    </w:pPr>
    <w:rPr/>
  </w:style>
  <w:style w:type="paragraph" w:styleId="Style35">
    <w:name w:val="List"/>
    <w:basedOn w:val="Style34"/>
    <w:pPr/>
    <w:rPr/>
  </w:style>
  <w:style w:type="paragraph" w:styleId="Style3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37">
    <w:name w:val="Указатель"/>
    <w:basedOn w:val="Normal"/>
    <w:qFormat/>
    <w:pPr>
      <w:suppressAutoHyphens w:val="true"/>
    </w:pPr>
    <w:rPr/>
  </w:style>
  <w:style w:type="paragraph" w:styleId="Style38">
    <w:name w:val="Название объекта"/>
    <w:basedOn w:val="Normal"/>
    <w:qFormat/>
    <w:pPr>
      <w:suppressAutoHyphens w:val="true"/>
    </w:pPr>
    <w:rPr/>
  </w:style>
  <w:style w:type="paragraph" w:styleId="Style39">
    <w:name w:val="Index Heading"/>
    <w:basedOn w:val="Style33"/>
    <w:pPr>
      <w:suppressLineNumbers/>
      <w:ind w:left="0" w:right="0" w:hanging="0"/>
    </w:pPr>
    <w:rPr>
      <w:b/>
      <w:bCs/>
      <w:sz w:val="32"/>
      <w:szCs w:val="32"/>
    </w:rPr>
  </w:style>
  <w:style w:type="paragraph" w:styleId="Style40">
    <w:name w:val="Блочная цитата"/>
    <w:basedOn w:val="Normal"/>
    <w:qFormat/>
    <w:pPr>
      <w:suppressAutoHyphens w:val="true"/>
    </w:pPr>
    <w:rPr/>
  </w:style>
  <w:style w:type="paragraph" w:styleId="Style41">
    <w:name w:val="Subtitle"/>
    <w:basedOn w:val="Normal"/>
    <w:next w:val="Style42"/>
    <w:qFormat/>
    <w:pPr>
      <w:suppressAutoHyphens w:val="true"/>
      <w:ind w:left="709" w:right="0" w:hanging="0"/>
      <w:jc w:val="both"/>
    </w:pPr>
    <w:rPr>
      <w:b/>
    </w:rPr>
  </w:style>
  <w:style w:type="paragraph" w:styleId="Style42">
    <w:name w:val="Красная строка"/>
    <w:basedOn w:val="Normal"/>
    <w:qFormat/>
    <w:pPr>
      <w:suppressAutoHyphens w:val="true"/>
      <w:ind w:left="0" w:right="0" w:firstLine="709"/>
      <w:jc w:val="both"/>
    </w:pPr>
    <w:rPr/>
  </w:style>
  <w:style w:type="paragraph" w:styleId="Style43">
    <w:name w:val="Обратный отступ"/>
    <w:basedOn w:val="Style34"/>
    <w:qFormat/>
    <w:pPr>
      <w:suppressAutoHyphens w:val="true"/>
    </w:pPr>
    <w:rPr/>
  </w:style>
  <w:style w:type="paragraph" w:styleId="Style44">
    <w:name w:val="Body Text Indent"/>
    <w:basedOn w:val="Style34"/>
    <w:pPr>
      <w:suppressAutoHyphens w:val="true"/>
    </w:pPr>
    <w:rPr/>
  </w:style>
  <w:style w:type="paragraph" w:styleId="Style45">
    <w:name w:val="Приветствие"/>
    <w:basedOn w:val="Normal"/>
    <w:qFormat/>
    <w:pPr>
      <w:suppressAutoHyphens w:val="true"/>
    </w:pPr>
    <w:rPr/>
  </w:style>
  <w:style w:type="paragraph" w:styleId="Style46">
    <w:name w:val="Signature"/>
    <w:basedOn w:val="Normal"/>
    <w:pPr>
      <w:suppressAutoHyphens w:val="true"/>
    </w:pPr>
    <w:rPr/>
  </w:style>
  <w:style w:type="paragraph" w:styleId="Style47">
    <w:name w:val="Отступы"/>
    <w:basedOn w:val="Style34"/>
    <w:qFormat/>
    <w:pPr>
      <w:suppressAutoHyphens w:val="true"/>
    </w:pPr>
    <w:rPr/>
  </w:style>
  <w:style w:type="paragraph" w:styleId="Style48">
    <w:name w:val="Текст примечания"/>
    <w:basedOn w:val="Style34"/>
    <w:qFormat/>
    <w:pPr>
      <w:suppressAutoHyphens w:val="true"/>
    </w:pPr>
    <w:rPr/>
  </w:style>
  <w:style w:type="paragraph" w:styleId="10">
    <w:name w:val="Заголовок 10"/>
    <w:basedOn w:val="Style33"/>
    <w:next w:val="Style34"/>
    <w:qFormat/>
    <w:pPr>
      <w:suppressAutoHyphens w:val="true"/>
    </w:pPr>
    <w:rPr/>
  </w:style>
  <w:style w:type="paragraph" w:styleId="11">
    <w:name w:val="Начало нумерованного списка 1"/>
    <w:basedOn w:val="Style35"/>
    <w:next w:val="ListBullet4"/>
    <w:qFormat/>
    <w:pPr>
      <w:suppressAutoHyphens w:val="true"/>
    </w:pPr>
    <w:rPr/>
  </w:style>
  <w:style w:type="paragraph" w:styleId="ListBullet4">
    <w:name w:val="List Bullet 4"/>
    <w:basedOn w:val="Style35"/>
    <w:qFormat/>
    <w:pPr>
      <w:numPr>
        <w:ilvl w:val="0"/>
        <w:numId w:val="2"/>
      </w:numPr>
      <w:suppressAutoHyphens w:val="true"/>
    </w:pPr>
    <w:rPr/>
  </w:style>
  <w:style w:type="paragraph" w:styleId="12">
    <w:name w:val="Конец нумерованного списка 1"/>
    <w:basedOn w:val="Style35"/>
    <w:next w:val="ListBullet4"/>
    <w:qFormat/>
    <w:pPr>
      <w:suppressAutoHyphens w:val="true"/>
    </w:pPr>
    <w:rPr/>
  </w:style>
  <w:style w:type="paragraph" w:styleId="13">
    <w:name w:val="Продолжение нумерованного списка 1"/>
    <w:basedOn w:val="Style35"/>
    <w:qFormat/>
    <w:pPr>
      <w:suppressAutoHyphens w:val="true"/>
    </w:pPr>
    <w:rPr/>
  </w:style>
  <w:style w:type="paragraph" w:styleId="21">
    <w:name w:val="Начало нумерованного списка 2"/>
    <w:basedOn w:val="Style35"/>
    <w:next w:val="ListNumber2"/>
    <w:qFormat/>
    <w:pPr>
      <w:suppressAutoHyphens w:val="true"/>
    </w:pPr>
    <w:rPr/>
  </w:style>
  <w:style w:type="paragraph" w:styleId="ListNumber2">
    <w:name w:val="List Number 2"/>
    <w:basedOn w:val="Style35"/>
    <w:qFormat/>
    <w:pPr>
      <w:suppressAutoHyphens w:val="true"/>
    </w:pPr>
    <w:rPr/>
  </w:style>
  <w:style w:type="paragraph" w:styleId="22">
    <w:name w:val="Конец нумерованного списка 2"/>
    <w:basedOn w:val="Style35"/>
    <w:next w:val="ListNumber2"/>
    <w:qFormat/>
    <w:pPr>
      <w:suppressAutoHyphens w:val="true"/>
    </w:pPr>
    <w:rPr/>
  </w:style>
  <w:style w:type="paragraph" w:styleId="23">
    <w:name w:val="Продолжение нумерованного списка 2"/>
    <w:basedOn w:val="Style35"/>
    <w:qFormat/>
    <w:pPr>
      <w:suppressAutoHyphens w:val="true"/>
    </w:pPr>
    <w:rPr/>
  </w:style>
  <w:style w:type="paragraph" w:styleId="31">
    <w:name w:val="Начало нумерованного списка 3"/>
    <w:basedOn w:val="Style35"/>
    <w:next w:val="ListNumber3"/>
    <w:qFormat/>
    <w:pPr>
      <w:suppressAutoHyphens w:val="true"/>
    </w:pPr>
    <w:rPr/>
  </w:style>
  <w:style w:type="paragraph" w:styleId="ListNumber3">
    <w:name w:val="List Number 3"/>
    <w:basedOn w:val="Style35"/>
    <w:qFormat/>
    <w:pPr>
      <w:suppressAutoHyphens w:val="true"/>
    </w:pPr>
    <w:rPr/>
  </w:style>
  <w:style w:type="paragraph" w:styleId="32">
    <w:name w:val="Конец нумерованного списка 3"/>
    <w:basedOn w:val="Style35"/>
    <w:next w:val="ListNumber3"/>
    <w:qFormat/>
    <w:pPr>
      <w:suppressAutoHyphens w:val="true"/>
    </w:pPr>
    <w:rPr/>
  </w:style>
  <w:style w:type="paragraph" w:styleId="33">
    <w:name w:val="Продолжение нумерованного списка 3"/>
    <w:basedOn w:val="Style35"/>
    <w:qFormat/>
    <w:pPr>
      <w:suppressAutoHyphens w:val="true"/>
    </w:pPr>
    <w:rPr/>
  </w:style>
  <w:style w:type="paragraph" w:styleId="41">
    <w:name w:val="Начало нумерованного списка 4"/>
    <w:basedOn w:val="Style35"/>
    <w:next w:val="ListNumber4"/>
    <w:qFormat/>
    <w:pPr>
      <w:suppressAutoHyphens w:val="true"/>
    </w:pPr>
    <w:rPr/>
  </w:style>
  <w:style w:type="paragraph" w:styleId="ListNumber4">
    <w:name w:val="List Number 4"/>
    <w:basedOn w:val="Style35"/>
    <w:qFormat/>
    <w:pPr>
      <w:suppressAutoHyphens w:val="true"/>
    </w:pPr>
    <w:rPr/>
  </w:style>
  <w:style w:type="paragraph" w:styleId="42">
    <w:name w:val="Конец нумерованного списка 4"/>
    <w:basedOn w:val="Style35"/>
    <w:next w:val="ListNumber4"/>
    <w:qFormat/>
    <w:pPr>
      <w:suppressAutoHyphens w:val="true"/>
    </w:pPr>
    <w:rPr/>
  </w:style>
  <w:style w:type="paragraph" w:styleId="43">
    <w:name w:val="Продолжение нумерованного списка 4"/>
    <w:basedOn w:val="Style35"/>
    <w:qFormat/>
    <w:pPr>
      <w:suppressAutoHyphens w:val="true"/>
    </w:pPr>
    <w:rPr/>
  </w:style>
  <w:style w:type="paragraph" w:styleId="51">
    <w:name w:val="Начало нумерованного списка 5"/>
    <w:basedOn w:val="Style35"/>
    <w:next w:val="ListNumber5"/>
    <w:qFormat/>
    <w:pPr>
      <w:suppressAutoHyphens w:val="true"/>
    </w:pPr>
    <w:rPr/>
  </w:style>
  <w:style w:type="paragraph" w:styleId="ListNumber5">
    <w:name w:val="List Number 5"/>
    <w:basedOn w:val="Style35"/>
    <w:qFormat/>
    <w:pPr>
      <w:suppressAutoHyphens w:val="true"/>
    </w:pPr>
    <w:rPr/>
  </w:style>
  <w:style w:type="paragraph" w:styleId="52">
    <w:name w:val="Конец нумерованного списка 5"/>
    <w:basedOn w:val="Style35"/>
    <w:next w:val="ListNumber5"/>
    <w:qFormat/>
    <w:pPr>
      <w:suppressAutoHyphens w:val="true"/>
    </w:pPr>
    <w:rPr/>
  </w:style>
  <w:style w:type="paragraph" w:styleId="53">
    <w:name w:val="Продолжение нумерованного списка 5"/>
    <w:basedOn w:val="Style35"/>
    <w:qFormat/>
    <w:pPr>
      <w:suppressAutoHyphens w:val="true"/>
    </w:pPr>
    <w:rPr/>
  </w:style>
  <w:style w:type="paragraph" w:styleId="14">
    <w:name w:val="Список 1 начало"/>
    <w:basedOn w:val="Style35"/>
    <w:next w:val="Style49"/>
    <w:qFormat/>
    <w:pPr>
      <w:suppressAutoHyphens w:val="true"/>
    </w:pPr>
    <w:rPr/>
  </w:style>
  <w:style w:type="paragraph" w:styleId="Style49">
    <w:name w:val="Маркированный список"/>
    <w:basedOn w:val="Style35"/>
    <w:qFormat/>
    <w:pPr>
      <w:numPr>
        <w:ilvl w:val="0"/>
        <w:numId w:val="3"/>
      </w:numPr>
      <w:suppressAutoHyphens w:val="true"/>
    </w:pPr>
    <w:rPr/>
  </w:style>
  <w:style w:type="paragraph" w:styleId="15">
    <w:name w:val="Список 1 конец"/>
    <w:basedOn w:val="Style35"/>
    <w:next w:val="Style49"/>
    <w:qFormat/>
    <w:pPr>
      <w:suppressAutoHyphens w:val="true"/>
    </w:pPr>
    <w:rPr/>
  </w:style>
  <w:style w:type="paragraph" w:styleId="Style50">
    <w:name w:val="Продолжение списка"/>
    <w:basedOn w:val="Style35"/>
    <w:qFormat/>
    <w:pPr>
      <w:suppressAutoHyphens w:val="true"/>
    </w:pPr>
    <w:rPr/>
  </w:style>
  <w:style w:type="paragraph" w:styleId="24">
    <w:name w:val="Список 2 начало"/>
    <w:basedOn w:val="Style35"/>
    <w:next w:val="25"/>
    <w:qFormat/>
    <w:pPr>
      <w:suppressAutoHyphens w:val="true"/>
    </w:pPr>
    <w:rPr/>
  </w:style>
  <w:style w:type="paragraph" w:styleId="25">
    <w:name w:val="Маркированный список 2"/>
    <w:basedOn w:val="Style35"/>
    <w:qFormat/>
    <w:pPr>
      <w:suppressAutoHyphens w:val="true"/>
    </w:pPr>
    <w:rPr/>
  </w:style>
  <w:style w:type="paragraph" w:styleId="26">
    <w:name w:val="Список 2 конец"/>
    <w:basedOn w:val="Style35"/>
    <w:next w:val="25"/>
    <w:qFormat/>
    <w:pPr>
      <w:suppressAutoHyphens w:val="true"/>
    </w:pPr>
    <w:rPr/>
  </w:style>
  <w:style w:type="paragraph" w:styleId="27">
    <w:name w:val="Продолжение списка 2"/>
    <w:basedOn w:val="Style35"/>
    <w:qFormat/>
    <w:pPr>
      <w:suppressAutoHyphens w:val="true"/>
    </w:pPr>
    <w:rPr/>
  </w:style>
  <w:style w:type="paragraph" w:styleId="34">
    <w:name w:val="Список 3 начало"/>
    <w:basedOn w:val="Style35"/>
    <w:next w:val="35"/>
    <w:qFormat/>
    <w:pPr>
      <w:suppressAutoHyphens w:val="true"/>
    </w:pPr>
    <w:rPr/>
  </w:style>
  <w:style w:type="paragraph" w:styleId="35">
    <w:name w:val="Маркированный список 3"/>
    <w:basedOn w:val="Style35"/>
    <w:qFormat/>
    <w:pPr>
      <w:suppressAutoHyphens w:val="true"/>
    </w:pPr>
    <w:rPr/>
  </w:style>
  <w:style w:type="paragraph" w:styleId="36">
    <w:name w:val="Список 3 конец"/>
    <w:basedOn w:val="Style35"/>
    <w:next w:val="35"/>
    <w:qFormat/>
    <w:pPr>
      <w:suppressAutoHyphens w:val="true"/>
    </w:pPr>
    <w:rPr/>
  </w:style>
  <w:style w:type="paragraph" w:styleId="37">
    <w:name w:val="Продолжение списка 3"/>
    <w:basedOn w:val="Style35"/>
    <w:qFormat/>
    <w:pPr>
      <w:suppressAutoHyphens w:val="true"/>
    </w:pPr>
    <w:rPr/>
  </w:style>
  <w:style w:type="paragraph" w:styleId="44">
    <w:name w:val="Список 4 начало"/>
    <w:basedOn w:val="Style35"/>
    <w:next w:val="45"/>
    <w:qFormat/>
    <w:pPr>
      <w:suppressAutoHyphens w:val="true"/>
    </w:pPr>
    <w:rPr/>
  </w:style>
  <w:style w:type="paragraph" w:styleId="45">
    <w:name w:val="Маркированный список 4"/>
    <w:basedOn w:val="Style35"/>
    <w:qFormat/>
    <w:pPr>
      <w:suppressAutoHyphens w:val="true"/>
    </w:pPr>
    <w:rPr/>
  </w:style>
  <w:style w:type="paragraph" w:styleId="46">
    <w:name w:val="Список 4 конец"/>
    <w:basedOn w:val="Style35"/>
    <w:next w:val="45"/>
    <w:qFormat/>
    <w:pPr>
      <w:suppressAutoHyphens w:val="true"/>
    </w:pPr>
    <w:rPr/>
  </w:style>
  <w:style w:type="paragraph" w:styleId="47">
    <w:name w:val="Продолжение списка 4"/>
    <w:basedOn w:val="Style35"/>
    <w:qFormat/>
    <w:pPr>
      <w:suppressAutoHyphens w:val="true"/>
    </w:pPr>
    <w:rPr/>
  </w:style>
  <w:style w:type="paragraph" w:styleId="54">
    <w:name w:val="Список 5 начало"/>
    <w:basedOn w:val="Style35"/>
    <w:next w:val="55"/>
    <w:qFormat/>
    <w:pPr>
      <w:suppressAutoHyphens w:val="true"/>
    </w:pPr>
    <w:rPr/>
  </w:style>
  <w:style w:type="paragraph" w:styleId="55">
    <w:name w:val="Маркированный список 5"/>
    <w:basedOn w:val="Style35"/>
    <w:qFormat/>
    <w:pPr>
      <w:suppressAutoHyphens w:val="true"/>
    </w:pPr>
    <w:rPr/>
  </w:style>
  <w:style w:type="paragraph" w:styleId="56">
    <w:name w:val="Список 5 конец"/>
    <w:basedOn w:val="Style35"/>
    <w:next w:val="55"/>
    <w:qFormat/>
    <w:pPr>
      <w:suppressAutoHyphens w:val="true"/>
    </w:pPr>
    <w:rPr/>
  </w:style>
  <w:style w:type="paragraph" w:styleId="57">
    <w:name w:val="Продолжение списка 5"/>
    <w:basedOn w:val="Style35"/>
    <w:qFormat/>
    <w:pPr>
      <w:suppressAutoHyphens w:val="true"/>
    </w:pPr>
    <w:rPr/>
  </w:style>
  <w:style w:type="paragraph" w:styleId="16">
    <w:name w:val="Index 1"/>
    <w:basedOn w:val="Style37"/>
    <w:pPr>
      <w:suppressAutoHyphens w:val="true"/>
    </w:pPr>
    <w:rPr/>
  </w:style>
  <w:style w:type="paragraph" w:styleId="28">
    <w:name w:val="Index 2"/>
    <w:basedOn w:val="Style37"/>
    <w:pPr>
      <w:suppressAutoHyphens w:val="true"/>
    </w:pPr>
    <w:rPr/>
  </w:style>
  <w:style w:type="paragraph" w:styleId="38">
    <w:name w:val="Index 3"/>
    <w:basedOn w:val="Style37"/>
    <w:pPr>
      <w:suppressAutoHyphens w:val="true"/>
    </w:pPr>
    <w:rPr/>
  </w:style>
  <w:style w:type="paragraph" w:styleId="Style51">
    <w:name w:val="Разделитель предметного указателя"/>
    <w:basedOn w:val="Style37"/>
    <w:qFormat/>
    <w:pPr>
      <w:suppressAutoHyphens w:val="true"/>
    </w:pPr>
    <w:rPr/>
  </w:style>
  <w:style w:type="paragraph" w:styleId="Style52">
    <w:name w:val="TOC Heading"/>
    <w:basedOn w:val="Style33"/>
    <w:next w:val="17"/>
    <w:pPr>
      <w:suppressAutoHyphens w:val="true"/>
    </w:pPr>
    <w:rPr/>
  </w:style>
  <w:style w:type="paragraph" w:styleId="17">
    <w:name w:val="TOC 1"/>
    <w:basedOn w:val="Style37"/>
    <w:pPr>
      <w:suppressAutoHyphens w:val="true"/>
    </w:pPr>
    <w:rPr/>
  </w:style>
  <w:style w:type="paragraph" w:styleId="29">
    <w:name w:val="TOC 2"/>
    <w:basedOn w:val="Style37"/>
    <w:pPr>
      <w:suppressAutoHyphens w:val="true"/>
    </w:pPr>
    <w:rPr/>
  </w:style>
  <w:style w:type="paragraph" w:styleId="39">
    <w:name w:val="TOC 3"/>
    <w:basedOn w:val="Style37"/>
    <w:pPr>
      <w:suppressAutoHyphens w:val="true"/>
    </w:pPr>
    <w:rPr/>
  </w:style>
  <w:style w:type="paragraph" w:styleId="48">
    <w:name w:val="TOC 4"/>
    <w:basedOn w:val="Style37"/>
    <w:pPr>
      <w:suppressAutoHyphens w:val="true"/>
    </w:pPr>
    <w:rPr/>
  </w:style>
  <w:style w:type="paragraph" w:styleId="58">
    <w:name w:val="TOC 5"/>
    <w:basedOn w:val="Style37"/>
    <w:pPr>
      <w:suppressAutoHyphens w:val="true"/>
    </w:pPr>
    <w:rPr/>
  </w:style>
  <w:style w:type="paragraph" w:styleId="Style53">
    <w:name w:val="Заголовок указателей пользователя"/>
    <w:basedOn w:val="Style33"/>
    <w:qFormat/>
    <w:pPr>
      <w:suppressAutoHyphens w:val="true"/>
    </w:pPr>
    <w:rPr/>
  </w:style>
  <w:style w:type="paragraph" w:styleId="18">
    <w:name w:val="Указатель пользователя 1"/>
    <w:basedOn w:val="Style37"/>
    <w:qFormat/>
    <w:pPr>
      <w:suppressAutoHyphens w:val="true"/>
    </w:pPr>
    <w:rPr/>
  </w:style>
  <w:style w:type="paragraph" w:styleId="210">
    <w:name w:val="Указатель пользователя 2"/>
    <w:basedOn w:val="Style37"/>
    <w:qFormat/>
    <w:pPr>
      <w:suppressAutoHyphens w:val="true"/>
    </w:pPr>
    <w:rPr/>
  </w:style>
  <w:style w:type="paragraph" w:styleId="310">
    <w:name w:val="Указатель пользователя 3"/>
    <w:basedOn w:val="Style37"/>
    <w:qFormat/>
    <w:pPr>
      <w:suppressAutoHyphens w:val="true"/>
    </w:pPr>
    <w:rPr/>
  </w:style>
  <w:style w:type="paragraph" w:styleId="49">
    <w:name w:val="Указатель пользователя 4"/>
    <w:basedOn w:val="Style37"/>
    <w:qFormat/>
    <w:pPr>
      <w:suppressAutoHyphens w:val="true"/>
    </w:pPr>
    <w:rPr/>
  </w:style>
  <w:style w:type="paragraph" w:styleId="59">
    <w:name w:val="Указатель пользователя 5"/>
    <w:basedOn w:val="Style37"/>
    <w:qFormat/>
    <w:pPr>
      <w:suppressAutoHyphens w:val="true"/>
    </w:pPr>
    <w:rPr/>
  </w:style>
  <w:style w:type="paragraph" w:styleId="61">
    <w:name w:val="TOC 6"/>
    <w:basedOn w:val="Style37"/>
    <w:pPr>
      <w:suppressAutoHyphens w:val="true"/>
    </w:pPr>
    <w:rPr/>
  </w:style>
  <w:style w:type="paragraph" w:styleId="71">
    <w:name w:val="TOC 7"/>
    <w:basedOn w:val="Style37"/>
    <w:pPr>
      <w:suppressAutoHyphens w:val="true"/>
    </w:pPr>
    <w:rPr/>
  </w:style>
  <w:style w:type="paragraph" w:styleId="81">
    <w:name w:val="TOC 8"/>
    <w:basedOn w:val="Style37"/>
    <w:pPr>
      <w:suppressAutoHyphens w:val="true"/>
    </w:pPr>
    <w:rPr/>
  </w:style>
  <w:style w:type="paragraph" w:styleId="91">
    <w:name w:val="TOC 9"/>
    <w:basedOn w:val="Style37"/>
    <w:pPr>
      <w:suppressAutoHyphens w:val="true"/>
    </w:pPr>
    <w:rPr/>
  </w:style>
  <w:style w:type="paragraph" w:styleId="101">
    <w:name w:val="Оглавление 10"/>
    <w:basedOn w:val="Style37"/>
    <w:qFormat/>
    <w:pPr>
      <w:suppressAutoHyphens w:val="true"/>
    </w:pPr>
    <w:rPr/>
  </w:style>
  <w:style w:type="paragraph" w:styleId="IllustrationIndex1">
    <w:name w:val="Illustration Index 1"/>
    <w:basedOn w:val="Style37"/>
    <w:qFormat/>
    <w:pPr>
      <w:suppressAutoHyphens w:val="true"/>
    </w:pPr>
    <w:rPr/>
  </w:style>
  <w:style w:type="paragraph" w:styleId="Style54">
    <w:name w:val="Заголовок списка объектов"/>
    <w:basedOn w:val="Style33"/>
    <w:qFormat/>
    <w:pPr>
      <w:suppressAutoHyphens w:val="true"/>
    </w:pPr>
    <w:rPr/>
  </w:style>
  <w:style w:type="paragraph" w:styleId="19">
    <w:name w:val="Список объектов 1"/>
    <w:basedOn w:val="Style37"/>
    <w:qFormat/>
    <w:pPr>
      <w:suppressAutoHyphens w:val="true"/>
    </w:pPr>
    <w:rPr/>
  </w:style>
  <w:style w:type="paragraph" w:styleId="Style55">
    <w:name w:val="Заголовок списка таблиц"/>
    <w:basedOn w:val="Style33"/>
    <w:qFormat/>
    <w:pPr>
      <w:suppressAutoHyphens w:val="true"/>
    </w:pPr>
    <w:rPr/>
  </w:style>
  <w:style w:type="paragraph" w:styleId="110">
    <w:name w:val="Список таблиц 1"/>
    <w:basedOn w:val="Style37"/>
    <w:qFormat/>
    <w:pPr>
      <w:suppressAutoHyphens w:val="true"/>
    </w:pPr>
    <w:rPr/>
  </w:style>
  <w:style w:type="paragraph" w:styleId="Style56">
    <w:name w:val="Таблица ссылок"/>
    <w:basedOn w:val="Style33"/>
    <w:qFormat/>
    <w:pPr>
      <w:suppressAutoHyphens w:val="true"/>
    </w:pPr>
    <w:rPr/>
  </w:style>
  <w:style w:type="paragraph" w:styleId="111">
    <w:name w:val="Библиография 1"/>
    <w:basedOn w:val="Style37"/>
    <w:qFormat/>
    <w:pPr>
      <w:suppressAutoHyphens w:val="true"/>
    </w:pPr>
    <w:rPr/>
  </w:style>
  <w:style w:type="paragraph" w:styleId="62">
    <w:name w:val="Указатель пользователя 6"/>
    <w:basedOn w:val="Style37"/>
    <w:qFormat/>
    <w:pPr>
      <w:suppressAutoHyphens w:val="true"/>
    </w:pPr>
    <w:rPr/>
  </w:style>
  <w:style w:type="paragraph" w:styleId="72">
    <w:name w:val="Указатель пользователя 7"/>
    <w:basedOn w:val="Style37"/>
    <w:qFormat/>
    <w:pPr>
      <w:suppressAutoHyphens w:val="true"/>
    </w:pPr>
    <w:rPr/>
  </w:style>
  <w:style w:type="paragraph" w:styleId="82">
    <w:name w:val="Указатель пользователя 8"/>
    <w:basedOn w:val="Style37"/>
    <w:qFormat/>
    <w:pPr>
      <w:suppressAutoHyphens w:val="true"/>
    </w:pPr>
    <w:rPr/>
  </w:style>
  <w:style w:type="paragraph" w:styleId="92">
    <w:name w:val="Указатель пользователя 9"/>
    <w:basedOn w:val="Style37"/>
    <w:qFormat/>
    <w:pPr>
      <w:suppressAutoHyphens w:val="true"/>
    </w:pPr>
    <w:rPr/>
  </w:style>
  <w:style w:type="paragraph" w:styleId="102">
    <w:name w:val="Указатель пользователя 10"/>
    <w:basedOn w:val="Style37"/>
    <w:qFormat/>
    <w:pPr>
      <w:suppressAutoHyphens w:val="true"/>
    </w:pPr>
    <w:rPr/>
  </w:style>
  <w:style w:type="paragraph" w:styleId="Style57">
    <w:name w:val="Колонтитул"/>
    <w:basedOn w:val="Normal"/>
    <w:qFormat/>
    <w:pPr>
      <w:suppressLineNumbers/>
      <w:suppressAutoHyphens w:val="true"/>
    </w:pPr>
    <w:rPr/>
  </w:style>
  <w:style w:type="paragraph" w:styleId="Style58">
    <w:name w:val="Колонтитулы"/>
    <w:basedOn w:val="Normal"/>
    <w:qFormat/>
    <w:pPr/>
    <w:rPr/>
  </w:style>
  <w:style w:type="paragraph" w:styleId="Style59">
    <w:name w:val="Header"/>
    <w:basedOn w:val="Style58"/>
    <w:pPr>
      <w:suppressLineNumbers/>
    </w:pPr>
    <w:rPr/>
  </w:style>
  <w:style w:type="paragraph" w:styleId="Style60">
    <w:name w:val="Верхний колонтитул слева"/>
    <w:basedOn w:val="Normal"/>
    <w:qFormat/>
    <w:pPr>
      <w:suppressAutoHyphens w:val="true"/>
    </w:pPr>
    <w:rPr/>
  </w:style>
  <w:style w:type="paragraph" w:styleId="Style61">
    <w:name w:val="Верхний колонтитул справа"/>
    <w:basedOn w:val="Normal"/>
    <w:qFormat/>
    <w:pPr>
      <w:suppressAutoHyphens w:val="true"/>
    </w:pPr>
    <w:rPr/>
  </w:style>
  <w:style w:type="paragraph" w:styleId="Style62">
    <w:name w:val="Footer"/>
    <w:basedOn w:val="Style58"/>
    <w:pPr>
      <w:suppressLineNumbers/>
    </w:pPr>
    <w:rPr/>
  </w:style>
  <w:style w:type="paragraph" w:styleId="Style63">
    <w:name w:val="Нижний колонтитул слева"/>
    <w:basedOn w:val="Normal"/>
    <w:qFormat/>
    <w:pPr>
      <w:suppressAutoHyphens w:val="true"/>
    </w:pPr>
    <w:rPr/>
  </w:style>
  <w:style w:type="paragraph" w:styleId="Style64">
    <w:name w:val="Нижний колонтитул справа"/>
    <w:basedOn w:val="Normal"/>
    <w:qFormat/>
    <w:pPr>
      <w:suppressAutoHyphens w:val="true"/>
    </w:pPr>
    <w:rPr/>
  </w:style>
  <w:style w:type="paragraph" w:styleId="Style65">
    <w:name w:val="Содержимое таблицы"/>
    <w:basedOn w:val="Normal"/>
    <w:qFormat/>
    <w:pPr>
      <w:widowControl w:val="false"/>
      <w:suppressLineNumbers/>
    </w:pPr>
    <w:rPr/>
  </w:style>
  <w:style w:type="paragraph" w:styleId="Style66">
    <w:name w:val="Заголовок таблицы"/>
    <w:basedOn w:val="Style65"/>
    <w:qFormat/>
    <w:pPr>
      <w:suppressLineNumbers/>
      <w:jc w:val="center"/>
    </w:pPr>
    <w:rPr>
      <w:b/>
      <w:bCs/>
    </w:rPr>
  </w:style>
  <w:style w:type="paragraph" w:styleId="Style67">
    <w:name w:val="Иллюстрация"/>
    <w:basedOn w:val="Style38"/>
    <w:qFormat/>
    <w:pPr>
      <w:suppressAutoHyphens w:val="true"/>
    </w:pPr>
    <w:rPr/>
  </w:style>
  <w:style w:type="paragraph" w:styleId="Style68">
    <w:name w:val="Таблица"/>
    <w:basedOn w:val="Style38"/>
    <w:qFormat/>
    <w:pPr>
      <w:suppressAutoHyphens w:val="true"/>
    </w:pPr>
    <w:rPr/>
  </w:style>
  <w:style w:type="paragraph" w:styleId="Style69">
    <w:name w:val="Текст"/>
    <w:basedOn w:val="Style38"/>
    <w:qFormat/>
    <w:pPr>
      <w:suppressAutoHyphens w:val="true"/>
    </w:pPr>
    <w:rPr/>
  </w:style>
  <w:style w:type="paragraph" w:styleId="Style70">
    <w:name w:val="Содержимое врезки"/>
    <w:basedOn w:val="Normal"/>
    <w:qFormat/>
    <w:pPr>
      <w:suppressAutoHyphens w:val="true"/>
    </w:pPr>
    <w:rPr/>
  </w:style>
  <w:style w:type="paragraph" w:styleId="Style71">
    <w:name w:val="Footnote Text"/>
    <w:basedOn w:val="Normal"/>
    <w:pPr>
      <w:suppressAutoHyphens w:val="true"/>
    </w:pPr>
    <w:rPr/>
  </w:style>
  <w:style w:type="paragraph" w:styleId="Style72">
    <w:name w:val="Envelope Address"/>
    <w:basedOn w:val="Normal"/>
    <w:pPr>
      <w:suppressAutoHyphens w:val="true"/>
    </w:pPr>
    <w:rPr/>
  </w:style>
  <w:style w:type="paragraph" w:styleId="Style73">
    <w:name w:val="Envelope Return"/>
    <w:basedOn w:val="Normal"/>
    <w:pPr>
      <w:suppressAutoHyphens w:val="true"/>
    </w:pPr>
    <w:rPr/>
  </w:style>
  <w:style w:type="paragraph" w:styleId="Style74">
    <w:name w:val="Endnote Text"/>
    <w:basedOn w:val="Normal"/>
    <w:pPr>
      <w:suppressAutoHyphens w:val="true"/>
    </w:pPr>
    <w:rPr/>
  </w:style>
  <w:style w:type="paragraph" w:styleId="TableofFigures">
    <w:name w:val="Table of Figures"/>
    <w:basedOn w:val="Style38"/>
    <w:qFormat/>
    <w:pPr>
      <w:suppressAutoHyphens w:val="true"/>
    </w:pPr>
    <w:rPr/>
  </w:style>
  <w:style w:type="paragraph" w:styleId="Style75">
    <w:name w:val="Текст в заданном формате"/>
    <w:basedOn w:val="Normal"/>
    <w:qFormat/>
    <w:pPr>
      <w:suppressAutoHyphens w:val="true"/>
    </w:pPr>
    <w:rPr/>
  </w:style>
  <w:style w:type="paragraph" w:styleId="Style76">
    <w:name w:val="Горизонтальная линия"/>
    <w:basedOn w:val="Normal"/>
    <w:next w:val="Style34"/>
    <w:qFormat/>
    <w:pPr>
      <w:suppressAutoHyphens w:val="true"/>
    </w:pPr>
    <w:rPr>
      <w:sz w:val="4"/>
    </w:rPr>
  </w:style>
  <w:style w:type="paragraph" w:styleId="Style77">
    <w:name w:val="Содержимое списка"/>
    <w:basedOn w:val="Normal"/>
    <w:qFormat/>
    <w:pPr>
      <w:suppressAutoHyphens w:val="true"/>
    </w:pPr>
    <w:rPr/>
  </w:style>
  <w:style w:type="paragraph" w:styleId="Style78">
    <w:name w:val="Заголовок списка"/>
    <w:basedOn w:val="Normal"/>
    <w:next w:val="Style77"/>
    <w:qFormat/>
    <w:pPr>
      <w:suppressAutoHyphens w:val="true"/>
    </w:pPr>
    <w:rPr/>
  </w:style>
  <w:style w:type="paragraph" w:styleId="Style79">
    <w:name w:val="Гриф_Экземпляр"/>
    <w:basedOn w:val="Normal"/>
    <w:qFormat/>
    <w:pPr>
      <w:suppressAutoHyphens w:val="true"/>
    </w:pPr>
    <w:rPr>
      <w:sz w:val="24"/>
    </w:rPr>
  </w:style>
  <w:style w:type="paragraph" w:styleId="Style80">
    <w:name w:val="Исполнитель документа"/>
    <w:basedOn w:val="Normal"/>
    <w:qFormat/>
    <w:pPr>
      <w:suppressAutoHyphens w:val="true"/>
    </w:pPr>
    <w:rPr>
      <w:sz w:val="24"/>
    </w:rPr>
  </w:style>
  <w:style w:type="paragraph" w:styleId="Style81">
    <w:name w:val="Заголовок списка иллюстраций"/>
    <w:basedOn w:val="Style33"/>
    <w:qFormat/>
    <w:pPr>
      <w:suppressLineNumbers/>
      <w:suppressAutoHyphens w:val="true"/>
    </w:pPr>
    <w:rPr/>
  </w:style>
  <w:style w:type="paragraph" w:styleId="Standard">
    <w:name w:val="Standard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ru-RU" w:eastAsia="zh-CN" w:bidi="hi-IN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112">
    <w:name w:val="Обычный1"/>
    <w:qFormat/>
    <w:pPr>
      <w:widowControl/>
      <w:suppressAutoHyphens w:val="true"/>
      <w:overflowPunct w:val="true"/>
      <w:bidi w:val="0"/>
      <w:spacing w:before="12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Style82">
    <w:name w:val="Абзац"/>
    <w:basedOn w:val="Normal"/>
    <w:qFormat/>
    <w:pPr>
      <w:suppressAutoHyphens w:val="true"/>
      <w:spacing w:before="120" w:after="60"/>
      <w:ind w:left="0" w:right="0" w:firstLine="567"/>
      <w:jc w:val="both"/>
    </w:pPr>
    <w:rPr/>
  </w:style>
  <w:style w:type="paragraph" w:styleId="Style83">
    <w:name w:val="Стиль Абзац ТЗ СИМИ"/>
    <w:basedOn w:val="Style82"/>
    <w:qFormat/>
    <w:pPr>
      <w:suppressAutoHyphens w:val="true"/>
      <w:spacing w:before="0" w:after="0"/>
    </w:pPr>
    <w:rPr>
      <w:rFonts w:ascii="Calibri" w:hAnsi="Calibri" w:eastAsia="Calibri" w:cs="Calibri"/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Application>LibreOffice/7.5.2.1$Linux_X86_64 LibreOffice_project/50$Build-1</Application>
  <AppVersion>15.0000</AppVersion>
  <Pages>4</Pages>
  <Words>930</Words>
  <Characters>6852</Characters>
  <CharactersWithSpaces>7711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2026-07-09T18:20:00Z</dcterms:created>
  <dc:creator>Георгий Александрович Матяш</dc:creator>
  <dc:description/>
  <dc:language>ru-RU</dc:language>
  <cp:lastModifiedBy/>
  <dcterms:modified xsi:type="dcterms:W3CDTF">2026-08-12T12:52:22Z</dcterms:modified>
  <cp:revision>16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