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67321" w14:textId="11980341" w:rsidR="00E54555" w:rsidRPr="00D75045" w:rsidRDefault="00D75045">
      <w:pPr>
        <w:jc w:val="center"/>
        <w:rPr>
          <w:rFonts w:ascii="Arial Narrow" w:hAnsi="Arial Narrow"/>
          <w:b/>
          <w:sz w:val="24"/>
        </w:rPr>
      </w:pPr>
      <w:r w:rsidRPr="00D75045">
        <w:rPr>
          <w:rFonts w:ascii="Arial Narrow" w:hAnsi="Arial Narrow"/>
          <w:b/>
          <w:sz w:val="24"/>
        </w:rPr>
        <w:t>Лицензионный договор №</w:t>
      </w:r>
      <w:r w:rsidR="00E53240" w:rsidRPr="00E53240">
        <w:t xml:space="preserve"> </w:t>
      </w:r>
    </w:p>
    <w:p w14:paraId="4BD6DA9A" w14:textId="7EFB8FFB" w:rsidR="00D057C1" w:rsidRDefault="00D75045" w:rsidP="00D057C1">
      <w:pPr>
        <w:jc w:val="center"/>
        <w:rPr>
          <w:rFonts w:ascii="Arial Narrow" w:hAnsi="Arial Narrow"/>
          <w:sz w:val="24"/>
          <w:szCs w:val="24"/>
        </w:rPr>
      </w:pPr>
      <w:r w:rsidRPr="00EF5F38">
        <w:rPr>
          <w:rFonts w:ascii="Arial Narrow" w:hAnsi="Arial Narrow"/>
          <w:b/>
          <w:sz w:val="24"/>
        </w:rPr>
        <w:t xml:space="preserve">ИКЗ: </w:t>
      </w:r>
      <w:r w:rsidR="008D013F">
        <w:rPr>
          <w:rFonts w:ascii="Roboto" w:hAnsi="Roboto"/>
          <w:color w:val="334059"/>
          <w:sz w:val="21"/>
          <w:szCs w:val="21"/>
          <w:shd w:val="clear" w:color="auto" w:fill="FFFFFF"/>
        </w:rPr>
        <w:t>261645001692564500100100180000000244</w:t>
      </w:r>
    </w:p>
    <w:p w14:paraId="79BA0748" w14:textId="706FACA8" w:rsidR="00E54555" w:rsidRDefault="009278B3" w:rsidP="00D057C1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г. </w:t>
      </w:r>
      <w:r w:rsidR="008D013F">
        <w:rPr>
          <w:rFonts w:ascii="Arial Narrow" w:hAnsi="Arial Narrow"/>
          <w:sz w:val="24"/>
        </w:rPr>
        <w:t>Саратов</w:t>
      </w:r>
      <w:r>
        <w:rPr>
          <w:rFonts w:ascii="Arial Narrow" w:hAnsi="Arial Narrow"/>
          <w:sz w:val="24"/>
        </w:rPr>
        <w:tab/>
        <w:t xml:space="preserve">   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color w:val="auto"/>
          <w:sz w:val="24"/>
        </w:rPr>
        <w:tab/>
        <w:t>«____»</w:t>
      </w:r>
      <w:r w:rsidR="008D013F">
        <w:rPr>
          <w:rFonts w:ascii="Arial Narrow" w:hAnsi="Arial Narrow"/>
          <w:color w:val="auto"/>
          <w:sz w:val="24"/>
        </w:rPr>
        <w:t xml:space="preserve"> </w:t>
      </w:r>
      <w:proofErr w:type="gramStart"/>
      <w:r w:rsidR="008D013F">
        <w:rPr>
          <w:rFonts w:ascii="Arial Narrow" w:hAnsi="Arial Narrow"/>
          <w:color w:val="auto"/>
          <w:sz w:val="24"/>
        </w:rPr>
        <w:t xml:space="preserve">июня </w:t>
      </w:r>
      <w:r w:rsidR="00D75045" w:rsidRPr="00D75045">
        <w:rPr>
          <w:rFonts w:ascii="Arial Narrow" w:hAnsi="Arial Narrow"/>
          <w:sz w:val="24"/>
        </w:rPr>
        <w:t xml:space="preserve"> 202</w:t>
      </w:r>
      <w:r w:rsidR="008D013F">
        <w:rPr>
          <w:rFonts w:ascii="Arial Narrow" w:hAnsi="Arial Narrow"/>
          <w:sz w:val="24"/>
        </w:rPr>
        <w:t>6</w:t>
      </w:r>
      <w:proofErr w:type="gramEnd"/>
      <w:r w:rsidR="00D75045" w:rsidRPr="00D75045">
        <w:rPr>
          <w:rFonts w:ascii="Arial Narrow" w:hAnsi="Arial Narrow"/>
          <w:sz w:val="24"/>
        </w:rPr>
        <w:t xml:space="preserve"> г.</w:t>
      </w:r>
    </w:p>
    <w:p w14:paraId="49FC8BDF" w14:textId="77777777" w:rsidR="00363E20" w:rsidRPr="00D75045" w:rsidRDefault="00363E20" w:rsidP="00D057C1">
      <w:pPr>
        <w:jc w:val="center"/>
        <w:rPr>
          <w:rFonts w:ascii="Arial Narrow" w:hAnsi="Arial Narrow"/>
          <w:sz w:val="24"/>
        </w:rPr>
      </w:pPr>
    </w:p>
    <w:p w14:paraId="70B640FA" w14:textId="47101055" w:rsidR="00E54555" w:rsidRPr="00D75045" w:rsidRDefault="00D75045">
      <w:pPr>
        <w:tabs>
          <w:tab w:val="left" w:pos="993"/>
        </w:tabs>
        <w:ind w:firstLine="567"/>
        <w:jc w:val="both"/>
        <w:rPr>
          <w:rFonts w:ascii="Arial Narrow" w:hAnsi="Arial Narrow"/>
          <w:sz w:val="24"/>
        </w:rPr>
      </w:pPr>
      <w:r w:rsidRPr="00D75045">
        <w:rPr>
          <w:rFonts w:ascii="Arial Narrow" w:hAnsi="Arial Narrow"/>
          <w:sz w:val="24"/>
        </w:rPr>
        <w:t xml:space="preserve">Настоящий лицензионный договор (далее – «Договор») заключен между </w:t>
      </w:r>
      <w:r w:rsidR="008D013F" w:rsidRPr="008D013F">
        <w:rPr>
          <w:rFonts w:ascii="Arial Narrow" w:hAnsi="Arial Narrow"/>
          <w:color w:val="auto"/>
          <w:sz w:val="24"/>
        </w:rPr>
        <w:t>----------------------------</w:t>
      </w:r>
      <w:r w:rsidR="002724B4" w:rsidRPr="008D013F">
        <w:rPr>
          <w:rFonts w:ascii="Arial Narrow" w:hAnsi="Arial Narrow"/>
          <w:color w:val="auto"/>
          <w:sz w:val="24"/>
        </w:rPr>
        <w:t xml:space="preserve">, </w:t>
      </w:r>
      <w:r w:rsidR="002724B4">
        <w:rPr>
          <w:rFonts w:ascii="Arial Narrow" w:hAnsi="Arial Narrow"/>
          <w:color w:val="auto"/>
          <w:sz w:val="24"/>
        </w:rPr>
        <w:t xml:space="preserve">в лице </w:t>
      </w:r>
      <w:r w:rsidR="008D013F">
        <w:rPr>
          <w:rFonts w:ascii="Arial Narrow" w:hAnsi="Arial Narrow"/>
          <w:color w:val="auto"/>
          <w:sz w:val="24"/>
        </w:rPr>
        <w:t>--------------------------------</w:t>
      </w:r>
      <w:r w:rsidR="002724B4">
        <w:rPr>
          <w:rFonts w:ascii="Arial Narrow" w:hAnsi="Arial Narrow"/>
          <w:color w:val="auto"/>
          <w:sz w:val="24"/>
        </w:rPr>
        <w:t xml:space="preserve">, действующего на основании </w:t>
      </w:r>
      <w:r w:rsidR="008D013F">
        <w:rPr>
          <w:rFonts w:ascii="Arial Narrow" w:hAnsi="Arial Narrow"/>
          <w:color w:val="auto"/>
          <w:sz w:val="24"/>
        </w:rPr>
        <w:t>--------------------------</w:t>
      </w:r>
      <w:r w:rsidRPr="00D75045">
        <w:rPr>
          <w:rFonts w:ascii="Arial Narrow" w:hAnsi="Arial Narrow"/>
          <w:sz w:val="24"/>
        </w:rPr>
        <w:t xml:space="preserve"> (далее – «Лицензиар») и </w:t>
      </w:r>
      <w:r w:rsidRPr="00D75045">
        <w:rPr>
          <w:rFonts w:ascii="Arial Narrow" w:hAnsi="Arial Narrow"/>
          <w:b/>
          <w:sz w:val="24"/>
          <w:szCs w:val="24"/>
        </w:rPr>
        <w:t>Федеральн</w:t>
      </w:r>
      <w:r w:rsidR="002724B4">
        <w:rPr>
          <w:rFonts w:ascii="Arial Narrow" w:hAnsi="Arial Narrow"/>
          <w:b/>
          <w:sz w:val="24"/>
          <w:szCs w:val="24"/>
        </w:rPr>
        <w:t>ым</w:t>
      </w:r>
      <w:r w:rsidRPr="00D75045">
        <w:rPr>
          <w:rFonts w:ascii="Arial Narrow" w:hAnsi="Arial Narrow"/>
          <w:b/>
          <w:sz w:val="24"/>
          <w:szCs w:val="24"/>
        </w:rPr>
        <w:t xml:space="preserve"> бюджетн</w:t>
      </w:r>
      <w:r w:rsidR="002724B4">
        <w:rPr>
          <w:rFonts w:ascii="Arial Narrow" w:hAnsi="Arial Narrow"/>
          <w:b/>
          <w:sz w:val="24"/>
          <w:szCs w:val="24"/>
        </w:rPr>
        <w:t xml:space="preserve">ым </w:t>
      </w:r>
      <w:r w:rsidRPr="00D75045">
        <w:rPr>
          <w:rFonts w:ascii="Arial Narrow" w:hAnsi="Arial Narrow"/>
          <w:b/>
          <w:sz w:val="24"/>
          <w:szCs w:val="24"/>
        </w:rPr>
        <w:t>учреждение</w:t>
      </w:r>
      <w:r w:rsidR="002724B4">
        <w:rPr>
          <w:rFonts w:ascii="Arial Narrow" w:hAnsi="Arial Narrow"/>
          <w:b/>
          <w:sz w:val="24"/>
          <w:szCs w:val="24"/>
        </w:rPr>
        <w:t>м</w:t>
      </w:r>
      <w:r w:rsidRPr="00D75045">
        <w:rPr>
          <w:rFonts w:ascii="Arial Narrow" w:hAnsi="Arial Narrow"/>
          <w:b/>
          <w:sz w:val="24"/>
          <w:szCs w:val="24"/>
        </w:rPr>
        <w:t xml:space="preserve"> Саратовская лаборатория судебной экспертизы Министерства юстиции Российской Федерации</w:t>
      </w:r>
      <w:r w:rsidRPr="00D75045">
        <w:rPr>
          <w:rFonts w:ascii="Arial Narrow" w:hAnsi="Arial Narrow"/>
          <w:sz w:val="24"/>
        </w:rPr>
        <w:t xml:space="preserve">, в лице </w:t>
      </w:r>
      <w:r w:rsidRPr="002F733D">
        <w:rPr>
          <w:rFonts w:ascii="Arial Narrow" w:hAnsi="Arial Narrow"/>
          <w:b/>
          <w:color w:val="auto"/>
          <w:sz w:val="24"/>
        </w:rPr>
        <w:t xml:space="preserve">директора </w:t>
      </w:r>
      <w:r w:rsidR="00AF298A" w:rsidRPr="00AF298A">
        <w:rPr>
          <w:rFonts w:ascii="Arial Narrow" w:hAnsi="Arial Narrow"/>
          <w:sz w:val="24"/>
        </w:rPr>
        <w:t>Кочергина Сергея Викторовича</w:t>
      </w:r>
      <w:r w:rsidRPr="00D75045">
        <w:rPr>
          <w:rFonts w:ascii="Arial Narrow" w:hAnsi="Arial Narrow"/>
          <w:sz w:val="24"/>
        </w:rPr>
        <w:t>, действующе</w:t>
      </w:r>
      <w:r w:rsidRPr="002F733D">
        <w:rPr>
          <w:rFonts w:ascii="Arial Narrow" w:hAnsi="Arial Narrow"/>
          <w:color w:val="auto"/>
          <w:sz w:val="24"/>
        </w:rPr>
        <w:t>го</w:t>
      </w:r>
      <w:r w:rsidRPr="00D75045">
        <w:rPr>
          <w:rFonts w:ascii="Arial Narrow" w:hAnsi="Arial Narrow"/>
          <w:sz w:val="24"/>
        </w:rPr>
        <w:t xml:space="preserve"> на основании Устава, (далее – «Лицензиат»), с соблюдением требований Гражданского кодекса Российской Федерации, на основании п. 4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44-ФЗ).</w:t>
      </w:r>
    </w:p>
    <w:p w14:paraId="1AE79F59" w14:textId="77777777" w:rsidR="00E54555" w:rsidRPr="00D75045" w:rsidRDefault="00D75045">
      <w:pPr>
        <w:tabs>
          <w:tab w:val="left" w:pos="993"/>
        </w:tabs>
        <w:ind w:firstLine="567"/>
        <w:jc w:val="both"/>
        <w:rPr>
          <w:rFonts w:ascii="Arial Narrow" w:hAnsi="Arial Narrow"/>
          <w:sz w:val="24"/>
        </w:rPr>
      </w:pPr>
      <w:r w:rsidRPr="00D75045">
        <w:rPr>
          <w:rFonts w:ascii="Arial Narrow" w:hAnsi="Arial Narrow"/>
          <w:sz w:val="24"/>
        </w:rPr>
        <w:t>Лицензиар и Лицензиат совместно именуются Стороны, а по отдельности Сторона.</w:t>
      </w:r>
    </w:p>
    <w:p w14:paraId="116CF60C" w14:textId="77777777" w:rsidR="00AF298A" w:rsidRPr="00F22282" w:rsidRDefault="00AF298A" w:rsidP="00AF298A">
      <w:pPr>
        <w:pStyle w:val="10"/>
        <w:numPr>
          <w:ilvl w:val="0"/>
          <w:numId w:val="2"/>
        </w:numPr>
        <w:tabs>
          <w:tab w:val="left" w:pos="1134"/>
        </w:tabs>
        <w:spacing w:before="120" w:after="60"/>
        <w:ind w:left="0" w:firstLine="567"/>
        <w:rPr>
          <w:rFonts w:ascii="Arial Narrow" w:hAnsi="Arial Narrow"/>
          <w:bCs/>
          <w:szCs w:val="24"/>
        </w:rPr>
      </w:pPr>
      <w:r w:rsidRPr="00F22282">
        <w:rPr>
          <w:rFonts w:ascii="Arial Narrow" w:hAnsi="Arial Narrow"/>
          <w:bCs/>
          <w:szCs w:val="24"/>
        </w:rPr>
        <w:t>ПРЕДМЕТ ДОГОВОРА</w:t>
      </w:r>
    </w:p>
    <w:p w14:paraId="1C27E63B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Лицензиар предоставляет Лицензиату неисключительные права на использование справочника "Вестник авторынка", зарегистрированного Федеральной службой по интеллектуальной собственности (уведомление номер 2022Э1180, дата выдачи: 06 июня 2022 г.), в обусловленных настоящим Договором пределах и на определенный Договором срок (неисключительная лицензия), а Лицензиат за предоставление этих прав уплачивает вознаграждение Лицензиару.</w:t>
      </w:r>
    </w:p>
    <w:p w14:paraId="41B81DEE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 xml:space="preserve">Лицензиар гарантирует наличие у него предоставляемых по настоящему Договору исключительных прав на справочник "Вестник авторынка". </w:t>
      </w:r>
    </w:p>
    <w:p w14:paraId="4F610BA7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Описание справочника "Вестник авторынка": электронный справочник стоимости КТС Российского и зарубежного производства.</w:t>
      </w:r>
    </w:p>
    <w:p w14:paraId="5908D77D" w14:textId="77777777" w:rsidR="00AF298A" w:rsidRPr="00F22282" w:rsidRDefault="00AF298A" w:rsidP="00AF298A">
      <w:pPr>
        <w:pStyle w:val="10"/>
        <w:numPr>
          <w:ilvl w:val="0"/>
          <w:numId w:val="2"/>
        </w:numPr>
        <w:tabs>
          <w:tab w:val="left" w:pos="1134"/>
        </w:tabs>
        <w:spacing w:before="120" w:after="60"/>
        <w:ind w:left="0" w:firstLine="567"/>
        <w:rPr>
          <w:rFonts w:ascii="Arial Narrow" w:hAnsi="Arial Narrow"/>
          <w:bCs/>
          <w:szCs w:val="24"/>
        </w:rPr>
      </w:pPr>
      <w:r w:rsidRPr="00F22282">
        <w:rPr>
          <w:rFonts w:ascii="Arial Narrow" w:hAnsi="Arial Narrow"/>
          <w:bCs/>
          <w:szCs w:val="24"/>
        </w:rPr>
        <w:t>ПРАВА И ОБЯЗАННОСТИ СТОРОН</w:t>
      </w:r>
    </w:p>
    <w:p w14:paraId="433FBDBD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По настоящему Договору Лицензиар предоставляет Лицензиату следующие права использования справочника "Вестник авторынка":</w:t>
      </w:r>
    </w:p>
    <w:p w14:paraId="7F5EC1A4" w14:textId="77777777" w:rsidR="00AF298A" w:rsidRPr="002B7FB8" w:rsidRDefault="00AF298A" w:rsidP="00AF298A">
      <w:pPr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 xml:space="preserve">право на </w:t>
      </w:r>
      <w:proofErr w:type="spellStart"/>
      <w:r w:rsidRPr="002B7FB8">
        <w:rPr>
          <w:rFonts w:ascii="Arial Narrow" w:hAnsi="Arial Narrow"/>
          <w:sz w:val="24"/>
          <w:szCs w:val="24"/>
        </w:rPr>
        <w:t>безлимитное</w:t>
      </w:r>
      <w:proofErr w:type="spellEnd"/>
      <w:r w:rsidRPr="002B7FB8">
        <w:rPr>
          <w:rFonts w:ascii="Arial Narrow" w:hAnsi="Arial Narrow"/>
          <w:sz w:val="24"/>
          <w:szCs w:val="24"/>
        </w:rPr>
        <w:t xml:space="preserve"> использование справочника "Вестник авторынка". Под использованием понимается обращение к справочнику и получение информации о стоимости КТС с возможностью формирования результирующего текстового документа и его печати;</w:t>
      </w:r>
    </w:p>
    <w:p w14:paraId="7137A371" w14:textId="77777777" w:rsidR="00AF298A" w:rsidRPr="002B7FB8" w:rsidRDefault="00AF298A" w:rsidP="00AF298A">
      <w:pPr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публичный показ справочника "Вестник авторынка".</w:t>
      </w:r>
    </w:p>
    <w:p w14:paraId="7E86116B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Права на использование справочника "Вестник авторынка", указанные в п. 2.1. настоящего Договора, передаются Лицензиаром Лицензиату для использования профильными сотрудниками организации Лицензиата.</w:t>
      </w:r>
    </w:p>
    <w:p w14:paraId="7857414F" w14:textId="5A4DF156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Права на использование справочника "Вестник авторынка", указанные в п. 2.1. настоящего Договора, передаются Лицензиаром Лицензиату для использования на срок 1 (один) год с</w:t>
      </w:r>
      <w:r w:rsidR="008D013F">
        <w:rPr>
          <w:rFonts w:ascii="Arial Narrow" w:hAnsi="Arial Narrow"/>
          <w:sz w:val="24"/>
          <w:szCs w:val="24"/>
        </w:rPr>
        <w:t xml:space="preserve"> 23.06.2026</w:t>
      </w:r>
      <w:r w:rsidRPr="002B7FB8">
        <w:rPr>
          <w:rFonts w:ascii="Arial Narrow" w:hAnsi="Arial Narrow"/>
          <w:sz w:val="24"/>
          <w:szCs w:val="24"/>
        </w:rPr>
        <w:t>.</w:t>
      </w:r>
    </w:p>
    <w:p w14:paraId="46717540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Лицензи</w:t>
      </w:r>
      <w:r>
        <w:rPr>
          <w:rFonts w:ascii="Arial Narrow" w:hAnsi="Arial Narrow"/>
          <w:sz w:val="24"/>
          <w:szCs w:val="24"/>
        </w:rPr>
        <w:t>ат</w:t>
      </w:r>
      <w:r w:rsidRPr="002B7FB8">
        <w:rPr>
          <w:rFonts w:ascii="Arial Narrow" w:hAnsi="Arial Narrow"/>
          <w:sz w:val="24"/>
          <w:szCs w:val="24"/>
        </w:rPr>
        <w:t xml:space="preserve"> не вправе предоставлять права использования справочника "Вестник авторынка", в том числе в части переданных Лицензиату прав посредством заключения лицензионных Договоров с третьими лицами.</w:t>
      </w:r>
    </w:p>
    <w:p w14:paraId="09ABF457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Лицензиат не обязан представлять Лицензиару письменные отчеты об использовании справочника "Вестник авторынка".</w:t>
      </w:r>
    </w:p>
    <w:p w14:paraId="24C96A26" w14:textId="77777777" w:rsidR="00AF298A" w:rsidRPr="00F22282" w:rsidRDefault="00AF298A" w:rsidP="00AF298A">
      <w:pPr>
        <w:pStyle w:val="10"/>
        <w:numPr>
          <w:ilvl w:val="0"/>
          <w:numId w:val="2"/>
        </w:numPr>
        <w:tabs>
          <w:tab w:val="left" w:pos="1134"/>
        </w:tabs>
        <w:spacing w:before="120" w:after="60"/>
        <w:ind w:left="0" w:firstLine="567"/>
        <w:rPr>
          <w:rFonts w:ascii="Arial Narrow" w:hAnsi="Arial Narrow"/>
          <w:bCs/>
          <w:szCs w:val="24"/>
        </w:rPr>
      </w:pPr>
      <w:r w:rsidRPr="00F22282">
        <w:rPr>
          <w:rFonts w:ascii="Arial Narrow" w:hAnsi="Arial Narrow"/>
          <w:bCs/>
          <w:szCs w:val="24"/>
        </w:rPr>
        <w:t>ПЕРЕДАЧА ПРАВ И ПОРЯДОК ВЫПЛАТЫ ВОЗНАГРАЖДЕНИЯ</w:t>
      </w:r>
    </w:p>
    <w:p w14:paraId="5DFA04A7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За использование справочника "Вестник авторынка" по настоящему Договору Лицензиат выплачивает Лицензиару вознаграждение.</w:t>
      </w:r>
    </w:p>
    <w:p w14:paraId="5B915422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Обязательства Лицензиата по уплате вознаграждения считаются исполненными с момента получения денежных средств Лицензиаром.</w:t>
      </w:r>
    </w:p>
    <w:p w14:paraId="7155718B" w14:textId="0BC068C0" w:rsidR="00AF298A" w:rsidRPr="008F6B47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 xml:space="preserve">Размер ежегодной выплаты составляет </w:t>
      </w:r>
      <w:r w:rsidR="008D013F">
        <w:rPr>
          <w:rFonts w:ascii="Arial Narrow" w:hAnsi="Arial Narrow"/>
          <w:sz w:val="24"/>
          <w:szCs w:val="24"/>
        </w:rPr>
        <w:t>----------------------------------</w:t>
      </w:r>
      <w:r w:rsidRPr="002B7FB8">
        <w:rPr>
          <w:rFonts w:ascii="Arial Narrow" w:hAnsi="Arial Narrow"/>
          <w:sz w:val="24"/>
          <w:szCs w:val="24"/>
        </w:rPr>
        <w:t xml:space="preserve"> за 1 (один) календарный год использования</w:t>
      </w:r>
      <w:r w:rsidRPr="008F6B47">
        <w:rPr>
          <w:rFonts w:ascii="Arial Narrow" w:hAnsi="Arial Narrow"/>
          <w:sz w:val="24"/>
          <w:szCs w:val="24"/>
        </w:rPr>
        <w:t>.</w:t>
      </w:r>
    </w:p>
    <w:p w14:paraId="75F1CF7D" w14:textId="52F0BD69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Лицензиат приобретает права, указанные в п. 2.1. настоящего Договора в соответствии с</w:t>
      </w:r>
      <w:r w:rsidR="008D013F">
        <w:rPr>
          <w:rFonts w:ascii="Arial Narrow" w:hAnsi="Arial Narrow"/>
          <w:sz w:val="24"/>
          <w:szCs w:val="24"/>
        </w:rPr>
        <w:t xml:space="preserve"> условиями настоящего Договора </w:t>
      </w:r>
      <w:r>
        <w:rPr>
          <w:rFonts w:ascii="Arial Narrow" w:hAnsi="Arial Narrow"/>
          <w:sz w:val="24"/>
          <w:szCs w:val="24"/>
        </w:rPr>
        <w:t xml:space="preserve">с </w:t>
      </w:r>
      <w:r w:rsidR="008D013F" w:rsidRPr="008D013F">
        <w:rPr>
          <w:rFonts w:ascii="Arial Narrow" w:hAnsi="Arial Narrow"/>
          <w:b/>
          <w:sz w:val="24"/>
          <w:szCs w:val="24"/>
        </w:rPr>
        <w:t>2</w:t>
      </w:r>
      <w:r w:rsidR="006204CD">
        <w:rPr>
          <w:rFonts w:ascii="Arial Narrow" w:hAnsi="Arial Narrow"/>
          <w:b/>
          <w:sz w:val="24"/>
          <w:szCs w:val="24"/>
        </w:rPr>
        <w:t>4</w:t>
      </w:r>
      <w:bookmarkStart w:id="0" w:name="_GoBack"/>
      <w:bookmarkEnd w:id="0"/>
      <w:r w:rsidRPr="00AF298A">
        <w:rPr>
          <w:rFonts w:ascii="Arial Narrow" w:hAnsi="Arial Narrow"/>
          <w:b/>
          <w:bCs/>
          <w:sz w:val="24"/>
          <w:szCs w:val="24"/>
        </w:rPr>
        <w:t xml:space="preserve"> июня 202</w:t>
      </w:r>
      <w:r w:rsidR="008D013F">
        <w:rPr>
          <w:rFonts w:ascii="Arial Narrow" w:hAnsi="Arial Narrow"/>
          <w:b/>
          <w:bCs/>
          <w:sz w:val="24"/>
          <w:szCs w:val="24"/>
        </w:rPr>
        <w:t>6</w:t>
      </w:r>
      <w:r w:rsidRPr="00AF298A">
        <w:rPr>
          <w:rFonts w:ascii="Arial Narrow" w:hAnsi="Arial Narrow"/>
          <w:b/>
          <w:bCs/>
          <w:sz w:val="24"/>
          <w:szCs w:val="24"/>
        </w:rPr>
        <w:t xml:space="preserve"> года</w:t>
      </w:r>
      <w:r w:rsidRPr="002B7FB8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Доступ к с</w:t>
      </w:r>
      <w:r w:rsidRPr="002B7FB8">
        <w:rPr>
          <w:rFonts w:ascii="Arial Narrow" w:hAnsi="Arial Narrow"/>
          <w:sz w:val="24"/>
          <w:szCs w:val="24"/>
        </w:rPr>
        <w:t>правочник</w:t>
      </w:r>
      <w:r>
        <w:rPr>
          <w:rFonts w:ascii="Arial Narrow" w:hAnsi="Arial Narrow"/>
          <w:sz w:val="24"/>
          <w:szCs w:val="24"/>
        </w:rPr>
        <w:t>у</w:t>
      </w:r>
      <w:r w:rsidRPr="002B7FB8">
        <w:rPr>
          <w:rFonts w:ascii="Arial Narrow" w:hAnsi="Arial Narrow"/>
          <w:sz w:val="24"/>
          <w:szCs w:val="24"/>
        </w:rPr>
        <w:t xml:space="preserve"> "Вестник авторынка" </w:t>
      </w:r>
      <w:r>
        <w:rPr>
          <w:rFonts w:ascii="Arial Narrow" w:hAnsi="Arial Narrow"/>
          <w:sz w:val="24"/>
          <w:szCs w:val="24"/>
        </w:rPr>
        <w:t>активируется</w:t>
      </w:r>
      <w:r w:rsidRPr="002B7FB8">
        <w:rPr>
          <w:rFonts w:ascii="Arial Narrow" w:hAnsi="Arial Narrow"/>
          <w:sz w:val="24"/>
          <w:szCs w:val="24"/>
        </w:rPr>
        <w:t xml:space="preserve"> Лицензиату </w:t>
      </w:r>
      <w:r>
        <w:rPr>
          <w:rFonts w:ascii="Arial Narrow" w:hAnsi="Arial Narrow"/>
          <w:sz w:val="24"/>
          <w:szCs w:val="24"/>
        </w:rPr>
        <w:t xml:space="preserve">на новый период </w:t>
      </w:r>
      <w:r w:rsidRPr="002B7FB8">
        <w:rPr>
          <w:rFonts w:ascii="Arial Narrow" w:hAnsi="Arial Narrow"/>
          <w:sz w:val="24"/>
          <w:szCs w:val="24"/>
        </w:rPr>
        <w:t xml:space="preserve">в течение 1 </w:t>
      </w:r>
      <w:r>
        <w:rPr>
          <w:rFonts w:ascii="Arial Narrow" w:hAnsi="Arial Narrow"/>
          <w:sz w:val="24"/>
          <w:szCs w:val="24"/>
        </w:rPr>
        <w:t xml:space="preserve">рабочего </w:t>
      </w:r>
      <w:r w:rsidRPr="002B7FB8">
        <w:rPr>
          <w:rFonts w:ascii="Arial Narrow" w:hAnsi="Arial Narrow"/>
          <w:sz w:val="24"/>
          <w:szCs w:val="24"/>
        </w:rPr>
        <w:t>дня с момента подписания договора.</w:t>
      </w:r>
    </w:p>
    <w:p w14:paraId="58B1E120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 xml:space="preserve">Все расчеты по настоящему Договору производятся в безналичной форме путем перечисления денежных средств с расчетного счета Лицензиата на расчетный счет Лицензиара. </w:t>
      </w:r>
    </w:p>
    <w:p w14:paraId="3B166610" w14:textId="64835770" w:rsidR="00AF298A" w:rsidRPr="008F6B47" w:rsidRDefault="00AF298A" w:rsidP="00AF298A">
      <w:pPr>
        <w:numPr>
          <w:ilvl w:val="2"/>
          <w:numId w:val="2"/>
        </w:numPr>
        <w:tabs>
          <w:tab w:val="clear" w:pos="1532"/>
          <w:tab w:val="num" w:pos="0"/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8F6B47">
        <w:rPr>
          <w:rFonts w:ascii="Arial Narrow" w:hAnsi="Arial Narrow"/>
          <w:sz w:val="24"/>
          <w:szCs w:val="24"/>
        </w:rPr>
        <w:lastRenderedPageBreak/>
        <w:t xml:space="preserve">Лицензиат производит </w:t>
      </w:r>
      <w:r>
        <w:rPr>
          <w:rFonts w:ascii="Arial Narrow" w:hAnsi="Arial Narrow"/>
          <w:sz w:val="24"/>
          <w:szCs w:val="24"/>
        </w:rPr>
        <w:t>оплату, размер которой указан в п. 3.3 настоящего договора</w:t>
      </w:r>
      <w:r w:rsidRPr="008F6B47">
        <w:rPr>
          <w:rFonts w:ascii="Arial Narrow" w:hAnsi="Arial Narrow"/>
          <w:sz w:val="24"/>
          <w:szCs w:val="24"/>
        </w:rPr>
        <w:t xml:space="preserve">, в течение </w:t>
      </w:r>
      <w:r w:rsidR="008D013F">
        <w:rPr>
          <w:rFonts w:ascii="Arial Narrow" w:hAnsi="Arial Narrow"/>
          <w:sz w:val="24"/>
          <w:szCs w:val="24"/>
        </w:rPr>
        <w:t>7</w:t>
      </w:r>
      <w:r w:rsidRPr="008F6B47">
        <w:rPr>
          <w:rFonts w:ascii="Arial Narrow" w:hAnsi="Arial Narrow"/>
          <w:sz w:val="24"/>
          <w:szCs w:val="24"/>
        </w:rPr>
        <w:t xml:space="preserve"> (</w:t>
      </w:r>
      <w:r w:rsidR="008D013F">
        <w:rPr>
          <w:rFonts w:ascii="Arial Narrow" w:hAnsi="Arial Narrow"/>
          <w:sz w:val="24"/>
          <w:szCs w:val="24"/>
        </w:rPr>
        <w:t>семи</w:t>
      </w:r>
      <w:r w:rsidRPr="008F6B47">
        <w:rPr>
          <w:rFonts w:ascii="Arial Narrow" w:hAnsi="Arial Narrow"/>
          <w:sz w:val="24"/>
          <w:szCs w:val="24"/>
        </w:rPr>
        <w:t xml:space="preserve">) </w:t>
      </w:r>
      <w:r w:rsidR="005A2E18">
        <w:rPr>
          <w:rFonts w:ascii="Arial Narrow" w:hAnsi="Arial Narrow"/>
          <w:sz w:val="24"/>
          <w:szCs w:val="24"/>
        </w:rPr>
        <w:t>рабочих</w:t>
      </w:r>
      <w:r w:rsidRPr="008F6B47">
        <w:rPr>
          <w:rFonts w:ascii="Arial Narrow" w:hAnsi="Arial Narrow"/>
          <w:sz w:val="24"/>
          <w:szCs w:val="24"/>
        </w:rPr>
        <w:t xml:space="preserve"> дней с момента подписания </w:t>
      </w:r>
      <w:r w:rsidR="008D013F" w:rsidRPr="008F6B47">
        <w:rPr>
          <w:rFonts w:ascii="Arial Narrow" w:hAnsi="Arial Narrow"/>
          <w:sz w:val="24"/>
          <w:szCs w:val="24"/>
        </w:rPr>
        <w:t>Лицензиат</w:t>
      </w:r>
      <w:r w:rsidR="008D013F">
        <w:rPr>
          <w:rFonts w:ascii="Arial Narrow" w:hAnsi="Arial Narrow"/>
          <w:sz w:val="24"/>
          <w:szCs w:val="24"/>
        </w:rPr>
        <w:t>ом</w:t>
      </w:r>
      <w:r w:rsidR="008D013F" w:rsidRPr="008F6B47">
        <w:rPr>
          <w:rFonts w:ascii="Arial Narrow" w:hAnsi="Arial Narrow"/>
          <w:sz w:val="24"/>
          <w:szCs w:val="24"/>
        </w:rPr>
        <w:t xml:space="preserve"> </w:t>
      </w:r>
      <w:r w:rsidR="008D013F">
        <w:rPr>
          <w:rFonts w:ascii="Arial Narrow" w:hAnsi="Arial Narrow"/>
          <w:sz w:val="24"/>
          <w:szCs w:val="24"/>
        </w:rPr>
        <w:t>универсального передаточного документа</w:t>
      </w:r>
      <w:r w:rsidRPr="008F6B47">
        <w:rPr>
          <w:rFonts w:ascii="Arial Narrow" w:hAnsi="Arial Narrow"/>
          <w:sz w:val="24"/>
          <w:szCs w:val="24"/>
        </w:rPr>
        <w:t xml:space="preserve"> и получения счета путем перечисления денежных средств на расчетный счет Лицензиара.</w:t>
      </w:r>
    </w:p>
    <w:p w14:paraId="65563AB1" w14:textId="79BEB69B" w:rsidR="00AF298A" w:rsidRDefault="00AF298A" w:rsidP="00AF298A">
      <w:pPr>
        <w:numPr>
          <w:ilvl w:val="2"/>
          <w:numId w:val="2"/>
        </w:numPr>
        <w:tabs>
          <w:tab w:val="clear" w:pos="1532"/>
          <w:tab w:val="num" w:pos="0"/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 случае нарушения сроков, указанных в п. 3.5.1 Лицензиар оставляет за собой право приостановить доступ Лицензиата к справочнику «Вестник авторынка» до даты совершения платежа.</w:t>
      </w:r>
    </w:p>
    <w:p w14:paraId="247054B1" w14:textId="55C55D4A" w:rsidR="005A2E18" w:rsidRDefault="005A2E18" w:rsidP="005A2E18">
      <w:pPr>
        <w:numPr>
          <w:ilvl w:val="2"/>
          <w:numId w:val="2"/>
        </w:numPr>
        <w:tabs>
          <w:tab w:val="clear" w:pos="1532"/>
          <w:tab w:val="num" w:pos="568"/>
          <w:tab w:val="left" w:pos="1134"/>
        </w:tabs>
        <w:ind w:left="0" w:firstLine="568"/>
        <w:jc w:val="both"/>
        <w:rPr>
          <w:rFonts w:ascii="Arial Narrow" w:hAnsi="Arial Narrow"/>
          <w:sz w:val="24"/>
          <w:szCs w:val="24"/>
        </w:rPr>
      </w:pPr>
      <w:r w:rsidRPr="005A2E18">
        <w:rPr>
          <w:rFonts w:ascii="Arial Narrow" w:hAnsi="Arial Narrow"/>
          <w:sz w:val="24"/>
          <w:szCs w:val="24"/>
        </w:rPr>
        <w:t>Источник финансирования Лицензиат</w:t>
      </w:r>
      <w:r>
        <w:rPr>
          <w:rFonts w:ascii="Arial Narrow" w:hAnsi="Arial Narrow"/>
          <w:sz w:val="24"/>
          <w:szCs w:val="24"/>
        </w:rPr>
        <w:t>а</w:t>
      </w:r>
      <w:r w:rsidRPr="005A2E18">
        <w:rPr>
          <w:rFonts w:ascii="Arial Narrow" w:hAnsi="Arial Narrow"/>
          <w:sz w:val="24"/>
          <w:szCs w:val="24"/>
        </w:rPr>
        <w:t xml:space="preserve">: </w:t>
      </w:r>
      <w:r w:rsidR="008D013F">
        <w:rPr>
          <w:rFonts w:ascii="Arial Narrow" w:hAnsi="Arial Narrow"/>
          <w:sz w:val="24"/>
          <w:szCs w:val="24"/>
        </w:rPr>
        <w:t>внебюджетные средства.</w:t>
      </w:r>
    </w:p>
    <w:p w14:paraId="63936FA8" w14:textId="2D04302A" w:rsidR="005A2E18" w:rsidRPr="008F6B47" w:rsidRDefault="005A2E18" w:rsidP="005A2E18">
      <w:pPr>
        <w:numPr>
          <w:ilvl w:val="2"/>
          <w:numId w:val="2"/>
        </w:numPr>
        <w:tabs>
          <w:tab w:val="clear" w:pos="1532"/>
          <w:tab w:val="num" w:pos="568"/>
          <w:tab w:val="left" w:pos="1134"/>
        </w:tabs>
        <w:ind w:left="0" w:firstLine="568"/>
        <w:jc w:val="both"/>
        <w:rPr>
          <w:rFonts w:ascii="Arial Narrow" w:hAnsi="Arial Narrow"/>
          <w:sz w:val="24"/>
          <w:szCs w:val="24"/>
        </w:rPr>
      </w:pPr>
      <w:r w:rsidRPr="005A2E18">
        <w:rPr>
          <w:rFonts w:ascii="Arial Narrow" w:hAnsi="Arial Narrow"/>
          <w:sz w:val="24"/>
          <w:szCs w:val="24"/>
        </w:rPr>
        <w:t xml:space="preserve">Цена настоящего </w:t>
      </w:r>
      <w:r>
        <w:rPr>
          <w:rFonts w:ascii="Arial Narrow" w:hAnsi="Arial Narrow"/>
          <w:sz w:val="24"/>
          <w:szCs w:val="24"/>
        </w:rPr>
        <w:t>договора</w:t>
      </w:r>
      <w:r w:rsidRPr="005A2E18">
        <w:rPr>
          <w:rFonts w:ascii="Arial Narrow" w:hAnsi="Arial Narrow"/>
          <w:sz w:val="24"/>
          <w:szCs w:val="24"/>
        </w:rPr>
        <w:t xml:space="preserve"> является твердой и определяется на весь срок исполнения </w:t>
      </w:r>
      <w:r>
        <w:rPr>
          <w:rFonts w:ascii="Arial Narrow" w:hAnsi="Arial Narrow"/>
          <w:sz w:val="24"/>
          <w:szCs w:val="24"/>
        </w:rPr>
        <w:t>договора.</w:t>
      </w:r>
      <w:r w:rsidRPr="005A2E18">
        <w:rPr>
          <w:rFonts w:ascii="Arial Narrow" w:hAnsi="Arial Narrow"/>
          <w:sz w:val="24"/>
          <w:szCs w:val="24"/>
        </w:rPr>
        <w:t xml:space="preserve"> Цена </w:t>
      </w:r>
      <w:r>
        <w:rPr>
          <w:rFonts w:ascii="Arial Narrow" w:hAnsi="Arial Narrow"/>
          <w:sz w:val="24"/>
          <w:szCs w:val="24"/>
        </w:rPr>
        <w:t xml:space="preserve">договора </w:t>
      </w:r>
      <w:r w:rsidRPr="005A2E18">
        <w:rPr>
          <w:rFonts w:ascii="Arial Narrow" w:hAnsi="Arial Narrow"/>
          <w:sz w:val="24"/>
          <w:szCs w:val="24"/>
        </w:rPr>
        <w:t xml:space="preserve">не может изменяться в ходе его исполнения, за исключением случаев, </w:t>
      </w:r>
      <w:r>
        <w:rPr>
          <w:rFonts w:ascii="Arial Narrow" w:hAnsi="Arial Narrow"/>
          <w:sz w:val="24"/>
          <w:szCs w:val="24"/>
        </w:rPr>
        <w:t>предусмотренных договором и действующим законодательством.</w:t>
      </w:r>
    </w:p>
    <w:p w14:paraId="3816920F" w14:textId="77777777" w:rsidR="00AF298A" w:rsidRPr="00F22282" w:rsidRDefault="00AF298A" w:rsidP="00AF298A">
      <w:pPr>
        <w:pStyle w:val="10"/>
        <w:numPr>
          <w:ilvl w:val="0"/>
          <w:numId w:val="2"/>
        </w:numPr>
        <w:tabs>
          <w:tab w:val="left" w:pos="1134"/>
        </w:tabs>
        <w:spacing w:before="120" w:after="60"/>
        <w:ind w:left="0" w:firstLine="567"/>
        <w:rPr>
          <w:rFonts w:ascii="Arial Narrow" w:hAnsi="Arial Narrow"/>
          <w:bCs/>
          <w:szCs w:val="24"/>
        </w:rPr>
      </w:pPr>
      <w:r w:rsidRPr="00F22282">
        <w:rPr>
          <w:rFonts w:ascii="Arial Narrow" w:hAnsi="Arial Narrow"/>
          <w:bCs/>
          <w:szCs w:val="24"/>
        </w:rPr>
        <w:t>ОТВЕТСТВЕННОСТЬ СТОРОН</w:t>
      </w:r>
    </w:p>
    <w:p w14:paraId="54EE29A8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Лицензиар гарантирует, что:</w:t>
      </w:r>
    </w:p>
    <w:p w14:paraId="4FC0F490" w14:textId="77777777" w:rsidR="00AF298A" w:rsidRPr="002B7FB8" w:rsidRDefault="00AF298A" w:rsidP="00AF298A">
      <w:pPr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он является законным правообладателем справочника "Вестник авторынка";</w:t>
      </w:r>
    </w:p>
    <w:p w14:paraId="38730CAF" w14:textId="77777777" w:rsidR="00AF298A" w:rsidRPr="002B7FB8" w:rsidRDefault="00AF298A" w:rsidP="00AF298A">
      <w:pPr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на момент вступления в силу настоящего Договора Лицензиару ничего не известно о правах третьих лиц, которые могут быть нарушены подписанием настоящего Договора;</w:t>
      </w:r>
    </w:p>
    <w:p w14:paraId="30BA5D48" w14:textId="5BEA94C3" w:rsidR="00AF298A" w:rsidRPr="002B7FB8" w:rsidRDefault="00AF298A" w:rsidP="00AF298A">
      <w:pPr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на момент заключения настоящего Договора права, указанные в п. 2.1. настоящего Договора</w:t>
      </w:r>
      <w:r w:rsidR="005F6889">
        <w:rPr>
          <w:rFonts w:ascii="Arial Narrow" w:hAnsi="Arial Narrow"/>
          <w:sz w:val="24"/>
          <w:szCs w:val="24"/>
        </w:rPr>
        <w:t>,</w:t>
      </w:r>
      <w:r w:rsidRPr="002B7FB8">
        <w:rPr>
          <w:rFonts w:ascii="Arial Narrow" w:hAnsi="Arial Narrow"/>
          <w:sz w:val="24"/>
          <w:szCs w:val="24"/>
        </w:rPr>
        <w:t xml:space="preserve"> не отчуждены и не заложены;</w:t>
      </w:r>
    </w:p>
    <w:p w14:paraId="78996679" w14:textId="77777777" w:rsidR="00AF298A" w:rsidRDefault="00AF298A" w:rsidP="00AF298A">
      <w:pPr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на момент заключения настоящего Договора права Лицензиара не оспорены в суде или иным законным способом.</w:t>
      </w:r>
    </w:p>
    <w:p w14:paraId="2FFD2F90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При нарушении сторонами своих обязательств по Договору, стороны несут ответственность в порядке, предусмотренном действующим законодательством.</w:t>
      </w:r>
    </w:p>
    <w:p w14:paraId="1F1667AE" w14:textId="77777777" w:rsidR="00AF298A" w:rsidRPr="00F22282" w:rsidRDefault="00AF298A" w:rsidP="00AF298A">
      <w:pPr>
        <w:pStyle w:val="10"/>
        <w:numPr>
          <w:ilvl w:val="0"/>
          <w:numId w:val="2"/>
        </w:numPr>
        <w:tabs>
          <w:tab w:val="left" w:pos="1134"/>
        </w:tabs>
        <w:spacing w:before="120" w:after="60"/>
        <w:ind w:left="0" w:firstLine="567"/>
        <w:rPr>
          <w:rFonts w:ascii="Arial Narrow" w:hAnsi="Arial Narrow"/>
          <w:bCs/>
          <w:szCs w:val="24"/>
        </w:rPr>
      </w:pPr>
      <w:r w:rsidRPr="00F22282">
        <w:rPr>
          <w:rFonts w:ascii="Arial Narrow" w:hAnsi="Arial Narrow"/>
          <w:bCs/>
          <w:szCs w:val="24"/>
        </w:rPr>
        <w:t>ОБСТОЯТЕЛЬСТВА НЕПРЕОДОЛИМОЙ СИЛЫ</w:t>
      </w:r>
    </w:p>
    <w:p w14:paraId="399432D0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настоящему Договору, если неисполнение или ненадлежащее исполнение обязательств произошли вследствие наступления обстоятельств непреодолимой силы (форс-мажорных обстоятельств), то есть чрезвычайных и непредотвратимых при данных условиях обстоятельств, возникших помимо воли и желания Сторон, которых они не могли предвидеть и избежать. К таким обстоятельствам Стороны относят: пожары, наводнения, землетрясения и другие стихийные бедствия, технологические катастрофы, эпидемии, военные действия, а также непредвиденные и неотвратимые Сторонами события чрезвычайного характера, если эти обстоятельства не являлись следствием виновных действий Стороны, и непосредственно повлияли на исполнение настоящего Договора.</w:t>
      </w:r>
    </w:p>
    <w:p w14:paraId="056E1CAC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Сторона, затронутая обстоятельствами непреодолимой силы, обязана в кратчайшие сроки известить об этом другую Сторону, при необходимости предоставив соответствующие подтверждения наличия таких обстоятельств.</w:t>
      </w:r>
    </w:p>
    <w:p w14:paraId="6C4EB46B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Не уведомление или несвоевременное уведомление (позднее 10 (десяти) рабочих дней после возникновения форс-мажорных обстоятельств) о наступлении форс-мажорных обстоятельств, лишает соответствующую Сторону права ссылаться в дальнейшем на указанные выше обстоятельства, как основание, освобождающее от ответственности за невыполнение или ненадлежащее исполнение обязательств.</w:t>
      </w:r>
    </w:p>
    <w:p w14:paraId="226C6715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Если обстоятельства непреодолимой силы будут продолжаться более 3 (трех) месяцев, то Стороны должны согласовать свои дальнейшие действия, или могут расторгнуть настоящий Договор. Настоящий Договор может быть расторгнут любой из Сторон в одностороннем внесудебном порядке с обязательным письменным уведомлением другой Стороны. При этом настоящий Договор будет считаться расторгнутым с даты доставки уведомления о расторжении настоящего Договора</w:t>
      </w:r>
    </w:p>
    <w:p w14:paraId="33BB4DFF" w14:textId="77777777" w:rsidR="00AF298A" w:rsidRPr="00F22282" w:rsidRDefault="00AF298A" w:rsidP="00AF298A">
      <w:pPr>
        <w:pStyle w:val="10"/>
        <w:numPr>
          <w:ilvl w:val="0"/>
          <w:numId w:val="2"/>
        </w:numPr>
        <w:tabs>
          <w:tab w:val="left" w:pos="1134"/>
        </w:tabs>
        <w:spacing w:before="120" w:after="60"/>
        <w:ind w:left="0" w:firstLine="567"/>
        <w:rPr>
          <w:rFonts w:ascii="Arial Narrow" w:hAnsi="Arial Narrow"/>
          <w:bCs/>
          <w:szCs w:val="24"/>
        </w:rPr>
      </w:pPr>
      <w:r w:rsidRPr="00F22282">
        <w:rPr>
          <w:rFonts w:ascii="Arial Narrow" w:hAnsi="Arial Narrow"/>
          <w:bCs/>
          <w:szCs w:val="24"/>
        </w:rPr>
        <w:t>СРОК ДЕЙСТВИЯ ДОГОВОРА И ПОРЯДОК ЕГО ПРЕКРАЩЕНИЯ</w:t>
      </w:r>
    </w:p>
    <w:p w14:paraId="33AC0069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Настоящий Договор действует со дня его подписания сторонами и до исполнения ими своих обязательств.</w:t>
      </w:r>
    </w:p>
    <w:p w14:paraId="68988EA3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Стороны вправе досрочно расторгнуть настоящий Договор по письменному соглашению и в случаях, предусмотренных законодательством РФ.</w:t>
      </w:r>
    </w:p>
    <w:p w14:paraId="3FA502E5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 xml:space="preserve">Использование Лицензиатом справочника «Вестник авторынка» способом, не предусмотренным Договором, либо по прекращении действия такого Договора, либо иным образом за пределами прав, предоставленных лицензиату по Договору, влечет ответственность за нарушение </w:t>
      </w:r>
      <w:r w:rsidRPr="002B7FB8">
        <w:rPr>
          <w:rFonts w:ascii="Arial Narrow" w:hAnsi="Arial Narrow"/>
          <w:sz w:val="24"/>
          <w:szCs w:val="24"/>
        </w:rPr>
        <w:lastRenderedPageBreak/>
        <w:t>исключительного права на результат интеллектуальной деятельности или на средство индивидуализации, установленную законодательством.</w:t>
      </w:r>
    </w:p>
    <w:p w14:paraId="386CD273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right="26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Уведомление об отказе от Договора должен быть направлено стороне в произвольной форме с подтверждением его получения (заказного или ценного письма, курьером и т.п.).</w:t>
      </w:r>
    </w:p>
    <w:p w14:paraId="41D255A7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С момента получения стороной такого уведомления об отказе настоящий Договор считается расторгнутым.</w:t>
      </w:r>
    </w:p>
    <w:p w14:paraId="3D2CB345" w14:textId="77777777" w:rsidR="00AF298A" w:rsidRPr="00F22282" w:rsidRDefault="00AF298A" w:rsidP="00AF298A">
      <w:pPr>
        <w:pStyle w:val="10"/>
        <w:numPr>
          <w:ilvl w:val="0"/>
          <w:numId w:val="2"/>
        </w:numPr>
        <w:tabs>
          <w:tab w:val="left" w:pos="1134"/>
        </w:tabs>
        <w:spacing w:before="120" w:after="60"/>
        <w:ind w:left="0" w:firstLine="567"/>
        <w:rPr>
          <w:rFonts w:ascii="Arial Narrow" w:hAnsi="Arial Narrow"/>
          <w:bCs/>
          <w:szCs w:val="24"/>
        </w:rPr>
      </w:pPr>
      <w:r w:rsidRPr="00F22282">
        <w:rPr>
          <w:rFonts w:ascii="Arial Narrow" w:hAnsi="Arial Narrow"/>
          <w:bCs/>
          <w:szCs w:val="24"/>
        </w:rPr>
        <w:t>ПОРЯДОК РАЗРЕШЕНИЯ СПОРОВ</w:t>
      </w:r>
    </w:p>
    <w:p w14:paraId="76E64278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В случае возникновения споров между Сторонами по вопросам, предусмотренным настоящим Договором или в связи с ним, Стороны принимают все меры к их разрешению путем переговоров.</w:t>
      </w:r>
    </w:p>
    <w:p w14:paraId="7A90DEB7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 xml:space="preserve">При </w:t>
      </w:r>
      <w:proofErr w:type="spellStart"/>
      <w:r w:rsidRPr="002B7FB8">
        <w:rPr>
          <w:rFonts w:ascii="Arial Narrow" w:hAnsi="Arial Narrow"/>
          <w:sz w:val="24"/>
          <w:szCs w:val="24"/>
        </w:rPr>
        <w:t>неурегулировании</w:t>
      </w:r>
      <w:proofErr w:type="spellEnd"/>
      <w:r w:rsidRPr="002B7FB8">
        <w:rPr>
          <w:rFonts w:ascii="Arial Narrow" w:hAnsi="Arial Narrow"/>
          <w:sz w:val="24"/>
          <w:szCs w:val="24"/>
        </w:rPr>
        <w:t xml:space="preserve"> в процессе переговоров спорных вопросов споры разрешаются в судебном порядке в соответствии с действующим законодательством.</w:t>
      </w:r>
    </w:p>
    <w:p w14:paraId="22BD0CB1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До передачи спора на разрешение суда Стороны принимают меры по досудебному урегулированию спора.</w:t>
      </w:r>
    </w:p>
    <w:p w14:paraId="499C9FAB" w14:textId="77777777" w:rsidR="00AF298A" w:rsidRPr="00F22282" w:rsidRDefault="00AF298A" w:rsidP="00AF298A">
      <w:pPr>
        <w:pStyle w:val="10"/>
        <w:numPr>
          <w:ilvl w:val="0"/>
          <w:numId w:val="2"/>
        </w:numPr>
        <w:tabs>
          <w:tab w:val="left" w:pos="1134"/>
        </w:tabs>
        <w:spacing w:before="120" w:after="60"/>
        <w:ind w:left="0" w:firstLine="567"/>
        <w:rPr>
          <w:rFonts w:ascii="Arial Narrow" w:hAnsi="Arial Narrow"/>
          <w:bCs/>
          <w:szCs w:val="24"/>
        </w:rPr>
      </w:pPr>
      <w:r w:rsidRPr="00F22282">
        <w:rPr>
          <w:rFonts w:ascii="Arial Narrow" w:hAnsi="Arial Narrow"/>
          <w:bCs/>
          <w:szCs w:val="24"/>
        </w:rPr>
        <w:t>ЗАКЛЮЧИТЕЛЬНЫЕ ПОЛОЖЕНИЯ</w:t>
      </w:r>
    </w:p>
    <w:p w14:paraId="18A633E6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 w:rsidRPr="002B7FB8">
        <w:rPr>
          <w:rFonts w:ascii="Arial Narrow" w:hAnsi="Arial Narrow"/>
          <w:sz w:val="24"/>
          <w:szCs w:val="24"/>
        </w:rPr>
        <w:t>на</w:t>
      </w:r>
      <w:proofErr w:type="gramEnd"/>
      <w:r w:rsidRPr="002B7FB8">
        <w:rPr>
          <w:rFonts w:ascii="Arial Narrow" w:hAnsi="Arial Narrow"/>
          <w:sz w:val="24"/>
          <w:szCs w:val="24"/>
        </w:rPr>
        <w:t xml:space="preserve"> то представителями сторон. Все уведомления и сообщения должны направляться Сторонами друг другу в письменной форме.</w:t>
      </w:r>
    </w:p>
    <w:p w14:paraId="3B21AAB0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Лицензиара, второй - у Лицензиата.</w:t>
      </w:r>
    </w:p>
    <w:p w14:paraId="159DFB41" w14:textId="77777777" w:rsidR="00AF298A" w:rsidRPr="002B7FB8" w:rsidRDefault="00AF298A" w:rsidP="00AF298A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Arial Narrow" w:hAnsi="Arial Narrow"/>
          <w:sz w:val="24"/>
          <w:szCs w:val="24"/>
        </w:rPr>
      </w:pPr>
      <w:r w:rsidRPr="002B7FB8">
        <w:rPr>
          <w:rFonts w:ascii="Arial Narrow" w:hAnsi="Arial Narrow"/>
          <w:sz w:val="24"/>
          <w:szCs w:val="24"/>
        </w:rPr>
        <w:t>В случае изменения наименования, местонахождения, банковских реквизитов и других данных каждая из Сторон обязана в пятидневный срок в письменной форме сообщить другой Стороне о произошедших изменениях.</w:t>
      </w:r>
    </w:p>
    <w:p w14:paraId="4B3B40A5" w14:textId="472F8527" w:rsidR="00E54555" w:rsidRPr="00291404" w:rsidRDefault="00AF298A" w:rsidP="00291404">
      <w:pPr>
        <w:pStyle w:val="af0"/>
        <w:numPr>
          <w:ilvl w:val="1"/>
          <w:numId w:val="2"/>
        </w:numPr>
        <w:tabs>
          <w:tab w:val="left" w:pos="1134"/>
        </w:tabs>
        <w:ind w:firstLine="207"/>
        <w:jc w:val="both"/>
        <w:rPr>
          <w:rFonts w:ascii="Arial Narrow" w:hAnsi="Arial Narrow"/>
          <w:sz w:val="24"/>
        </w:rPr>
      </w:pPr>
      <w:r w:rsidRPr="00291404">
        <w:rPr>
          <w:rFonts w:ascii="Arial Narrow" w:hAnsi="Arial Narrow"/>
          <w:sz w:val="24"/>
          <w:szCs w:val="24"/>
        </w:rPr>
        <w:t>Во всем ином, что не предусмотрено в настоящем Договоре стороны руководствуются законодательством РФ.</w:t>
      </w:r>
    </w:p>
    <w:p w14:paraId="3B2BCEB0" w14:textId="77777777" w:rsidR="00E54555" w:rsidRPr="00D75045" w:rsidRDefault="00D75045" w:rsidP="00291404">
      <w:pPr>
        <w:pStyle w:val="10"/>
        <w:numPr>
          <w:ilvl w:val="0"/>
          <w:numId w:val="2"/>
        </w:numPr>
        <w:tabs>
          <w:tab w:val="left" w:pos="1134"/>
        </w:tabs>
        <w:spacing w:before="120" w:after="60"/>
        <w:ind w:left="0" w:firstLine="567"/>
        <w:rPr>
          <w:rFonts w:ascii="Arial Narrow" w:hAnsi="Arial Narrow"/>
        </w:rPr>
      </w:pPr>
      <w:r w:rsidRPr="00D75045">
        <w:rPr>
          <w:rFonts w:ascii="Arial Narrow" w:hAnsi="Arial Narrow"/>
        </w:rPr>
        <w:t>РЕКВИЗИТЫ СТОРОН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1"/>
      </w:tblGrid>
      <w:tr w:rsidR="00E54555" w:rsidRPr="00D75045" w14:paraId="73656362" w14:textId="77777777"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FA20" w14:textId="77777777" w:rsidR="00E54555" w:rsidRPr="00D75045" w:rsidRDefault="00E54555">
            <w:pPr>
              <w:tabs>
                <w:tab w:val="left" w:pos="1134"/>
              </w:tabs>
              <w:rPr>
                <w:rFonts w:ascii="Arial Narrow" w:hAnsi="Arial Narrow"/>
                <w:sz w:val="10"/>
              </w:rPr>
            </w:pPr>
          </w:p>
          <w:tbl>
            <w:tblPr>
              <w:tblW w:w="9673" w:type="dxa"/>
              <w:tblLayout w:type="fixed"/>
              <w:tblLook w:val="04A0" w:firstRow="1" w:lastRow="0" w:firstColumn="1" w:lastColumn="0" w:noHBand="0" w:noVBand="1"/>
            </w:tblPr>
            <w:tblGrid>
              <w:gridCol w:w="4712"/>
              <w:gridCol w:w="420"/>
              <w:gridCol w:w="4541"/>
            </w:tblGrid>
            <w:tr w:rsidR="002F733D" w:rsidRPr="002F733D" w14:paraId="533C1F86" w14:textId="77777777" w:rsidTr="007A49C0">
              <w:trPr>
                <w:trHeight w:val="350"/>
              </w:trPr>
              <w:tc>
                <w:tcPr>
                  <w:tcW w:w="4712" w:type="dxa"/>
                  <w:shd w:val="clear" w:color="auto" w:fill="auto"/>
                </w:tcPr>
                <w:p w14:paraId="461C5C57" w14:textId="77777777" w:rsidR="002F733D" w:rsidRPr="002F733D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2F733D">
                    <w:rPr>
                      <w:rFonts w:ascii="Arial Narrow" w:hAnsi="Arial Narrow"/>
                      <w:b/>
                      <w:sz w:val="22"/>
                      <w:szCs w:val="22"/>
                    </w:rPr>
                    <w:t>Лицензиар:</w:t>
                  </w:r>
                </w:p>
              </w:tc>
              <w:tc>
                <w:tcPr>
                  <w:tcW w:w="420" w:type="dxa"/>
                  <w:shd w:val="clear" w:color="auto" w:fill="auto"/>
                </w:tcPr>
                <w:p w14:paraId="490F50B8" w14:textId="77777777" w:rsidR="002F733D" w:rsidRPr="002F733D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ind w:firstLine="567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541" w:type="dxa"/>
                  <w:shd w:val="clear" w:color="auto" w:fill="auto"/>
                </w:tcPr>
                <w:p w14:paraId="6B9877E3" w14:textId="77777777" w:rsidR="002F733D" w:rsidRPr="002F733D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2F733D">
                    <w:rPr>
                      <w:rFonts w:ascii="Arial Narrow" w:hAnsi="Arial Narrow"/>
                      <w:b/>
                      <w:sz w:val="22"/>
                      <w:szCs w:val="22"/>
                    </w:rPr>
                    <w:t>Лицензиат:</w:t>
                  </w:r>
                </w:p>
              </w:tc>
            </w:tr>
            <w:tr w:rsidR="002F733D" w:rsidRPr="002F733D" w14:paraId="08C05B74" w14:textId="77777777" w:rsidTr="007A49C0">
              <w:trPr>
                <w:trHeight w:val="351"/>
              </w:trPr>
              <w:tc>
                <w:tcPr>
                  <w:tcW w:w="4712" w:type="dxa"/>
                  <w:shd w:val="clear" w:color="auto" w:fill="auto"/>
                </w:tcPr>
                <w:p w14:paraId="44922C46" w14:textId="08743867" w:rsidR="002F733D" w:rsidRPr="002F733D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14:paraId="36B9560B" w14:textId="77777777" w:rsidR="002F733D" w:rsidRPr="002F733D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ind w:firstLine="567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541" w:type="dxa"/>
                  <w:shd w:val="clear" w:color="auto" w:fill="auto"/>
                </w:tcPr>
                <w:p w14:paraId="7F26AAF3" w14:textId="77777777" w:rsidR="002F733D" w:rsidRPr="002F733D" w:rsidRDefault="002F733D" w:rsidP="002F733D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 xml:space="preserve">ФБУ Саратовская ЛСЭ Минюста России </w:t>
                  </w:r>
                </w:p>
                <w:p w14:paraId="09792D02" w14:textId="77777777" w:rsidR="002F733D" w:rsidRPr="002F733D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2F733D" w:rsidRPr="002F733D" w14:paraId="54CCB184" w14:textId="77777777" w:rsidTr="007A49C0">
              <w:tc>
                <w:tcPr>
                  <w:tcW w:w="4712" w:type="dxa"/>
                  <w:shd w:val="clear" w:color="auto" w:fill="auto"/>
                </w:tcPr>
                <w:p w14:paraId="5228A793" w14:textId="7B0DE930" w:rsidR="00AF298A" w:rsidRPr="002F733D" w:rsidRDefault="00AF298A" w:rsidP="002724B4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14:paraId="7CB19E98" w14:textId="77777777" w:rsidR="002F733D" w:rsidRPr="002F733D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ind w:firstLine="567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  <w:p w14:paraId="451E3883" w14:textId="77777777" w:rsidR="002F733D" w:rsidRPr="002F733D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ind w:firstLine="567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541" w:type="dxa"/>
                  <w:shd w:val="clear" w:color="auto" w:fill="auto"/>
                </w:tcPr>
                <w:p w14:paraId="336AC6D8" w14:textId="77777777" w:rsidR="002F733D" w:rsidRPr="002F733D" w:rsidRDefault="002F733D">
                  <w:pPr>
                    <w:pStyle w:val="a8"/>
                    <w:tabs>
                      <w:tab w:val="right" w:pos="1843"/>
                      <w:tab w:val="left" w:pos="1985"/>
                    </w:tabs>
                    <w:spacing w:beforeAutospacing="0" w:afterAutospacing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>ИНН: 6450016925</w:t>
                  </w:r>
                  <w:r w:rsidRPr="002F733D">
                    <w:rPr>
                      <w:rFonts w:ascii="Arial Narrow" w:hAnsi="Arial Narrow"/>
                      <w:color w:val="FF0000"/>
                      <w:sz w:val="22"/>
                      <w:szCs w:val="22"/>
                    </w:rPr>
                    <w:t xml:space="preserve"> </w:t>
                  </w:r>
                </w:p>
                <w:p w14:paraId="225B0A5D" w14:textId="77777777" w:rsidR="002F733D" w:rsidRPr="002F733D" w:rsidRDefault="002F733D">
                  <w:pPr>
                    <w:pStyle w:val="a8"/>
                    <w:tabs>
                      <w:tab w:val="right" w:pos="1843"/>
                      <w:tab w:val="left" w:pos="1985"/>
                    </w:tabs>
                    <w:spacing w:beforeAutospacing="0" w:afterAutospacing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>КПП: 645001001</w:t>
                  </w:r>
                </w:p>
                <w:p w14:paraId="19A9469D" w14:textId="77777777" w:rsidR="002F733D" w:rsidRPr="002F733D" w:rsidRDefault="002F733D">
                  <w:pPr>
                    <w:pStyle w:val="a8"/>
                    <w:tabs>
                      <w:tab w:val="right" w:pos="1843"/>
                      <w:tab w:val="left" w:pos="1985"/>
                    </w:tabs>
                    <w:spacing w:beforeAutospacing="0" w:afterAutospacing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>ОГРН: 1026402193113</w:t>
                  </w:r>
                </w:p>
                <w:p w14:paraId="0E06AAB0" w14:textId="77777777" w:rsidR="002F733D" w:rsidRPr="002F733D" w:rsidRDefault="002F733D">
                  <w:pPr>
                    <w:tabs>
                      <w:tab w:val="left" w:pos="993"/>
                      <w:tab w:val="right" w:pos="1618"/>
                      <w:tab w:val="left" w:pos="1760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>Адрес юридический и почтовый:</w:t>
                  </w:r>
                </w:p>
                <w:p w14:paraId="30CED783" w14:textId="35331E87" w:rsidR="002F733D" w:rsidRDefault="002F733D" w:rsidP="002F733D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proofErr w:type="gramStart"/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>410003,г.</w:t>
                  </w:r>
                  <w:proofErr w:type="gramEnd"/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 xml:space="preserve"> Саратов, ул. </w:t>
                  </w:r>
                  <w:proofErr w:type="spellStart"/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>Кутякова</w:t>
                  </w:r>
                  <w:proofErr w:type="spellEnd"/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>, д.10</w:t>
                  </w:r>
                </w:p>
                <w:p w14:paraId="4F412FF0" w14:textId="77777777" w:rsidR="008D013F" w:rsidRPr="008D013F" w:rsidRDefault="008D013F" w:rsidP="008D013F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8D013F">
                    <w:rPr>
                      <w:rFonts w:ascii="Arial Narrow" w:hAnsi="Arial Narrow"/>
                      <w:sz w:val="22"/>
                      <w:szCs w:val="22"/>
                    </w:rPr>
                    <w:t>Р/с 03214643000000013247 в ОКЦ № 1 ВВГУ Банка России//УФК по Нижегородской области г. Нижний Новгород</w:t>
                  </w:r>
                </w:p>
                <w:p w14:paraId="12D8DCE9" w14:textId="77777777" w:rsidR="008D013F" w:rsidRPr="008D013F" w:rsidRDefault="008D013F" w:rsidP="008D013F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8D013F">
                    <w:rPr>
                      <w:rFonts w:ascii="Arial Narrow" w:hAnsi="Arial Narrow"/>
                      <w:sz w:val="22"/>
                      <w:szCs w:val="22"/>
                    </w:rPr>
                    <w:t>к/с 40102810745370000024    БИК 012202102</w:t>
                  </w:r>
                </w:p>
                <w:p w14:paraId="3CE5BE92" w14:textId="05FE5E1A" w:rsidR="002F733D" w:rsidRPr="002F733D" w:rsidRDefault="008D013F" w:rsidP="008D013F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 </w:t>
                  </w:r>
                  <w:r w:rsidRPr="008D013F">
                    <w:rPr>
                      <w:rFonts w:ascii="Arial Narrow" w:hAnsi="Arial Narrow"/>
                      <w:sz w:val="22"/>
                      <w:szCs w:val="22"/>
                    </w:rPr>
                    <w:t>Получатель платежа: УФК по Нижегородской области (ФБУ Саратовская ЛСЭ Минюста России л/с 20606У34489)</w:t>
                  </w:r>
                </w:p>
              </w:tc>
            </w:tr>
            <w:tr w:rsidR="002F733D" w:rsidRPr="008D013F" w14:paraId="5062E55F" w14:textId="77777777" w:rsidTr="007A49C0">
              <w:tc>
                <w:tcPr>
                  <w:tcW w:w="4712" w:type="dxa"/>
                  <w:shd w:val="clear" w:color="auto" w:fill="auto"/>
                </w:tcPr>
                <w:p w14:paraId="56338E6D" w14:textId="6A80691E" w:rsidR="002F733D" w:rsidRPr="002F733D" w:rsidRDefault="002F733D" w:rsidP="008D013F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14:paraId="12EBD6C0" w14:textId="77777777" w:rsidR="002F733D" w:rsidRPr="002F733D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ind w:firstLine="567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541" w:type="dxa"/>
                  <w:shd w:val="clear" w:color="auto" w:fill="auto"/>
                </w:tcPr>
                <w:p w14:paraId="7C9A2D7B" w14:textId="31D97130" w:rsidR="002F733D" w:rsidRPr="00D057C1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color w:val="auto"/>
                      <w:sz w:val="22"/>
                      <w:szCs w:val="22"/>
                      <w:lang w:val="en-US"/>
                    </w:rPr>
                  </w:pPr>
                  <w:r w:rsidRPr="002F733D">
                    <w:rPr>
                      <w:rFonts w:ascii="Arial Narrow" w:hAnsi="Arial Narrow"/>
                      <w:color w:val="auto"/>
                      <w:sz w:val="22"/>
                      <w:szCs w:val="22"/>
                    </w:rPr>
                    <w:t>Тел</w:t>
                  </w:r>
                  <w:r w:rsidRPr="002F733D">
                    <w:rPr>
                      <w:rFonts w:ascii="Arial Narrow" w:hAnsi="Arial Narrow"/>
                      <w:color w:val="auto"/>
                      <w:sz w:val="22"/>
                      <w:szCs w:val="22"/>
                      <w:lang w:val="en-US"/>
                    </w:rPr>
                    <w:t>.: +7(8452</w:t>
                  </w:r>
                  <w:r w:rsidR="00D057C1" w:rsidRPr="00D057C1">
                    <w:rPr>
                      <w:rFonts w:ascii="Arial Narrow" w:hAnsi="Arial Narrow"/>
                      <w:color w:val="auto"/>
                      <w:sz w:val="22"/>
                      <w:szCs w:val="22"/>
                      <w:lang w:val="en-US"/>
                    </w:rPr>
                    <w:t>27-71-96</w:t>
                  </w:r>
                </w:p>
                <w:p w14:paraId="41CFCE8E" w14:textId="4D2164E8" w:rsidR="002F733D" w:rsidRPr="002F733D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color w:val="auto"/>
                      <w:sz w:val="22"/>
                      <w:szCs w:val="22"/>
                      <w:lang w:val="en-US"/>
                    </w:rPr>
                  </w:pPr>
                </w:p>
                <w:p w14:paraId="5C33F5A0" w14:textId="77777777" w:rsidR="002F733D" w:rsidRPr="002F733D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F733D" w:rsidRPr="002F733D" w14:paraId="2CFCFDA5" w14:textId="77777777" w:rsidTr="007A49C0">
              <w:trPr>
                <w:trHeight w:val="148"/>
              </w:trPr>
              <w:tc>
                <w:tcPr>
                  <w:tcW w:w="4712" w:type="dxa"/>
                  <w:shd w:val="clear" w:color="auto" w:fill="auto"/>
                  <w:vAlign w:val="bottom"/>
                </w:tcPr>
                <w:p w14:paraId="72ABCB3B" w14:textId="244AB2CD" w:rsidR="002F733D" w:rsidRPr="002724B4" w:rsidRDefault="002F733D" w:rsidP="002724B4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ind w:firstLine="34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14:paraId="43A09E0E" w14:textId="77777777" w:rsidR="002F733D" w:rsidRPr="002724B4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ind w:firstLine="567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541" w:type="dxa"/>
                  <w:shd w:val="clear" w:color="auto" w:fill="auto"/>
                  <w:vAlign w:val="bottom"/>
                </w:tcPr>
                <w:p w14:paraId="03DC5016" w14:textId="77777777" w:rsidR="002F733D" w:rsidRPr="002F733D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>Директор</w:t>
                  </w:r>
                </w:p>
                <w:p w14:paraId="35F91D08" w14:textId="77777777" w:rsidR="002F733D" w:rsidRPr="002F733D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  <w:p w14:paraId="30DB88DC" w14:textId="77777777" w:rsidR="002F733D" w:rsidRPr="002F733D" w:rsidRDefault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  <w:p w14:paraId="711E284D" w14:textId="461E5558" w:rsidR="002F733D" w:rsidRPr="002F733D" w:rsidRDefault="002F733D" w:rsidP="002F733D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>______________________ /</w:t>
                  </w:r>
                  <w:r w:rsidR="00AF298A">
                    <w:rPr>
                      <w:rFonts w:ascii="Arial Narrow" w:hAnsi="Arial Narrow"/>
                      <w:sz w:val="22"/>
                      <w:szCs w:val="22"/>
                    </w:rPr>
                    <w:t>С</w:t>
                  </w:r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 xml:space="preserve">.В. </w:t>
                  </w:r>
                  <w:r w:rsidR="00AF298A">
                    <w:rPr>
                      <w:rFonts w:ascii="Arial Narrow" w:hAnsi="Arial Narrow"/>
                      <w:sz w:val="22"/>
                      <w:szCs w:val="22"/>
                    </w:rPr>
                    <w:t>Кочергин</w:t>
                  </w:r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>/</w:t>
                  </w:r>
                </w:p>
              </w:tc>
            </w:tr>
            <w:tr w:rsidR="00E54555" w:rsidRPr="002F733D" w14:paraId="2C861900" w14:textId="77777777" w:rsidTr="007A49C0">
              <w:trPr>
                <w:trHeight w:val="417"/>
              </w:trPr>
              <w:tc>
                <w:tcPr>
                  <w:tcW w:w="4712" w:type="dxa"/>
                  <w:shd w:val="clear" w:color="auto" w:fill="auto"/>
                </w:tcPr>
                <w:p w14:paraId="009B7D89" w14:textId="48B4F81F" w:rsidR="00E54555" w:rsidRPr="002F733D" w:rsidRDefault="00E54555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ind w:firstLine="34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</w:tcPr>
                <w:p w14:paraId="682B9508" w14:textId="77777777" w:rsidR="00E54555" w:rsidRPr="002F733D" w:rsidRDefault="00E54555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ind w:firstLine="567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541" w:type="dxa"/>
                  <w:shd w:val="clear" w:color="auto" w:fill="auto"/>
                </w:tcPr>
                <w:p w14:paraId="6B0150D0" w14:textId="77777777" w:rsidR="00E54555" w:rsidRPr="002F733D" w:rsidRDefault="00D75045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 xml:space="preserve">         (подпись)</w:t>
                  </w:r>
                </w:p>
              </w:tc>
            </w:tr>
            <w:tr w:rsidR="00E54555" w:rsidRPr="002F733D" w14:paraId="363CEAC7" w14:textId="77777777" w:rsidTr="007A49C0">
              <w:trPr>
                <w:trHeight w:val="80"/>
              </w:trPr>
              <w:tc>
                <w:tcPr>
                  <w:tcW w:w="4712" w:type="dxa"/>
                  <w:shd w:val="clear" w:color="auto" w:fill="auto"/>
                </w:tcPr>
                <w:p w14:paraId="2F79DBF5" w14:textId="28A2D11A" w:rsidR="00E54555" w:rsidRPr="002F733D" w:rsidRDefault="002724B4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ind w:firstLine="34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>М. П.</w:t>
                  </w:r>
                </w:p>
              </w:tc>
              <w:tc>
                <w:tcPr>
                  <w:tcW w:w="420" w:type="dxa"/>
                  <w:shd w:val="clear" w:color="auto" w:fill="auto"/>
                </w:tcPr>
                <w:p w14:paraId="70F8205D" w14:textId="77777777" w:rsidR="00E54555" w:rsidRPr="002F733D" w:rsidRDefault="00E54555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ind w:firstLine="567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541" w:type="dxa"/>
                  <w:shd w:val="clear" w:color="auto" w:fill="auto"/>
                </w:tcPr>
                <w:p w14:paraId="79FE923B" w14:textId="77777777" w:rsidR="00E54555" w:rsidRPr="002F733D" w:rsidRDefault="00D75045">
                  <w:pPr>
                    <w:tabs>
                      <w:tab w:val="left" w:pos="993"/>
                      <w:tab w:val="right" w:pos="1843"/>
                      <w:tab w:val="left" w:pos="1985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F733D">
                    <w:rPr>
                      <w:rFonts w:ascii="Arial Narrow" w:hAnsi="Arial Narrow"/>
                      <w:sz w:val="22"/>
                      <w:szCs w:val="22"/>
                    </w:rPr>
                    <w:t>М. П.</w:t>
                  </w:r>
                </w:p>
              </w:tc>
            </w:tr>
          </w:tbl>
          <w:p w14:paraId="5A07AC2F" w14:textId="77777777" w:rsidR="00E54555" w:rsidRPr="00D75045" w:rsidRDefault="00E54555">
            <w:pPr>
              <w:tabs>
                <w:tab w:val="left" w:pos="993"/>
                <w:tab w:val="right" w:pos="1843"/>
                <w:tab w:val="left" w:pos="1985"/>
              </w:tabs>
              <w:ind w:firstLine="567"/>
              <w:rPr>
                <w:rFonts w:ascii="Arial Narrow" w:hAnsi="Arial Narrow"/>
                <w:sz w:val="24"/>
              </w:rPr>
            </w:pPr>
          </w:p>
        </w:tc>
      </w:tr>
    </w:tbl>
    <w:p w14:paraId="13A29E6A" w14:textId="77777777" w:rsidR="00E54555" w:rsidRPr="00D75045" w:rsidRDefault="00E54555" w:rsidP="00AF298A">
      <w:pPr>
        <w:tabs>
          <w:tab w:val="left" w:pos="993"/>
        </w:tabs>
        <w:rPr>
          <w:rFonts w:ascii="Arial Narrow" w:hAnsi="Arial Narrow"/>
          <w:sz w:val="24"/>
        </w:rPr>
      </w:pPr>
    </w:p>
    <w:sectPr w:rsidR="00E54555" w:rsidRPr="00D75045" w:rsidSect="008D013F">
      <w:footerReference w:type="default" r:id="rId7"/>
      <w:pgSz w:w="11906" w:h="16838"/>
      <w:pgMar w:top="426" w:right="850" w:bottom="1134" w:left="1701" w:header="708" w:footer="7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0A7BF" w14:textId="77777777" w:rsidR="00631F89" w:rsidRDefault="00631F89" w:rsidP="00E54555">
      <w:r>
        <w:separator/>
      </w:r>
    </w:p>
  </w:endnote>
  <w:endnote w:type="continuationSeparator" w:id="0">
    <w:p w14:paraId="712424B5" w14:textId="77777777" w:rsidR="00631F89" w:rsidRDefault="00631F89" w:rsidP="00E5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A8503" w14:textId="19CD5A94" w:rsidR="002F733D" w:rsidRDefault="002F733D">
    <w:pPr>
      <w:tabs>
        <w:tab w:val="center" w:pos="5812"/>
        <w:tab w:val="right" w:pos="9524"/>
      </w:tabs>
      <w:jc w:val="right"/>
    </w:pPr>
    <w:r>
      <w:t>Лицензиар_____________</w:t>
    </w:r>
    <w:r>
      <w:tab/>
      <w:t>Лицензиат______________</w:t>
    </w:r>
    <w:r>
      <w:tab/>
    </w:r>
    <w:r>
      <w:fldChar w:fldCharType="begin"/>
    </w:r>
    <w:r>
      <w:instrText xml:space="preserve">PAGE </w:instrText>
    </w:r>
    <w:r>
      <w:fldChar w:fldCharType="separate"/>
    </w:r>
    <w:r w:rsidR="006204C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4555A" w14:textId="77777777" w:rsidR="00631F89" w:rsidRDefault="00631F89" w:rsidP="00E54555">
      <w:r>
        <w:separator/>
      </w:r>
    </w:p>
  </w:footnote>
  <w:footnote w:type="continuationSeparator" w:id="0">
    <w:p w14:paraId="0E97B2A7" w14:textId="77777777" w:rsidR="00631F89" w:rsidRDefault="00631F89" w:rsidP="00E5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40E1"/>
    <w:multiLevelType w:val="multilevel"/>
    <w:tmpl w:val="C0E6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2"/>
        </w:tabs>
        <w:ind w:left="1532" w:hanging="964"/>
      </w:pPr>
      <w:rPr>
        <w:rFonts w:hint="default"/>
      </w:rPr>
    </w:lvl>
    <w:lvl w:ilvl="3">
      <w:start w:val="1"/>
      <w:numFmt w:val="none"/>
      <w:lvlText w:val="—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4B3B84"/>
    <w:multiLevelType w:val="multilevel"/>
    <w:tmpl w:val="58EE3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1532"/>
        </w:tabs>
        <w:ind w:left="1532" w:hanging="964"/>
      </w:pPr>
    </w:lvl>
    <w:lvl w:ilvl="3">
      <w:start w:val="1"/>
      <w:numFmt w:val="decimal"/>
      <w:lvlText w:val="—"/>
      <w:lvlJc w:val="left"/>
      <w:pPr>
        <w:ind w:left="1134" w:hanging="397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55"/>
    <w:rsid w:val="000C7055"/>
    <w:rsid w:val="001275E8"/>
    <w:rsid w:val="00132CE0"/>
    <w:rsid w:val="00171916"/>
    <w:rsid w:val="002724B4"/>
    <w:rsid w:val="00291404"/>
    <w:rsid w:val="002F733D"/>
    <w:rsid w:val="00363E20"/>
    <w:rsid w:val="005A2E18"/>
    <w:rsid w:val="005F6889"/>
    <w:rsid w:val="006204CD"/>
    <w:rsid w:val="00631F89"/>
    <w:rsid w:val="00682E44"/>
    <w:rsid w:val="006D11CB"/>
    <w:rsid w:val="007A49C0"/>
    <w:rsid w:val="008176DB"/>
    <w:rsid w:val="008B5176"/>
    <w:rsid w:val="008D013F"/>
    <w:rsid w:val="009278B3"/>
    <w:rsid w:val="009B7488"/>
    <w:rsid w:val="00AF298A"/>
    <w:rsid w:val="00B76BE9"/>
    <w:rsid w:val="00C02E86"/>
    <w:rsid w:val="00D057C1"/>
    <w:rsid w:val="00D30BCC"/>
    <w:rsid w:val="00D55F55"/>
    <w:rsid w:val="00D75045"/>
    <w:rsid w:val="00E02A5D"/>
    <w:rsid w:val="00E53240"/>
    <w:rsid w:val="00E54555"/>
    <w:rsid w:val="00EF5F38"/>
    <w:rsid w:val="00E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31B5"/>
  <w15:docId w15:val="{3750C383-0B62-8243-8EC7-26FA1F2D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54555"/>
  </w:style>
  <w:style w:type="paragraph" w:styleId="10">
    <w:name w:val="heading 1"/>
    <w:link w:val="11"/>
    <w:uiPriority w:val="9"/>
    <w:qFormat/>
    <w:rsid w:val="00E54555"/>
    <w:pPr>
      <w:keepNext/>
      <w:spacing w:before="240" w:after="120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rsid w:val="00E5455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5455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5455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5455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54555"/>
  </w:style>
  <w:style w:type="paragraph" w:styleId="21">
    <w:name w:val="toc 2"/>
    <w:next w:val="a"/>
    <w:link w:val="22"/>
    <w:uiPriority w:val="39"/>
    <w:rsid w:val="00E5455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545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5455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545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5455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545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5455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5455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54555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E54555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5455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E5455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54555"/>
    <w:rPr>
      <w:rFonts w:ascii="XO Thames" w:hAnsi="XO Thames"/>
      <w:sz w:val="28"/>
    </w:rPr>
  </w:style>
  <w:style w:type="paragraph" w:styleId="a5">
    <w:name w:val="footer"/>
    <w:basedOn w:val="a"/>
    <w:link w:val="a6"/>
    <w:rsid w:val="00E54555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Нижний колонтитул Знак"/>
    <w:basedOn w:val="1"/>
    <w:link w:val="a5"/>
    <w:rsid w:val="00E54555"/>
    <w:rPr>
      <w:sz w:val="24"/>
    </w:rPr>
  </w:style>
  <w:style w:type="character" w:customStyle="1" w:styleId="50">
    <w:name w:val="Заголовок 5 Знак"/>
    <w:link w:val="5"/>
    <w:rsid w:val="00E545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54555"/>
    <w:rPr>
      <w:b/>
      <w:sz w:val="24"/>
    </w:rPr>
  </w:style>
  <w:style w:type="paragraph" w:customStyle="1" w:styleId="12">
    <w:name w:val="Гиперссылка1"/>
    <w:link w:val="a7"/>
    <w:rsid w:val="00E54555"/>
    <w:rPr>
      <w:color w:val="0563C1"/>
      <w:u w:val="single"/>
    </w:rPr>
  </w:style>
  <w:style w:type="character" w:styleId="a7">
    <w:name w:val="Hyperlink"/>
    <w:link w:val="12"/>
    <w:rsid w:val="00E54555"/>
    <w:rPr>
      <w:color w:val="0563C1"/>
      <w:u w:val="single"/>
    </w:rPr>
  </w:style>
  <w:style w:type="paragraph" w:customStyle="1" w:styleId="Footnote">
    <w:name w:val="Footnote"/>
    <w:link w:val="Footnote0"/>
    <w:rsid w:val="00E5455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5455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5455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E545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5455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5455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5455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545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5455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54555"/>
    <w:rPr>
      <w:rFonts w:ascii="XO Thames" w:hAnsi="XO Thames"/>
      <w:sz w:val="28"/>
    </w:rPr>
  </w:style>
  <w:style w:type="paragraph" w:styleId="a8">
    <w:name w:val="Normal (Web)"/>
    <w:basedOn w:val="a"/>
    <w:link w:val="a9"/>
    <w:rsid w:val="00E54555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sid w:val="00E54555"/>
    <w:rPr>
      <w:sz w:val="24"/>
    </w:rPr>
  </w:style>
  <w:style w:type="paragraph" w:styleId="aa">
    <w:name w:val="header"/>
    <w:basedOn w:val="a"/>
    <w:link w:val="ab"/>
    <w:rsid w:val="00E54555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basedOn w:val="1"/>
    <w:link w:val="aa"/>
    <w:rsid w:val="00E54555"/>
    <w:rPr>
      <w:sz w:val="24"/>
    </w:rPr>
  </w:style>
  <w:style w:type="paragraph" w:styleId="51">
    <w:name w:val="toc 5"/>
    <w:next w:val="a"/>
    <w:link w:val="52"/>
    <w:uiPriority w:val="39"/>
    <w:rsid w:val="00E5455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54555"/>
    <w:rPr>
      <w:rFonts w:ascii="XO Thames" w:hAnsi="XO Thames"/>
      <w:sz w:val="28"/>
    </w:rPr>
  </w:style>
  <w:style w:type="paragraph" w:customStyle="1" w:styleId="15">
    <w:name w:val="Неразрешенное упоминание1"/>
    <w:link w:val="23"/>
    <w:rsid w:val="00E54555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5"/>
    <w:rsid w:val="00E54555"/>
    <w:rPr>
      <w:color w:val="605E5C"/>
      <w:shd w:val="clear" w:color="auto" w:fill="E1DFDD"/>
    </w:rPr>
  </w:style>
  <w:style w:type="paragraph" w:customStyle="1" w:styleId="16">
    <w:name w:val="Основной шрифт абзаца1"/>
    <w:rsid w:val="00E54555"/>
  </w:style>
  <w:style w:type="paragraph" w:styleId="ac">
    <w:name w:val="Subtitle"/>
    <w:next w:val="a"/>
    <w:link w:val="ad"/>
    <w:uiPriority w:val="11"/>
    <w:qFormat/>
    <w:rsid w:val="00E54555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E54555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E5455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sid w:val="00E545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5455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54555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29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Антосяк Оксана Олеговна</dc:creator>
  <cp:lastModifiedBy>1</cp:lastModifiedBy>
  <cp:revision>3</cp:revision>
  <dcterms:created xsi:type="dcterms:W3CDTF">2026-06-23T11:34:00Z</dcterms:created>
  <dcterms:modified xsi:type="dcterms:W3CDTF">2026-06-23T11:59:00Z</dcterms:modified>
</cp:coreProperties>
</file>