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F047A4">
        <w:rPr>
          <w:rFonts w:ascii="Times New Roman" w:hAnsi="Times New Roman" w:cs="Times New Roman"/>
          <w:b/>
          <w:sz w:val="22"/>
          <w:szCs w:val="22"/>
        </w:rPr>
        <w:t>107/7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-44</w:t>
      </w:r>
    </w:p>
    <w:p w:rsidR="00EA4635" w:rsidRPr="00DA509F" w:rsidRDefault="00E81E4C" w:rsidP="007B4C3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7B4C34" w:rsidRPr="007B4C34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A4635" w:rsidRPr="00DA509F" w:rsidRDefault="00EA4635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</w:t>
      </w:r>
      <w:r w:rsidR="00CF0391" w:rsidRPr="00F047A4">
        <w:rPr>
          <w:rFonts w:ascii="Times New Roman" w:hAnsi="Times New Roman" w:cs="Times New Roman"/>
          <w:sz w:val="22"/>
          <w:szCs w:val="22"/>
        </w:rPr>
        <w:t>.</w:t>
      </w:r>
      <w:r w:rsidR="00E81E4C" w:rsidRPr="00F047A4">
        <w:rPr>
          <w:rFonts w:ascii="Times New Roman" w:hAnsi="Times New Roman" w:cs="Times New Roman"/>
          <w:sz w:val="22"/>
          <w:szCs w:val="22"/>
        </w:rPr>
        <w:t xml:space="preserve"> 5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DA509F" w:rsidRDefault="00554D9B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F047A4">
        <w:rPr>
          <w:rStyle w:val="ListLabel4"/>
          <w:b/>
          <w:szCs w:val="22"/>
        </w:rPr>
        <w:t>осциллограф с пассивным высоковольтным пробником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DA509F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F047A4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F047A4">
        <w:rPr>
          <w:sz w:val="22"/>
          <w:szCs w:val="22"/>
        </w:rPr>
        <w:t xml:space="preserve">Общая сумма </w:t>
      </w:r>
      <w:r w:rsidR="005337EB" w:rsidRPr="00F047A4">
        <w:rPr>
          <w:sz w:val="22"/>
          <w:szCs w:val="22"/>
        </w:rPr>
        <w:t>Контракт</w:t>
      </w:r>
      <w:r w:rsidRPr="00F047A4">
        <w:rPr>
          <w:sz w:val="22"/>
          <w:szCs w:val="22"/>
        </w:rPr>
        <w:t xml:space="preserve">а составляет </w:t>
      </w:r>
      <w:r w:rsidR="00A15379" w:rsidRPr="00F047A4">
        <w:rPr>
          <w:sz w:val="22"/>
          <w:szCs w:val="22"/>
        </w:rPr>
        <w:t>__________</w:t>
      </w:r>
      <w:r w:rsidRPr="00F047A4">
        <w:rPr>
          <w:sz w:val="22"/>
          <w:szCs w:val="22"/>
        </w:rPr>
        <w:t xml:space="preserve"> </w:t>
      </w:r>
      <w:r w:rsidR="00EA4635" w:rsidRPr="00F047A4">
        <w:rPr>
          <w:b/>
          <w:sz w:val="22"/>
          <w:szCs w:val="22"/>
        </w:rPr>
        <w:t>(</w:t>
      </w:r>
      <w:r w:rsidR="00A15379" w:rsidRPr="00F047A4">
        <w:rPr>
          <w:b/>
          <w:sz w:val="22"/>
          <w:szCs w:val="22"/>
        </w:rPr>
        <w:t>_____________________</w:t>
      </w:r>
      <w:r w:rsidR="00EA4635" w:rsidRPr="00F047A4">
        <w:rPr>
          <w:b/>
          <w:sz w:val="22"/>
          <w:szCs w:val="22"/>
        </w:rPr>
        <w:t xml:space="preserve">) рублей </w:t>
      </w:r>
      <w:r w:rsidR="00A15379" w:rsidRPr="00F047A4">
        <w:rPr>
          <w:b/>
          <w:sz w:val="22"/>
          <w:szCs w:val="22"/>
        </w:rPr>
        <w:t>____</w:t>
      </w:r>
      <w:r w:rsidR="00EA4635" w:rsidRPr="00F047A4">
        <w:rPr>
          <w:b/>
          <w:sz w:val="22"/>
          <w:szCs w:val="22"/>
        </w:rPr>
        <w:t xml:space="preserve"> копеек</w:t>
      </w:r>
      <w:r w:rsidR="00E81E4C" w:rsidRPr="00F047A4">
        <w:rPr>
          <w:sz w:val="22"/>
          <w:szCs w:val="22"/>
        </w:rPr>
        <w:t>, в т. ч. НДС (</w:t>
      </w:r>
      <w:r w:rsidR="00F047A4" w:rsidRPr="00F047A4">
        <w:rPr>
          <w:sz w:val="22"/>
          <w:szCs w:val="22"/>
        </w:rPr>
        <w:t>__</w:t>
      </w:r>
      <w:r w:rsidR="00E81E4C" w:rsidRPr="00F047A4">
        <w:rPr>
          <w:sz w:val="22"/>
          <w:szCs w:val="22"/>
        </w:rPr>
        <w:t>%)</w:t>
      </w:r>
      <w:r w:rsidR="00554D9B" w:rsidRPr="00F047A4">
        <w:rPr>
          <w:sz w:val="22"/>
          <w:szCs w:val="22"/>
        </w:rPr>
        <w:t>/</w:t>
      </w:r>
      <w:r w:rsidR="00E81E4C" w:rsidRPr="00F047A4">
        <w:rPr>
          <w:sz w:val="22"/>
          <w:szCs w:val="22"/>
        </w:rPr>
        <w:t xml:space="preserve"> либо НДС не облагается на основании п. 2 ст. 346.11 главы 26.2 НК РФ</w:t>
      </w:r>
      <w:r w:rsidR="00F047A4" w:rsidRPr="00F047A4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54D9B">
      <w:pPr>
        <w:pStyle w:val="a7"/>
        <w:tabs>
          <w:tab w:val="left" w:pos="1134"/>
        </w:tabs>
        <w:ind w:left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DA509F" w:rsidRDefault="00554D9B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F047A4">
        <w:rPr>
          <w:sz w:val="22"/>
          <w:szCs w:val="22"/>
        </w:rPr>
        <w:t xml:space="preserve">в течении </w:t>
      </w:r>
      <w:r w:rsidR="00F047A4" w:rsidRPr="00F047A4">
        <w:rPr>
          <w:b/>
          <w:sz w:val="22"/>
          <w:szCs w:val="22"/>
        </w:rPr>
        <w:t xml:space="preserve">80 </w:t>
      </w:r>
      <w:r w:rsidR="000A1795" w:rsidRPr="00DA509F">
        <w:rPr>
          <w:b/>
          <w:sz w:val="22"/>
          <w:szCs w:val="22"/>
        </w:rPr>
        <w:t>(</w:t>
      </w:r>
      <w:r w:rsidR="00F047A4">
        <w:rPr>
          <w:b/>
          <w:sz w:val="22"/>
          <w:szCs w:val="22"/>
        </w:rPr>
        <w:t>Восьмидесяти</w:t>
      </w:r>
      <w:r w:rsidR="000A1795" w:rsidRPr="00F047A4">
        <w:rPr>
          <w:b/>
          <w:sz w:val="22"/>
          <w:szCs w:val="22"/>
        </w:rPr>
        <w:t>)</w:t>
      </w:r>
      <w:r w:rsidR="00756C13" w:rsidRPr="00F047A4">
        <w:rPr>
          <w:b/>
          <w:sz w:val="22"/>
          <w:szCs w:val="22"/>
        </w:rPr>
        <w:t xml:space="preserve"> рабочих</w:t>
      </w:r>
      <w:r w:rsidR="00F047A4" w:rsidRPr="00F047A4">
        <w:rPr>
          <w:b/>
          <w:sz w:val="22"/>
          <w:szCs w:val="22"/>
        </w:rPr>
        <w:t xml:space="preserve"> </w:t>
      </w:r>
      <w:r w:rsidR="000559DB" w:rsidRPr="00F047A4">
        <w:rPr>
          <w:b/>
          <w:sz w:val="22"/>
          <w:szCs w:val="22"/>
        </w:rPr>
        <w:t>дней</w:t>
      </w:r>
      <w:r w:rsidR="000A1795" w:rsidRPr="00DA509F">
        <w:rPr>
          <w:color w:val="FF0000"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lastRenderedPageBreak/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F047A4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F047A4">
        <w:rPr>
          <w:color w:val="000000"/>
          <w:sz w:val="22"/>
          <w:szCs w:val="22"/>
        </w:rPr>
        <w:t>оформленные гарантийные талоны или аналогичные документы, с указанием гарантийного периода.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>В связи с тем, что на территории ИЯФ 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Pr="00F047A4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</w:t>
      </w:r>
      <w:r w:rsidRPr="00F047A4">
        <w:rPr>
          <w:sz w:val="22"/>
          <w:szCs w:val="22"/>
        </w:rPr>
        <w:t>гарантийный срок на Товар.</w:t>
      </w:r>
    </w:p>
    <w:p w:rsidR="00A779A0" w:rsidRPr="00F047A4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F047A4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</w:p>
    <w:p w:rsidR="00EA4635" w:rsidRPr="00F047A4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F047A4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DA509F" w:rsidRDefault="00554D9B" w:rsidP="00E84781">
      <w:pPr>
        <w:pStyle w:val="a7"/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lastRenderedPageBreak/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554D9B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DA509F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DA509F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104FA5" w:rsidRPr="00DA509F">
        <w:rPr>
          <w:rFonts w:ascii="Times New Roman" w:hAnsi="Times New Roman" w:cs="Times New Roman"/>
          <w:sz w:val="22"/>
          <w:szCs w:val="22"/>
        </w:rPr>
        <w:t>_________________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9A04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 № ____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552"/>
        <w:gridCol w:w="1144"/>
        <w:gridCol w:w="3325"/>
        <w:gridCol w:w="1417"/>
        <w:gridCol w:w="1135"/>
        <w:gridCol w:w="1702"/>
        <w:gridCol w:w="1746"/>
        <w:gridCol w:w="2178"/>
      </w:tblGrid>
      <w:tr w:rsidR="006B5766" w:rsidRPr="00DA509F" w:rsidTr="00176C6E">
        <w:trPr>
          <w:gridBefore w:val="1"/>
          <w:gridAfter w:val="1"/>
          <w:wBefore w:w="23" w:type="pct"/>
          <w:wAfter w:w="741" w:type="pct"/>
          <w:trHeight w:val="1022"/>
          <w:tblCellSpacing w:w="0" w:type="dxa"/>
        </w:trPr>
        <w:tc>
          <w:tcPr>
            <w:tcW w:w="675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F047A4" w:rsidP="00F047A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047A4">
              <w:rPr>
                <w:rFonts w:ascii="Times New Roman" w:hAnsi="Times New Roman" w:cs="Times New Roman"/>
                <w:sz w:val="22"/>
                <w:szCs w:val="22"/>
              </w:rPr>
              <w:t>26.51.43.118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F047A4" w:rsidP="00F047A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47A4">
              <w:rPr>
                <w:rFonts w:ascii="Times New Roman" w:hAnsi="Times New Roman" w:cs="Times New Roman"/>
                <w:sz w:val="22"/>
                <w:szCs w:val="22"/>
              </w:rPr>
              <w:t xml:space="preserve">Осциллограф цифровой GW </w:t>
            </w:r>
            <w:proofErr w:type="spellStart"/>
            <w:r w:rsidRPr="00F047A4">
              <w:rPr>
                <w:rFonts w:ascii="Times New Roman" w:hAnsi="Times New Roman" w:cs="Times New Roman"/>
                <w:sz w:val="22"/>
                <w:szCs w:val="22"/>
              </w:rPr>
              <w:t>Instek</w:t>
            </w:r>
            <w:proofErr w:type="spellEnd"/>
            <w:r w:rsidRPr="00F047A4">
              <w:rPr>
                <w:rFonts w:ascii="Times New Roman" w:hAnsi="Times New Roman" w:cs="Times New Roman"/>
                <w:sz w:val="22"/>
                <w:szCs w:val="22"/>
              </w:rPr>
              <w:t xml:space="preserve"> GDS-72074, Опции: DS2-LAN, DS2-FGN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F047A4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F047A4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7A4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7A4" w:rsidRPr="00DA509F" w:rsidRDefault="00F047A4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7A4" w:rsidRPr="00DA509F" w:rsidRDefault="00F047A4" w:rsidP="00F047A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047A4">
              <w:rPr>
                <w:rFonts w:ascii="Times New Roman" w:hAnsi="Times New Roman" w:cs="Times New Roman"/>
                <w:sz w:val="22"/>
                <w:szCs w:val="22"/>
              </w:rPr>
              <w:t>26.51.82.140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7A4" w:rsidRPr="00DA509F" w:rsidRDefault="002D0123" w:rsidP="00F047A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F047A4" w:rsidRPr="00F047A4">
              <w:rPr>
                <w:rFonts w:ascii="Times New Roman" w:hAnsi="Times New Roman" w:cs="Times New Roman"/>
                <w:sz w:val="22"/>
                <w:szCs w:val="22"/>
              </w:rPr>
              <w:t>Пассивный высоковольтный пробник RP1010H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7A4" w:rsidRPr="00DA509F" w:rsidRDefault="00F047A4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7A4" w:rsidRPr="00DA509F" w:rsidRDefault="00F047A4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7A4" w:rsidRPr="00DA509F" w:rsidRDefault="00F047A4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7A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7A4" w:rsidRPr="00DA509F" w:rsidRDefault="00F047A4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7A4" w:rsidRPr="00DA509F" w:rsidRDefault="00F047A4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F047A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НДС </w:t>
            </w:r>
            <w:r w:rsidR="00F04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</w:t>
            </w: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F047A4">
        <w:rPr>
          <w:rFonts w:ascii="Times New Roman" w:hAnsi="Times New Roman" w:cs="Times New Roman"/>
          <w:b/>
          <w:sz w:val="22"/>
          <w:szCs w:val="22"/>
        </w:rPr>
        <w:t>107/7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F047A4" w:rsidRPr="00F047A4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 № __________-44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599"/>
        <w:gridCol w:w="2171"/>
        <w:gridCol w:w="1242"/>
        <w:gridCol w:w="791"/>
        <w:gridCol w:w="1705"/>
        <w:gridCol w:w="2659"/>
      </w:tblGrid>
      <w:tr w:rsidR="006B5766" w:rsidRPr="00DA509F" w:rsidTr="003467B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B5766" w:rsidRPr="00DA509F" w:rsidTr="003467B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B72194" w:rsidRPr="00B72194">
      <w:rPr>
        <w:rFonts w:ascii="Times New Roman" w:hAnsi="Times New Roman" w:cs="Times New Roman"/>
      </w:rPr>
      <w:t xml:space="preserve"> №</w:t>
    </w:r>
    <w:r w:rsidR="00F047A4">
      <w:rPr>
        <w:rFonts w:ascii="Times New Roman" w:hAnsi="Times New Roman" w:cs="Times New Roman"/>
      </w:rPr>
      <w:t>107/7-44</w:t>
    </w:r>
    <w:r w:rsidR="00B72194" w:rsidRPr="00B72194">
      <w:rPr>
        <w:rFonts w:ascii="Times New Roman" w:hAnsi="Times New Roman" w:cs="Times New Roman"/>
      </w:rPr>
      <w:t xml:space="preserve"> 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2D0123">
          <w:rPr>
            <w:rFonts w:ascii="Times New Roman" w:hAnsi="Times New Roman" w:cs="Times New Roman"/>
            <w:noProof/>
          </w:rPr>
          <w:t>8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A6316"/>
    <w:rsid w:val="00104FA5"/>
    <w:rsid w:val="0015738B"/>
    <w:rsid w:val="00163F56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0123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2DBD"/>
    <w:rsid w:val="005337EB"/>
    <w:rsid w:val="00543F89"/>
    <w:rsid w:val="00554D9B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0B43"/>
    <w:rsid w:val="006C71EE"/>
    <w:rsid w:val="007554F8"/>
    <w:rsid w:val="0075611D"/>
    <w:rsid w:val="00756C13"/>
    <w:rsid w:val="007606AD"/>
    <w:rsid w:val="00767C29"/>
    <w:rsid w:val="007A3051"/>
    <w:rsid w:val="007B2954"/>
    <w:rsid w:val="007B4C34"/>
    <w:rsid w:val="007F0FA7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E7C50"/>
    <w:rsid w:val="00952403"/>
    <w:rsid w:val="009773C7"/>
    <w:rsid w:val="00985781"/>
    <w:rsid w:val="009A047A"/>
    <w:rsid w:val="009C4FC0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6DAC"/>
    <w:rsid w:val="00AB6FCF"/>
    <w:rsid w:val="00AB71E1"/>
    <w:rsid w:val="00B2102F"/>
    <w:rsid w:val="00B6311E"/>
    <w:rsid w:val="00B640DA"/>
    <w:rsid w:val="00B72194"/>
    <w:rsid w:val="00B91C20"/>
    <w:rsid w:val="00B95259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047A4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306BE274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147B-7DF9-4921-A911-6464C0DD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8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Olga B. Sokolova</cp:lastModifiedBy>
  <cp:revision>21</cp:revision>
  <cp:lastPrinted>2021-04-14T06:15:00Z</cp:lastPrinted>
  <dcterms:created xsi:type="dcterms:W3CDTF">2023-01-25T07:51:00Z</dcterms:created>
  <dcterms:modified xsi:type="dcterms:W3CDTF">2026-06-17T03:38:00Z</dcterms:modified>
</cp:coreProperties>
</file>