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Обоснование начальной</w:t>
      </w:r>
      <w:r>
        <w:rPr>
          <w:b/>
          <w:bCs/>
          <w:sz w:val="28"/>
          <w:szCs w:val="28"/>
        </w:rPr>
        <w:t xml:space="preserve"> (максимальной) цены контракта </w:t>
      </w:r>
      <w:r>
        <w:rPr>
          <w:b/>
          <w:bCs/>
          <w:sz w:val="28"/>
          <w:szCs w:val="28"/>
        </w:rPr>
        <w:t xml:space="preserve">(НМЦК)</w:t>
      </w:r>
      <w:r>
        <w:rPr>
          <w:sz w:val="28"/>
          <w:szCs w:val="28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r>
        <w:t xml:space="preserve">Дата подготовки обоснования НМЦК(ЦК) </w:t>
      </w:r>
      <w:r>
        <w:rPr>
          <w:u w:val="single"/>
        </w:rPr>
        <w:t xml:space="preserve">24</w:t>
      </w:r>
      <w:bookmarkStart w:id="0" w:name="_GoBack"/>
      <w:r/>
      <w:bookmarkEnd w:id="0"/>
      <w:r>
        <w:rPr>
          <w:u w:val="single"/>
        </w:rPr>
        <w:t xml:space="preserve">.</w:t>
      </w:r>
      <w:r>
        <w:rPr>
          <w:u w:val="single"/>
        </w:rPr>
        <w:t xml:space="preserve">0</w:t>
      </w:r>
      <w:r>
        <w:rPr>
          <w:u w:val="single"/>
          <w:lang w:val="en-US"/>
        </w:rPr>
        <w:t xml:space="preserve">7</w:t>
      </w:r>
      <w:r>
        <w:rPr>
          <w:u w:val="single"/>
        </w:rPr>
        <w:t xml:space="preserve">.202</w:t>
      </w:r>
      <w:r>
        <w:rPr>
          <w:u w:val="single"/>
        </w:rPr>
        <w:t xml:space="preserve">6</w:t>
      </w:r>
      <w:r/>
    </w:p>
    <w:p>
      <w:pPr>
        <w:jc w:val="both"/>
        <w:spacing w:line="276" w:lineRule="auto"/>
      </w:pPr>
      <w:r>
        <w:t xml:space="preserve">Предмет контракта </w:t>
      </w:r>
      <w:r>
        <w:rPr>
          <w:u w:val="single"/>
        </w:rPr>
        <w:t xml:space="preserve">Поставка (приобретение) </w:t>
      </w:r>
      <w:r>
        <w:rPr>
          <w:u w:val="single"/>
        </w:rPr>
        <w:t xml:space="preserve">средств связи для нужд Межрегионального операционного управления </w:t>
      </w:r>
      <w:r>
        <w:rPr>
          <w:u w:val="single"/>
        </w:rPr>
        <w:br/>
        <w:t xml:space="preserve">Федерального казначейства</w:t>
      </w:r>
      <w:r/>
    </w:p>
    <w:p>
      <w:pPr>
        <w:jc w:val="both"/>
        <w:spacing w:line="276" w:lineRule="auto"/>
      </w:pPr>
      <w:r>
        <w:t xml:space="preserve">Используемый метод определения НМЦК(ЦК) </w:t>
      </w:r>
      <w:r>
        <w:rPr>
          <w:u w:val="single"/>
        </w:rPr>
        <w:t xml:space="preserve">Метод сопоставимых рыночных цен (анализа рынка)</w:t>
      </w:r>
      <w:r/>
    </w:p>
    <w:p>
      <w:pPr>
        <w:rPr>
          <w:u w:val="single"/>
        </w:rPr>
      </w:pPr>
      <w:r>
        <w:t xml:space="preserve">Реквизиты запросов ценовой информации (в </w:t>
      </w:r>
      <w:r>
        <w:t xml:space="preserve">т.ч</w:t>
      </w:r>
      <w:r>
        <w:t xml:space="preserve">. в ЕИС) </w:t>
      </w:r>
      <w:r>
        <w:rPr>
          <w:u w:val="single"/>
        </w:rPr>
        <w:t xml:space="preserve">запрос от </w:t>
      </w:r>
      <w:r>
        <w:rPr>
          <w:u w:val="single"/>
        </w:rPr>
        <w:t xml:space="preserve">10</w:t>
      </w:r>
      <w:r>
        <w:rPr>
          <w:u w:val="single"/>
        </w:rPr>
        <w:t xml:space="preserve">.</w:t>
      </w:r>
      <w:r>
        <w:rPr>
          <w:u w:val="single"/>
        </w:rPr>
        <w:t xml:space="preserve">0</w:t>
      </w:r>
      <w:r>
        <w:rPr>
          <w:u w:val="single"/>
        </w:rPr>
        <w:t xml:space="preserve">7</w:t>
      </w:r>
      <w:r>
        <w:rPr>
          <w:u w:val="single"/>
        </w:rPr>
        <w:t xml:space="preserve">.202</w:t>
      </w:r>
      <w:r>
        <w:rPr>
          <w:u w:val="single"/>
        </w:rPr>
        <w:t xml:space="preserve">6</w:t>
      </w:r>
      <w:r>
        <w:rPr>
          <w:u w:val="single"/>
        </w:rPr>
        <w:t xml:space="preserve"> № </w:t>
      </w:r>
      <w:r>
        <w:rPr>
          <w:u w:val="single"/>
        </w:rPr>
        <w:t xml:space="preserve">99-</w:t>
      </w:r>
      <w:r>
        <w:rPr>
          <w:u w:val="single"/>
        </w:rPr>
        <w:t xml:space="preserve">61</w:t>
      </w:r>
      <w:r>
        <w:rPr>
          <w:u w:val="single"/>
        </w:rPr>
        <w:t xml:space="preserve">-07-1</w:t>
      </w:r>
      <w:r>
        <w:rPr>
          <w:u w:val="single"/>
        </w:rPr>
        <w:t xml:space="preserve">1</w:t>
      </w:r>
      <w:r>
        <w:rPr>
          <w:u w:val="single"/>
        </w:rPr>
        <w:t xml:space="preserve">/</w:t>
      </w:r>
      <w:r>
        <w:rPr>
          <w:u w:val="single"/>
        </w:rPr>
        <w:t xml:space="preserve">7515</w:t>
      </w:r>
      <w:r>
        <w:rPr>
          <w:u w:val="single"/>
        </w:rPr>
        <w:t xml:space="preserve"> (от </w:t>
      </w:r>
      <w:r>
        <w:rPr>
          <w:u w:val="single"/>
        </w:rPr>
        <w:t xml:space="preserve">13</w:t>
      </w:r>
      <w:r>
        <w:rPr>
          <w:u w:val="single"/>
        </w:rPr>
        <w:t xml:space="preserve">.0</w:t>
      </w:r>
      <w:r>
        <w:rPr>
          <w:u w:val="single"/>
        </w:rPr>
        <w:t xml:space="preserve">7</w:t>
      </w:r>
      <w:r>
        <w:rPr>
          <w:u w:val="single"/>
        </w:rPr>
        <w:t xml:space="preserve">.2026 </w:t>
      </w:r>
      <w:r>
        <w:rPr>
          <w:u w:val="single"/>
        </w:rPr>
        <w:t xml:space="preserve">№ </w:t>
      </w:r>
      <w:r>
        <w:rPr>
          <w:u w:val="single"/>
        </w:rPr>
        <w:t xml:space="preserve">089510000012</w:t>
      </w:r>
      <w:r>
        <w:rPr>
          <w:u w:val="single"/>
        </w:rPr>
        <w:t xml:space="preserve">6</w:t>
      </w:r>
      <w:r>
        <w:rPr>
          <w:u w:val="single"/>
        </w:rPr>
        <w:t xml:space="preserve">000</w:t>
      </w:r>
      <w:r>
        <w:rPr>
          <w:u w:val="single"/>
        </w:rPr>
        <w:t xml:space="preserve">680</w:t>
      </w:r>
      <w:r>
        <w:rPr>
          <w:u w:val="single"/>
        </w:rPr>
        <w:t xml:space="preserve">)</w:t>
      </w:r>
      <w:r>
        <w:rPr>
          <w:u w:val="single"/>
        </w:rPr>
        <w:t xml:space="preserve">,</w:t>
      </w:r>
      <w:r>
        <w:rPr>
          <w:u w:val="single"/>
        </w:rPr>
      </w:r>
    </w:p>
    <w:p>
      <w:pPr>
        <w:pStyle w:val="637"/>
        <w:spacing w:before="0" w:beforeAutospacing="0" w:after="0" w:afterAutospacing="0"/>
      </w:pPr>
      <w:r>
        <w:rPr>
          <w:color w:val="000000"/>
        </w:rPr>
        <w:t xml:space="preserve">было получено три ответа. Источник № 1- </w:t>
      </w:r>
      <w:r>
        <w:rPr>
          <w:color w:val="000000"/>
        </w:rPr>
        <w:t xml:space="preserve">вх</w:t>
      </w:r>
      <w:r>
        <w:rPr>
          <w:color w:val="000000"/>
        </w:rPr>
        <w:t xml:space="preserve">. от </w:t>
      </w:r>
      <w:r>
        <w:rPr>
          <w:color w:val="212121"/>
          <w:shd w:val="clear" w:color="auto" w:fill="ffffff"/>
        </w:rPr>
        <w:t xml:space="preserve">17.07.2026 </w:t>
      </w:r>
      <w:r>
        <w:rPr>
          <w:color w:val="000000"/>
        </w:rPr>
        <w:t xml:space="preserve">№ </w:t>
      </w:r>
      <w:r>
        <w:rPr>
          <w:color w:val="212121"/>
          <w:shd w:val="clear" w:color="auto" w:fill="ffffff"/>
        </w:rPr>
        <w:t xml:space="preserve">17944</w:t>
      </w:r>
      <w:r>
        <w:rPr>
          <w:color w:val="000000"/>
        </w:rPr>
        <w:t xml:space="preserve">, Источник № 2- </w:t>
      </w:r>
      <w:r>
        <w:rPr>
          <w:color w:val="000000"/>
        </w:rPr>
        <w:t xml:space="preserve">вх</w:t>
      </w:r>
      <w:r>
        <w:rPr>
          <w:color w:val="000000"/>
        </w:rPr>
        <w:t xml:space="preserve">. от </w:t>
      </w:r>
      <w:r>
        <w:rPr>
          <w:color w:val="212121"/>
          <w:shd w:val="clear" w:color="auto" w:fill="ffffff"/>
        </w:rPr>
        <w:t xml:space="preserve">17.07.2026 </w:t>
      </w:r>
      <w:r>
        <w:rPr>
          <w:color w:val="000000"/>
        </w:rPr>
        <w:t xml:space="preserve">№ </w:t>
      </w:r>
      <w:r>
        <w:rPr>
          <w:color w:val="212121"/>
          <w:shd w:val="clear" w:color="auto" w:fill="ffffff"/>
        </w:rPr>
        <w:t xml:space="preserve">18023 </w:t>
      </w:r>
      <w:r>
        <w:rPr>
          <w:color w:val="000000"/>
        </w:rPr>
        <w:t xml:space="preserve">и </w:t>
      </w:r>
      <w:r>
        <w:rPr>
          <w:color w:val="000000"/>
        </w:rPr>
        <w:br/>
        <w:t xml:space="preserve">Источник № 3 - </w:t>
      </w:r>
      <w:r>
        <w:rPr>
          <w:color w:val="000000"/>
        </w:rPr>
        <w:t xml:space="preserve">вх</w:t>
      </w:r>
      <w:r>
        <w:rPr>
          <w:color w:val="000000"/>
        </w:rPr>
        <w:t xml:space="preserve">. от 24</w:t>
      </w:r>
      <w:r>
        <w:rPr>
          <w:color w:val="212121"/>
          <w:shd w:val="clear" w:color="auto" w:fill="ffffff"/>
        </w:rPr>
        <w:t xml:space="preserve">.07.2026 </w:t>
      </w:r>
      <w:r>
        <w:rPr>
          <w:color w:val="000000"/>
        </w:rPr>
        <w:t xml:space="preserve">№ </w:t>
      </w:r>
      <w:r>
        <w:rPr>
          <w:color w:val="212121"/>
          <w:shd w:val="clear" w:color="auto" w:fill="ffffff"/>
        </w:rPr>
        <w:t xml:space="preserve">18448</w:t>
      </w:r>
      <w:r>
        <w:rPr>
          <w:color w:val="000000"/>
        </w:rPr>
        <w:t xml:space="preserve">.</w:t>
      </w:r>
      <w:r/>
    </w:p>
    <w:p>
      <w:pPr>
        <w:pStyle w:val="638"/>
        <w:spacing w:before="0" w:beforeAutospacing="0" w:after="0" w:afterAutospacing="0"/>
      </w:pPr>
      <w:r>
        <w:rPr>
          <w:color w:val="000000"/>
        </w:rPr>
        <w:t xml:space="preserve">НМЦК рассчитана по наименьшему коммерческому предложению, а именно: </w:t>
      </w:r>
      <w:r>
        <w:rPr>
          <w:color w:val="000000"/>
          <w:u w:val="single"/>
        </w:rPr>
        <w:t xml:space="preserve">КП</w:t>
      </w:r>
      <w:r>
        <w:rPr>
          <w:color w:val="000000"/>
          <w:u w:val="single"/>
        </w:rPr>
        <w:t xml:space="preserve">1</w:t>
      </w:r>
      <w:r/>
    </w:p>
    <w:p>
      <w:pPr>
        <w:rPr>
          <w:u w:val="single"/>
        </w:rPr>
      </w:pPr>
      <w:r>
        <w:rPr>
          <w:u w:val="single"/>
        </w:rPr>
      </w:r>
      <w:r>
        <w:rPr>
          <w:u w:val="single"/>
        </w:rPr>
      </w:r>
    </w:p>
    <w:tbl>
      <w:tblPr>
        <w:tblW w:w="4964" w:type="pct"/>
        <w:tblLayout w:type="fixed"/>
        <w:tblLook w:val="04A0" w:firstRow="1" w:lastRow="0" w:firstColumn="1" w:lastColumn="0" w:noHBand="0" w:noVBand="1"/>
      </w:tblPr>
      <w:tblGrid>
        <w:gridCol w:w="384"/>
        <w:gridCol w:w="1876"/>
        <w:gridCol w:w="992"/>
        <w:gridCol w:w="1133"/>
        <w:gridCol w:w="567"/>
        <w:gridCol w:w="1558"/>
        <w:gridCol w:w="1561"/>
        <w:gridCol w:w="1564"/>
        <w:gridCol w:w="1417"/>
        <w:gridCol w:w="1700"/>
        <w:gridCol w:w="1703"/>
      </w:tblGrid>
      <w:tr>
        <w:tblPrEx/>
        <w:trPr>
          <w:trHeight w:val="52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п/п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9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Наименование товара, работы, услуги по КТРУ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43" w:type="pct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Типовая принадлежность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Единица измерений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96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Кол-во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620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Ценовые значения анализа рынка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Коэф-нт</w:t>
            </w:r>
            <w:r>
              <w:rPr>
                <w:color w:val="000000"/>
                <w:sz w:val="20"/>
                <w:szCs w:val="20"/>
              </w:rPr>
              <w:t xml:space="preserve"> вариации (v)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8" w:type="pct"/>
            <w:vAlign w:val="center"/>
            <w:vMerge w:val="restart"/>
            <w:textDirection w:val="lrTb"/>
            <w:noWrap w:val="false"/>
          </w:tcPr>
          <w:p>
            <w:pPr>
              <w:pStyle w:val="638"/>
              <w:jc w:val="center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Минимальная цена за единицу (руб.)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89" w:type="pct"/>
            <w:vAlign w:val="center"/>
            <w:vMerge w:val="restart"/>
            <w:textDirection w:val="lrTb"/>
            <w:noWrap w:val="false"/>
          </w:tcPr>
          <w:p>
            <w:pPr>
              <w:pStyle w:val="638"/>
              <w:jc w:val="center"/>
              <w:spacing w:before="0" w:beforeAutospacing="0" w:after="0" w:afterAutospacing="0"/>
              <w:tabs>
                <w:tab w:val="left" w:pos="553" w:leader="none"/>
              </w:tabs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Итоговое значение НМЦК (ЦК) (руб.)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11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" w:type="pct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9" w:type="pct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43" w:type="pct"/>
            <w:vMerge w:val="continue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" w:type="pct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96" w:type="pct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Источник № 1 КП от </w:t>
            </w:r>
            <w:r>
              <w:rPr>
                <w:color w:val="212121"/>
                <w:sz w:val="20"/>
                <w:szCs w:val="20"/>
                <w:shd w:val="clear" w:color="auto" w:fill="ffffff"/>
              </w:rPr>
              <w:t xml:space="preserve">17.07.2026</w:t>
            </w:r>
            <w:r>
              <w:rPr>
                <w:color w:val="212121"/>
                <w:sz w:val="20"/>
                <w:szCs w:val="20"/>
                <w:shd w:val="clear" w:color="auto" w:fill="ffffff"/>
              </w:rPr>
              <w:br/>
            </w:r>
            <w:r>
              <w:rPr>
                <w:sz w:val="20"/>
                <w:szCs w:val="20"/>
              </w:rPr>
              <w:t xml:space="preserve">№ </w:t>
            </w:r>
            <w:r>
              <w:rPr>
                <w:color w:val="212121"/>
                <w:sz w:val="20"/>
                <w:szCs w:val="20"/>
                <w:shd w:val="clear" w:color="auto" w:fill="ffffff"/>
              </w:rPr>
              <w:t xml:space="preserve">17944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40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Источник № 2 КП от </w:t>
            </w:r>
            <w:r>
              <w:rPr>
                <w:color w:val="212121"/>
                <w:sz w:val="20"/>
                <w:szCs w:val="20"/>
                <w:shd w:val="clear" w:color="auto" w:fill="ffffff"/>
              </w:rPr>
              <w:t xml:space="preserve">17.07.2026</w:t>
            </w:r>
            <w:r>
              <w:rPr>
                <w:color w:val="212121"/>
                <w:sz w:val="20"/>
                <w:szCs w:val="20"/>
                <w:shd w:val="clear" w:color="auto" w:fill="ffffff"/>
              </w:rPr>
              <w:br/>
            </w:r>
            <w:r>
              <w:rPr>
                <w:sz w:val="20"/>
                <w:szCs w:val="20"/>
              </w:rPr>
              <w:t xml:space="preserve">№ </w:t>
            </w:r>
            <w:r>
              <w:rPr>
                <w:color w:val="212121"/>
                <w:sz w:val="20"/>
                <w:szCs w:val="20"/>
                <w:shd w:val="clear" w:color="auto" w:fill="ffffff"/>
              </w:rPr>
              <w:t xml:space="preserve">18023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41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Источник № 3 КП от </w:t>
            </w:r>
            <w:r>
              <w:rPr>
                <w:rFonts w:ascii="Times New Roman" w:hAnsi="Times New Roman" w:eastAsia="Times New Roman" w:cs="Times New Roman"/>
                <w:color w:val="212121"/>
                <w:sz w:val="20"/>
                <w:szCs w:val="20"/>
                <w:highlight w:val="white"/>
              </w:rPr>
              <w:t xml:space="preserve">24.07.2026</w:t>
            </w:r>
            <w:r>
              <w:rPr>
                <w:rFonts w:ascii="Times New Roman" w:hAnsi="Times New Roman" w:eastAsia="Times New Roman" w:cs="Times New Roman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№ </w:t>
            </w:r>
            <w:r>
              <w:rPr>
                <w:rFonts w:ascii="Times New Roman" w:hAnsi="Times New Roman" w:eastAsia="Times New Roman" w:cs="Times New Roman"/>
                <w:color w:val="212121"/>
                <w:sz w:val="20"/>
                <w:szCs w:val="20"/>
                <w:highlight w:val="white"/>
              </w:rPr>
              <w:t xml:space="preserve">18448</w:t>
            </w:r>
            <w:r>
              <w:rPr>
                <w:color w:val="212121"/>
                <w:sz w:val="20"/>
                <w:szCs w:val="20"/>
                <w:shd w:val="clear" w:color="auto" w:fill="ffffff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0" w:type="pct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8" w:type="pct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589" w:type="pct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7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" w:type="pct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9" w:type="pct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3" w:type="pct"/>
            <w:vMerge w:val="continue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" w:type="pct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96" w:type="pct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9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Цена за ед.(руб.)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40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Цена за ед.(руб.)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41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Цена за ед.(руб.)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0" w:type="pct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8" w:type="pct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9" w:type="pct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3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649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4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96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1620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0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8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</w:t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70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133" w:type="pct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9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Телефонный аппарат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43" w:type="pct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2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Шт.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6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39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1 600,00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40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1 650,00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41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1 800,00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90" w:type="pct"/>
            <w:vAlign w:val="center"/>
            <w:textDirection w:val="lrTb"/>
            <w:noWrap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6,18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8" w:type="pct"/>
            <w:vAlign w:val="center"/>
            <w:textDirection w:val="lrTb"/>
            <w:noWrap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1 600,00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" w:type="pct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160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000</w:t>
            </w:r>
            <w:r>
              <w:rPr>
                <w:b/>
                <w:bCs/>
                <w:sz w:val="20"/>
                <w:szCs w:val="20"/>
              </w:rPr>
              <w:t xml:space="preserve">,00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278"/>
        </w:trPr>
        <w:tc>
          <w:tcPr>
            <w:gridSpan w:val="1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11" w:type="pct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ИТОГО</w:t>
            </w: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 </w:t>
            </w: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89" w:type="pct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160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000</w:t>
            </w:r>
            <w:r>
              <w:rPr>
                <w:b/>
                <w:bCs/>
                <w:sz w:val="20"/>
                <w:szCs w:val="20"/>
              </w:rPr>
              <w:t xml:space="preserve">,00</w:t>
            </w:r>
            <w:r>
              <w:rPr>
                <w:b/>
                <w:bCs/>
                <w:sz w:val="20"/>
                <w:szCs w:val="20"/>
              </w:rPr>
            </w:r>
          </w:p>
        </w:tc>
      </w:tr>
    </w:tbl>
    <w:p>
      <w:pPr>
        <w:pStyle w:val="635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35"/>
        <w:ind w:left="0" w:firstLine="709"/>
        <w:jc w:val="both"/>
        <w:spacing w:after="0" w:line="240" w:lineRule="auto"/>
      </w:pPr>
      <w:r/>
      <w:r/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styleLink w:val="633"/>
    <w:lvl w:ilvl="0">
      <w:start w:val="1"/>
      <w:numFmt w:val="decimal"/>
      <w:pStyle w:val="630"/>
      <w:isLgl w:val="false"/>
      <w:suff w:val="space"/>
      <w:lvlText w:val="РАЗДЕЛ %1."/>
      <w:lvlJc w:val="left"/>
      <w:pPr>
        <w:ind w:left="0" w:firstLine="709"/>
      </w:pPr>
      <w:rPr>
        <w:rFonts w:hint="default" w:ascii="Times New Roman" w:hAnsi="Times New Roman"/>
        <w:sz w:val="24"/>
      </w:rPr>
    </w:lvl>
    <w:lvl w:ilvl="1">
      <w:start w:val="1"/>
      <w:numFmt w:val="decimal"/>
      <w:pStyle w:val="631"/>
      <w:isLgl w:val="false"/>
      <w:suff w:val="space"/>
      <w:lvlText w:val="%1.%2."/>
      <w:lvlJc w:val="left"/>
      <w:pPr>
        <w:ind w:left="0" w:firstLine="709"/>
      </w:pPr>
      <w:rPr>
        <w:rFonts w:hint="default" w:ascii="Times New Roman" w:hAnsi="Times New Roman"/>
        <w:sz w:val="24"/>
      </w:rPr>
    </w:lvl>
    <w:lvl w:ilvl="2">
      <w:start w:val="1"/>
      <w:numFmt w:val="decimal"/>
      <w:pStyle w:val="632"/>
      <w:isLgl w:val="false"/>
      <w:suff w:val="space"/>
      <w:lvlText w:val="%1.%2.%3."/>
      <w:lvlJc w:val="right"/>
      <w:pPr>
        <w:ind w:left="0" w:firstLine="709"/>
      </w:pPr>
      <w:rPr>
        <w:rFonts w:hint="default" w:ascii="Times New Roman" w:hAnsi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0" w:firstLine="709"/>
        <w:tabs>
          <w:tab w:val="num" w:pos="709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0" w:firstLine="709"/>
        <w:tabs>
          <w:tab w:val="num" w:pos="709" w:leader="none"/>
        </w:tabs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0" w:firstLine="709"/>
        <w:tabs>
          <w:tab w:val="num" w:pos="709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0" w:firstLine="709"/>
        <w:tabs>
          <w:tab w:val="num" w:pos="709" w:leader="none"/>
        </w:tabs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0" w:firstLine="709"/>
        <w:tabs>
          <w:tab w:val="num" w:pos="709" w:leader="none"/>
        </w:tabs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0" w:firstLine="709"/>
        <w:tabs>
          <w:tab w:val="num" w:pos="709" w:leader="none"/>
        </w:tabs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5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7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9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1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3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5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7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9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14" w:hanging="360"/>
      </w:pPr>
      <w:rPr>
        <w:rFonts w:hint="default" w:ascii="Wingdings" w:hAnsi="Wingdings"/>
      </w:rPr>
    </w:lvl>
  </w:abstractNum>
  <w:num w:numId="1">
    <w:abstractNumId w:val="2"/>
    <w:lvlOverride w:ilvl="0">
      <w:lvl w:ilvl="0">
        <w:start w:val="1"/>
        <w:numFmt w:val="decimal"/>
        <w:pStyle w:val="630"/>
        <w:isLgl w:val="false"/>
        <w:suff w:val="space"/>
        <w:lvlText w:val="%1."/>
        <w:lvlJc w:val="left"/>
        <w:pPr>
          <w:ind w:left="0" w:firstLine="709"/>
        </w:pPr>
        <w:rPr>
          <w:rFonts w:hint="default" w:ascii="Times New Roman" w:hAnsi="Times New Roman"/>
          <w:i w:val="0"/>
          <w:sz w:val="24"/>
        </w:rPr>
      </w:lvl>
    </w:lvlOverride>
    <w:lvlOverride w:ilvl="1">
      <w:lvl w:ilvl="1">
        <w:start w:val="1"/>
        <w:numFmt w:val="decimal"/>
        <w:pStyle w:val="631"/>
        <w:isLgl w:val="false"/>
        <w:suff w:val="space"/>
        <w:lvlText w:val="%1.%2."/>
        <w:lvlJc w:val="left"/>
        <w:pPr>
          <w:ind w:left="-709" w:firstLine="709"/>
        </w:pPr>
        <w:rPr>
          <w:rFonts w:hint="default" w:ascii="Times New Roman" w:hAnsi="Times New Roman"/>
          <w:sz w:val="24"/>
        </w:rPr>
      </w:lvl>
    </w:lvlOverride>
    <w:lvlOverride w:ilvl="2">
      <w:lvl w:ilvl="2">
        <w:start w:val="1"/>
        <w:numFmt w:val="decimal"/>
        <w:pStyle w:val="632"/>
        <w:isLgl w:val="false"/>
        <w:suff w:val="space"/>
        <w:lvlText w:val="%1.%2.%3."/>
        <w:lvlJc w:val="right"/>
        <w:pPr>
          <w:ind w:left="0" w:firstLine="709"/>
        </w:pPr>
        <w:rPr>
          <w:rFonts w:hint="default" w:ascii="Times New Roman" w:hAnsi="Times New Roman"/>
        </w:rPr>
      </w:lvl>
    </w:lvlOverride>
    <w:lvlOverride w:ilvl="3">
      <w:lvl w:ilvl="3">
        <w:start w:val="1"/>
        <w:numFmt w:val="decimal"/>
        <w:isLgl w:val="false"/>
        <w:suff w:val="tab"/>
        <w:lvlText w:val="%4."/>
        <w:lvlJc w:val="left"/>
        <w:pPr>
          <w:ind w:left="0" w:firstLine="709"/>
          <w:tabs>
            <w:tab w:val="num" w:pos="709" w:leader="none"/>
          </w:tabs>
        </w:pPr>
        <w:rPr>
          <w:rFonts w:hint="default"/>
        </w:rPr>
      </w:lvl>
    </w:lvlOverride>
    <w:lvlOverride w:ilvl="4">
      <w:lvl w:ilvl="4">
        <w:start w:val="1"/>
        <w:numFmt w:val="lowerLetter"/>
        <w:isLgl w:val="false"/>
        <w:suff w:val="tab"/>
        <w:lvlText w:val="%5."/>
        <w:lvlJc w:val="left"/>
        <w:pPr>
          <w:ind w:left="0" w:firstLine="709"/>
          <w:tabs>
            <w:tab w:val="num" w:pos="709" w:leader="none"/>
          </w:tabs>
        </w:pPr>
        <w:rPr>
          <w:rFonts w:hint="default"/>
        </w:rPr>
      </w:lvl>
    </w:lvlOverride>
    <w:lvlOverride w:ilvl="5">
      <w:lvl w:ilvl="5">
        <w:start w:val="1"/>
        <w:numFmt w:val="lowerRoman"/>
        <w:isLgl w:val="false"/>
        <w:suff w:val="tab"/>
        <w:lvlText w:val="%6."/>
        <w:lvlJc w:val="right"/>
        <w:pPr>
          <w:ind w:left="0" w:firstLine="709"/>
          <w:tabs>
            <w:tab w:val="num" w:pos="709" w:leader="none"/>
          </w:tabs>
        </w:pPr>
        <w:rPr>
          <w:rFonts w:hint="default"/>
        </w:rPr>
      </w:lvl>
    </w:lvlOverride>
    <w:lvlOverride w:ilvl="6">
      <w:lvl w:ilvl="6">
        <w:start w:val="1"/>
        <w:numFmt w:val="decimal"/>
        <w:isLgl w:val="false"/>
        <w:suff w:val="tab"/>
        <w:lvlText w:val="%7."/>
        <w:lvlJc w:val="left"/>
        <w:pPr>
          <w:ind w:left="0" w:firstLine="709"/>
          <w:tabs>
            <w:tab w:val="num" w:pos="709" w:leader="none"/>
          </w:tabs>
        </w:pPr>
        <w:rPr>
          <w:rFonts w:hint="default"/>
        </w:rPr>
      </w:lvl>
    </w:lvlOverride>
    <w:lvlOverride w:ilvl="7">
      <w:lvl w:ilvl="7">
        <w:start w:val="1"/>
        <w:numFmt w:val="lowerLetter"/>
        <w:isLgl w:val="false"/>
        <w:suff w:val="tab"/>
        <w:lvlText w:val="%8."/>
        <w:lvlJc w:val="left"/>
        <w:pPr>
          <w:ind w:left="0" w:firstLine="709"/>
          <w:tabs>
            <w:tab w:val="num" w:pos="709" w:leader="none"/>
          </w:tabs>
        </w:pPr>
        <w:rPr>
          <w:rFonts w:hint="default"/>
        </w:rPr>
      </w:lvl>
    </w:lvlOverride>
    <w:lvlOverride w:ilvl="8">
      <w:lvl w:ilvl="8">
        <w:start w:val="1"/>
        <w:numFmt w:val="lowerRoman"/>
        <w:isLgl w:val="false"/>
        <w:suff w:val="tab"/>
        <w:lvlText w:val="%9."/>
        <w:lvlJc w:val="right"/>
        <w:pPr>
          <w:ind w:left="0" w:firstLine="709"/>
          <w:tabs>
            <w:tab w:val="num" w:pos="709" w:leader="none"/>
          </w:tabs>
        </w:pPr>
        <w:rPr>
          <w:rFonts w:hint="default"/>
        </w:rPr>
      </w:lvl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6"/>
    <w:next w:val="62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7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6"/>
    <w:next w:val="62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6"/>
    <w:next w:val="62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6"/>
    <w:next w:val="62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6"/>
    <w:next w:val="62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6"/>
    <w:next w:val="62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6"/>
    <w:next w:val="62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6"/>
    <w:next w:val="62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6"/>
    <w:next w:val="62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6"/>
    <w:next w:val="62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7"/>
    <w:link w:val="34"/>
    <w:uiPriority w:val="10"/>
    <w:rPr>
      <w:sz w:val="48"/>
      <w:szCs w:val="48"/>
    </w:rPr>
  </w:style>
  <w:style w:type="paragraph" w:styleId="36">
    <w:name w:val="Subtitle"/>
    <w:basedOn w:val="626"/>
    <w:next w:val="62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7"/>
    <w:link w:val="36"/>
    <w:uiPriority w:val="11"/>
    <w:rPr>
      <w:sz w:val="24"/>
      <w:szCs w:val="24"/>
    </w:rPr>
  </w:style>
  <w:style w:type="paragraph" w:styleId="38">
    <w:name w:val="Quote"/>
    <w:basedOn w:val="626"/>
    <w:next w:val="62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6"/>
    <w:next w:val="62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7"/>
    <w:link w:val="42"/>
    <w:uiPriority w:val="99"/>
  </w:style>
  <w:style w:type="paragraph" w:styleId="44">
    <w:name w:val="Footer"/>
    <w:basedOn w:val="62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7"/>
    <w:link w:val="44"/>
    <w:uiPriority w:val="99"/>
  </w:style>
  <w:style w:type="paragraph" w:styleId="46">
    <w:name w:val="Caption"/>
    <w:basedOn w:val="626"/>
    <w:next w:val="62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7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7"/>
    <w:uiPriority w:val="99"/>
    <w:unhideWhenUsed/>
    <w:rPr>
      <w:vertAlign w:val="superscript"/>
    </w:rPr>
  </w:style>
  <w:style w:type="paragraph" w:styleId="178">
    <w:name w:val="endnote text"/>
    <w:basedOn w:val="62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7"/>
    <w:uiPriority w:val="99"/>
    <w:semiHidden/>
    <w:unhideWhenUsed/>
    <w:rPr>
      <w:vertAlign w:val="superscript"/>
    </w:rPr>
  </w:style>
  <w:style w:type="paragraph" w:styleId="181">
    <w:name w:val="toc 1"/>
    <w:basedOn w:val="626"/>
    <w:next w:val="62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6"/>
    <w:next w:val="62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6"/>
    <w:next w:val="62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6"/>
    <w:next w:val="62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6"/>
    <w:next w:val="62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6"/>
    <w:next w:val="62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6"/>
    <w:next w:val="62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6"/>
    <w:next w:val="62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6"/>
    <w:next w:val="62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6"/>
    <w:next w:val="626"/>
    <w:uiPriority w:val="99"/>
    <w:unhideWhenUsed/>
    <w:pPr>
      <w:spacing w:after="0" w:afterAutospacing="0"/>
    </w:pPr>
  </w:style>
  <w:style w:type="paragraph" w:styleId="626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7" w:default="1">
    <w:name w:val="Default Paragraph Font"/>
    <w:uiPriority w:val="1"/>
    <w:semiHidden/>
    <w:unhideWhenUsed/>
  </w:style>
  <w:style w:type="table" w:styleId="62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9" w:default="1">
    <w:name w:val="No List"/>
    <w:uiPriority w:val="99"/>
    <w:semiHidden/>
    <w:unhideWhenUsed/>
  </w:style>
  <w:style w:type="paragraph" w:styleId="630" w:customStyle="1">
    <w:name w:val="_Заг.1"/>
    <w:basedOn w:val="626"/>
    <w:next w:val="626"/>
    <w:qFormat/>
    <w:pPr>
      <w:numPr>
        <w:ilvl w:val="0"/>
        <w:numId w:val="1"/>
      </w:numPr>
      <w:contextualSpacing/>
      <w:jc w:val="both"/>
      <w:spacing w:line="288" w:lineRule="auto"/>
      <w:tabs>
        <w:tab w:val="left" w:pos="993" w:leader="none"/>
      </w:tabs>
    </w:pPr>
    <w:rPr>
      <w:b/>
    </w:rPr>
  </w:style>
  <w:style w:type="paragraph" w:styleId="631" w:customStyle="1">
    <w:name w:val="_Заг.2"/>
    <w:basedOn w:val="626"/>
    <w:next w:val="626"/>
    <w:link w:val="634"/>
    <w:qFormat/>
    <w:pPr>
      <w:numPr>
        <w:ilvl w:val="1"/>
        <w:numId w:val="1"/>
      </w:numPr>
      <w:contextualSpacing/>
      <w:ind w:left="1843"/>
      <w:jc w:val="both"/>
      <w:spacing w:before="120" w:line="288" w:lineRule="auto"/>
      <w:tabs>
        <w:tab w:val="left" w:pos="993" w:leader="none"/>
        <w:tab w:val="left" w:pos="1134" w:leader="none"/>
        <w:tab w:val="left" w:pos="1843" w:leader="none"/>
      </w:tabs>
    </w:pPr>
    <w:rPr>
      <w:b/>
    </w:rPr>
  </w:style>
  <w:style w:type="paragraph" w:styleId="632" w:customStyle="1">
    <w:name w:val="_Заг.3"/>
    <w:next w:val="626"/>
    <w:qFormat/>
    <w:pPr>
      <w:numPr>
        <w:ilvl w:val="2"/>
        <w:numId w:val="1"/>
      </w:numPr>
      <w:ind w:firstLine="1276"/>
      <w:jc w:val="both"/>
      <w:spacing w:after="0" w:line="240" w:lineRule="auto"/>
      <w:tabs>
        <w:tab w:val="left" w:pos="567" w:leader="none"/>
        <w:tab w:val="left" w:pos="709" w:leader="none"/>
        <w:tab w:val="left" w:pos="851" w:leader="none"/>
      </w:tabs>
      <w:outlineLvl w:val="2"/>
    </w:pPr>
    <w:rPr>
      <w:rFonts w:ascii="Times New Roman" w:hAnsi="Times New Roman" w:eastAsia="Times New Roman" w:cs="Arial"/>
      <w:bCs/>
      <w:iCs/>
      <w:sz w:val="24"/>
      <w:szCs w:val="24"/>
      <w:lang w:eastAsia="ru-RU"/>
    </w:rPr>
  </w:style>
  <w:style w:type="numbering" w:styleId="633" w:customStyle="1">
    <w:name w:val="ТЗ_1"/>
    <w:uiPriority w:val="99"/>
    <w:pPr>
      <w:numPr>
        <w:ilvl w:val="0"/>
        <w:numId w:val="4"/>
      </w:numPr>
    </w:pPr>
  </w:style>
  <w:style w:type="character" w:styleId="634" w:customStyle="1">
    <w:name w:val="_Заг.2 Знак"/>
    <w:basedOn w:val="627"/>
    <w:link w:val="631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635">
    <w:name w:val="List Paragraph"/>
    <w:basedOn w:val="626"/>
    <w:uiPriority w:val="34"/>
    <w:qFormat/>
    <w:pPr>
      <w:contextualSpacing/>
      <w:ind w:left="720"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636" w:customStyle="1">
    <w:name w:val="Font Style13"/>
    <w:uiPriority w:val="99"/>
    <w:qFormat/>
    <w:rPr>
      <w:rFonts w:ascii="Times New Roman" w:hAnsi="Times New Roman"/>
      <w:b/>
      <w:sz w:val="26"/>
    </w:rPr>
  </w:style>
  <w:style w:type="paragraph" w:styleId="637" w:customStyle="1">
    <w:name w:val="docdata"/>
    <w:basedOn w:val="626"/>
    <w:pPr>
      <w:spacing w:before="100" w:beforeAutospacing="1" w:after="100" w:afterAutospacing="1"/>
    </w:pPr>
  </w:style>
  <w:style w:type="paragraph" w:styleId="638">
    <w:name w:val="Normal (Web)"/>
    <w:basedOn w:val="626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Воробьев Максим Вадимович</dc:creator>
  <cp:lastModifiedBy>Двухжилов Дмитрий Юрьевич</cp:lastModifiedBy>
  <cp:revision>27</cp:revision>
  <dcterms:created xsi:type="dcterms:W3CDTF">2024-04-19T11:29:00Z</dcterms:created>
  <dcterms:modified xsi:type="dcterms:W3CDTF">2026-07-24T09:32:55Z</dcterms:modified>
</cp:coreProperties>
</file>