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center"/>
        <w:rPr>
          <w:sz w:val="24"/>
          <w:szCs w:val="24"/>
        </w:rPr>
      </w:pPr>
      <w:r>
        <w:rPr>
          <w:rFonts w:eastAsia="Calibri" w:ascii="PT Astra Serif" w:hAnsi="PT Astra Serif"/>
          <w:b/>
          <w:sz w:val="24"/>
          <w:szCs w:val="24"/>
          <w:lang w:eastAsia="en-US"/>
        </w:rPr>
        <w:t>Обоснование начальной (максимальной) цены контракта,</w:t>
      </w:r>
    </w:p>
    <w:p>
      <w:pPr>
        <w:pStyle w:val="Normal"/>
        <w:widowControl w:val="false"/>
        <w:spacing w:lineRule="auto" w:line="240" w:before="0" w:after="0"/>
        <w:contextualSpacing/>
        <w:jc w:val="center"/>
        <w:rPr>
          <w:rFonts w:ascii="PT Astra Serif" w:hAnsi="PT Astra Serif"/>
          <w:b/>
          <w:sz w:val="24"/>
          <w:szCs w:val="24"/>
          <w:lang w:eastAsia="en-US"/>
        </w:rPr>
      </w:pPr>
      <w:r>
        <w:rPr>
          <w:rFonts w:eastAsia="Calibri" w:ascii="PT Astra Serif" w:hAnsi="PT Astra Serif"/>
          <w:b/>
          <w:sz w:val="24"/>
          <w:szCs w:val="24"/>
          <w:lang w:eastAsia="en-US"/>
        </w:rPr>
        <w:t>начальных цен единиц товара, работы, услуги</w:t>
      </w:r>
    </w:p>
    <w:p>
      <w:pPr>
        <w:pStyle w:val="Normal"/>
        <w:jc w:val="center"/>
        <w:rPr/>
      </w:pPr>
      <w:r>
        <w:rPr>
          <w:rFonts w:eastAsia="Calibri" w:cs="PT Astra Serif" w:ascii="PT Astra Serif" w:hAnsi="PT Astra Serif"/>
          <w:b/>
          <w:i/>
          <w:color w:val="000000"/>
          <w:sz w:val="20"/>
          <w:szCs w:val="20"/>
          <w:u w:val="single"/>
          <w:shd w:fill="auto" w:val="clear"/>
        </w:rPr>
        <w:t xml:space="preserve">Система противопролежневая с надувным наматрасником с регулируемым давлением </w:t>
      </w:r>
      <w:r>
        <w:rPr>
          <w:rFonts w:eastAsia="Calibri" w:cs="PT Astra Serif" w:ascii="PT Astra Serif" w:hAnsi="PT Astra Serif"/>
          <w:b/>
          <w:i/>
          <w:color w:val="000000"/>
          <w:sz w:val="20"/>
          <w:szCs w:val="20"/>
          <w:u w:val="single"/>
          <w:shd w:fill="auto" w:val="clear"/>
          <w:lang w:val="en-US"/>
        </w:rPr>
        <w:t>(</w:t>
      </w:r>
      <w:r>
        <w:rPr>
          <w:rFonts w:eastAsia="Calibri" w:cs="PT Astra Serif" w:ascii="PT Astra Serif" w:hAnsi="PT Astra Serif"/>
          <w:b/>
          <w:i/>
          <w:color w:val="000000"/>
          <w:sz w:val="20"/>
          <w:szCs w:val="20"/>
          <w:u w:val="single"/>
          <w:shd w:fill="auto" w:val="clear"/>
          <w:lang w:val="ru-RU"/>
        </w:rPr>
        <w:t>Матрац противопролежневый</w:t>
      </w:r>
      <w:r>
        <w:rPr>
          <w:rFonts w:eastAsia="Calibri" w:cs="PT Astra Serif" w:ascii="PT Astra Serif" w:hAnsi="PT Astra Serif"/>
          <w:b/>
          <w:i/>
          <w:color w:val="000000"/>
          <w:sz w:val="20"/>
          <w:szCs w:val="20"/>
          <w:u w:val="single"/>
          <w:shd w:fill="auto" w:val="clear"/>
          <w:lang w:val="en-US"/>
        </w:rPr>
        <w:t>)</w:t>
      </w:r>
    </w:p>
    <w:tbl>
      <w:tblPr>
        <w:tblW w:w="15202" w:type="dxa"/>
        <w:jc w:val="left"/>
        <w:tblInd w:w="-5" w:type="dxa"/>
        <w:tblLayout w:type="fixed"/>
        <w:tblCellMar>
          <w:top w:w="0" w:type="dxa"/>
          <w:left w:w="28" w:type="dxa"/>
          <w:bottom w:w="0" w:type="dxa"/>
          <w:right w:w="28" w:type="dxa"/>
        </w:tblCellMar>
        <w:tblLook w:val="0000" w:firstRow="0" w:noVBand="0" w:lastRow="0" w:firstColumn="0" w:lastColumn="0" w:noHBand="0"/>
      </w:tblPr>
      <w:tblGrid>
        <w:gridCol w:w="1365"/>
        <w:gridCol w:w="1523"/>
        <w:gridCol w:w="12314"/>
      </w:tblGrid>
      <w:tr>
        <w:trPr>
          <w:trHeight w:val="116" w:hRule="atLeast"/>
        </w:trPr>
        <w:tc>
          <w:tcPr>
            <w:tcW w:w="2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 </w:t>
            </w:r>
            <w:r>
              <w:rPr>
                <w:rFonts w:ascii="PT Astra Serif" w:hAnsi="PT Astra Serif"/>
                <w:bCs/>
                <w:sz w:val="18"/>
                <w:szCs w:val="18"/>
              </w:rPr>
              <w:t>Основные характеристики объекта закупки</w:t>
            </w:r>
          </w:p>
        </w:tc>
        <w:tc>
          <w:tcPr>
            <w:tcW w:w="1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 соответствии с файлом «Описание объекта закупки»</w:t>
            </w:r>
          </w:p>
        </w:tc>
      </w:tr>
      <w:tr>
        <w:trPr>
          <w:trHeight w:val="232" w:hRule="atLeast"/>
        </w:trPr>
        <w:tc>
          <w:tcPr>
            <w:tcW w:w="2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57" w:right="57"/>
              <w:rPr>
                <w:rFonts w:ascii="PT Astra Serif" w:hAnsi="PT Astra Serif"/>
                <w:bCs/>
                <w:sz w:val="18"/>
                <w:szCs w:val="18"/>
              </w:rPr>
            </w:pPr>
            <w:r>
              <w:rPr>
                <w:rFonts w:ascii="PT Astra Serif" w:hAnsi="PT Astra Serif"/>
                <w:bCs/>
                <w:sz w:val="18"/>
                <w:szCs w:val="18"/>
              </w:rPr>
              <w:t>Используемый метод определения НМЦК с обоснованием:</w:t>
            </w:r>
          </w:p>
        </w:tc>
        <w:tc>
          <w:tcPr>
            <w:tcW w:w="1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PT Astra Serif" w:hAnsi="PT Astra Serif"/>
                <w:sz w:val="18"/>
                <w:szCs w:val="18"/>
                <w:shd w:fill="FFFFFF" w:val="clear"/>
              </w:rPr>
            </w:pPr>
            <w:r>
              <w:rPr>
                <w:rFonts w:ascii="PT Astra Serif" w:hAnsi="PT Astra Serif"/>
                <w:sz w:val="18"/>
                <w:szCs w:val="18"/>
                <w:shd w:fill="FFFFFF" w:val="clear"/>
              </w:rPr>
              <w:t>Иной метод: на основании  ч.12, ч.22 ст.22 Федерального закона от 05.04.2013 №44-ФЗ, Приказа Минздрава России от 15.05.2020 №450н «Об утверждении порядка определения начальной (максимальной) цены контракта, цены контракта, заключаемого с единственным поставщиком (подрядчиком, исполнителем), и начальной цены единицы товара, работы, услуги при осуществлении закупок медицинских изделий».</w:t>
            </w:r>
          </w:p>
        </w:tc>
      </w:tr>
      <w:tr>
        <w:trPr>
          <w:trHeight w:val="6840" w:hRule="atLeast"/>
        </w:trPr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57" w:right="57"/>
              <w:jc w:val="both"/>
              <w:rPr>
                <w:highlight w:val="none"/>
                <w:shd w:fill="FFFFFF" w:val="clear"/>
              </w:rPr>
            </w:pPr>
            <w:r>
              <w:rPr>
                <w:rFonts w:ascii="PT Astra Serif" w:hAnsi="PT Astra Serif"/>
                <w:bCs/>
                <w:sz w:val="18"/>
                <w:szCs w:val="18"/>
                <w:shd w:fill="FFFFFF" w:val="clear"/>
              </w:rPr>
              <w:t>Расчет</w:t>
            </w:r>
          </w:p>
        </w:tc>
        <w:tc>
          <w:tcPr>
            <w:tcW w:w="138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 w:left="0"/>
              <w:rPr>
                <w:highlight w:val="none"/>
                <w:shd w:fill="FFFFFF" w:val="clear"/>
              </w:rPr>
            </w:pPr>
            <w:r>
              <w:rPr>
                <w:rFonts w:ascii="PT Astra Serif" w:hAnsi="PT Astra Serif"/>
                <w:sz w:val="18"/>
                <w:szCs w:val="18"/>
                <w:shd w:fill="FFFFFF" w:val="clear"/>
              </w:rPr>
              <w:t>В соответствии с п. 12 Приказа Минздрава России от 15.05.2020 №450н расчет начальной цены единицы медицинского изделия, цены единицы медицинского изделия, для которого в эксплуатационной документации производителя (изготовителя) не предусмотрено использование расходных материалов и проведение технического обслуживания в период гарантийного срока его эксплуатации, осуществляется по формуле:</w:t>
            </w:r>
          </w:p>
          <w:p>
            <w:pPr>
              <w:pStyle w:val="Normal"/>
              <w:spacing w:lineRule="auto" w:line="240" w:before="0" w:after="0"/>
              <w:ind w:left="57"/>
              <w:rPr>
                <w:highlight w:val="none"/>
                <w:shd w:fill="FFFFFF" w:val="clear"/>
              </w:rPr>
            </w:pPr>
            <w:r>
              <w:rPr>
                <w:shd w:fill="FFFFFF" w:val="clear"/>
              </w:rPr>
              <w:drawing>
                <wp:inline distT="0" distB="0" distL="0" distR="0">
                  <wp:extent cx="1068705" cy="22415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8705" cy="2241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PT Astra Serif" w:hAnsi="PT Astra Serif"/>
                <w:sz w:val="18"/>
                <w:szCs w:val="18"/>
                <w:shd w:fill="FFFFFF" w:val="clear"/>
              </w:rPr>
              <w:t>где:</w:t>
            </w:r>
          </w:p>
          <w:p>
            <w:pPr>
              <w:pStyle w:val="Normal"/>
              <w:spacing w:lineRule="auto" w:line="240" w:before="0" w:after="0"/>
              <w:ind w:left="57"/>
              <w:rPr>
                <w:highlight w:val="none"/>
                <w:shd w:fill="FFFFFF" w:val="clear"/>
              </w:rPr>
            </w:pPr>
            <w:r>
              <w:rPr>
                <w:rFonts w:ascii="PT Astra Serif" w:hAnsi="PT Astra Serif"/>
                <w:sz w:val="18"/>
                <w:szCs w:val="18"/>
                <w:shd w:fill="FFFFFF" w:val="clear"/>
              </w:rPr>
              <w:t>НЦЕ – начальная цена единицы медицинского изделия, без учета НДС;</w:t>
            </w:r>
          </w:p>
          <w:p>
            <w:pPr>
              <w:pStyle w:val="Normal"/>
              <w:spacing w:lineRule="auto" w:line="240" w:before="0" w:after="0"/>
              <w:ind w:left="57"/>
              <w:rPr>
                <w:highlight w:val="none"/>
                <w:shd w:fill="FFFFFF" w:val="clear"/>
              </w:rPr>
            </w:pPr>
            <w:r>
              <w:rPr>
                <w:rFonts w:ascii="PT Astra Serif" w:hAnsi="PT Astra Serif"/>
                <w:sz w:val="18"/>
                <w:szCs w:val="18"/>
                <w:shd w:fill="FFFFFF" w:val="clear"/>
              </w:rPr>
              <w:t>ЦЕМ – цена едицины медицинского изделия, без учета НДС;</w:t>
            </w:r>
          </w:p>
          <w:p>
            <w:pPr>
              <w:pStyle w:val="Normal"/>
              <w:spacing w:lineRule="auto" w:line="240" w:before="0" w:after="0"/>
              <w:ind w:left="57"/>
              <w:rPr>
                <w:highlight w:val="none"/>
                <w:shd w:fill="FFFFFF" w:val="clear"/>
              </w:rPr>
            </w:pPr>
            <w:r>
              <w:rPr>
                <w:rFonts w:ascii="PT Astra Serif" w:hAnsi="PT Astra Serif"/>
                <w:sz w:val="18"/>
                <w:szCs w:val="18"/>
                <w:shd w:fill="FFFFFF" w:val="clear"/>
                <w:lang w:val="en-US"/>
              </w:rPr>
              <w:t>n</w:t>
            </w:r>
            <w:r>
              <w:rPr>
                <w:rFonts w:ascii="PT Astra Serif" w:hAnsi="PT Astra Serif"/>
                <w:sz w:val="18"/>
                <w:szCs w:val="18"/>
                <w:shd w:fill="FFFFFF" w:val="clear"/>
              </w:rPr>
              <w:t xml:space="preserve"> – количество значений информации о цене единицы </w:t>
            </w:r>
            <w:r>
              <w:rPr>
                <w:rFonts w:ascii="PT Astra Serif" w:hAnsi="PT Astra Serif"/>
                <w:sz w:val="18"/>
                <w:szCs w:val="18"/>
                <w:shd w:fill="FFFFFF" w:val="clear"/>
                <w:lang w:val="en-US"/>
              </w:rPr>
              <w:t>i</w:t>
            </w:r>
            <w:r>
              <w:rPr>
                <w:rFonts w:ascii="PT Astra Serif" w:hAnsi="PT Astra Serif"/>
                <w:sz w:val="18"/>
                <w:szCs w:val="18"/>
                <w:shd w:fill="FFFFFF" w:val="clear"/>
              </w:rPr>
              <w:t>-го медицинского изделия;</w:t>
            </w:r>
          </w:p>
          <w:p>
            <w:pPr>
              <w:pStyle w:val="Normal"/>
              <w:spacing w:lineRule="auto" w:line="240" w:before="0" w:after="0"/>
              <w:ind w:left="57"/>
              <w:rPr>
                <w:highlight w:val="none"/>
                <w:shd w:fill="FFFFFF" w:val="clear"/>
              </w:rPr>
            </w:pPr>
            <w:r>
              <w:rPr>
                <w:rFonts w:ascii="PT Astra Serif" w:hAnsi="PT Astra Serif"/>
                <w:sz w:val="18"/>
                <w:szCs w:val="18"/>
                <w:shd w:fill="FFFFFF" w:val="clear"/>
                <w:lang w:val="en-US"/>
              </w:rPr>
              <w:t>i</w:t>
            </w:r>
            <w:r>
              <w:rPr>
                <w:rFonts w:ascii="PT Astra Serif" w:hAnsi="PT Astra Serif"/>
                <w:sz w:val="18"/>
                <w:szCs w:val="18"/>
                <w:shd w:fill="FFFFFF" w:val="clear"/>
              </w:rPr>
              <w:t xml:space="preserve"> – номер информации о цене;</w:t>
            </w:r>
          </w:p>
          <w:p>
            <w:pPr>
              <w:pStyle w:val="Normal"/>
              <w:spacing w:lineRule="auto" w:line="240" w:before="0" w:after="0"/>
              <w:ind w:left="57"/>
              <w:rPr>
                <w:highlight w:val="none"/>
                <w:shd w:fill="FFFFFF" w:val="clear"/>
              </w:rPr>
            </w:pPr>
            <w:r>
              <w:rPr>
                <w:rFonts w:ascii="PT Astra Serif" w:hAnsi="PT Astra Serif"/>
                <w:sz w:val="18"/>
                <w:szCs w:val="18"/>
                <w:shd w:fill="FFFFFF" w:val="clear"/>
              </w:rPr>
              <w:t>ц</w:t>
            </w:r>
            <w:r>
              <w:rPr>
                <w:rFonts w:ascii="PT Astra Serif" w:hAnsi="PT Astra Serif"/>
                <w:sz w:val="18"/>
                <w:szCs w:val="18"/>
                <w:shd w:fill="FFFFFF" w:val="clear"/>
                <w:vertAlign w:val="subscript"/>
                <w:lang w:val="en-US"/>
              </w:rPr>
              <w:t>i</w:t>
            </w:r>
            <w:r>
              <w:rPr>
                <w:rFonts w:ascii="PT Astra Serif" w:hAnsi="PT Astra Serif"/>
                <w:sz w:val="18"/>
                <w:szCs w:val="18"/>
                <w:shd w:fill="FFFFFF" w:val="clear"/>
                <w:vertAlign w:val="subscript"/>
              </w:rPr>
              <w:t xml:space="preserve"> </w:t>
            </w:r>
            <w:r>
              <w:rPr>
                <w:rFonts w:ascii="PT Astra Serif" w:hAnsi="PT Astra Serif"/>
                <w:sz w:val="18"/>
                <w:szCs w:val="18"/>
                <w:shd w:fill="FFFFFF" w:val="clear"/>
              </w:rPr>
              <w:t xml:space="preserve">– цена единицы </w:t>
            </w:r>
            <w:r>
              <w:rPr>
                <w:rFonts w:ascii="PT Astra Serif" w:hAnsi="PT Astra Serif"/>
                <w:sz w:val="18"/>
                <w:szCs w:val="18"/>
                <w:shd w:fill="FFFFFF" w:val="clear"/>
                <w:lang w:val="en-US"/>
              </w:rPr>
              <w:t>i</w:t>
            </w:r>
            <w:r>
              <w:rPr>
                <w:rFonts w:ascii="PT Astra Serif" w:hAnsi="PT Astra Serif"/>
                <w:sz w:val="18"/>
                <w:szCs w:val="18"/>
                <w:shd w:fill="FFFFFF" w:val="clear"/>
              </w:rPr>
              <w:t>-го медицинского изделия, без учета НДС.</w:t>
            </w:r>
          </w:p>
          <w:p>
            <w:pPr>
              <w:pStyle w:val="Normal"/>
              <w:spacing w:lineRule="auto" w:line="240" w:before="0" w:after="0"/>
              <w:ind w:left="57"/>
              <w:rPr>
                <w:highlight w:val="none"/>
                <w:shd w:fill="FFFFFF" w:val="clear"/>
              </w:rPr>
            </w:pPr>
            <w:r>
              <w:rPr>
                <w:rFonts w:ascii="PT Astra Serif" w:hAnsi="PT Astra Serif"/>
                <w:sz w:val="18"/>
                <w:szCs w:val="18"/>
                <w:shd w:fill="FFFFFF" w:val="clear"/>
              </w:rPr>
              <w:t>В соответствии с п. 17 Приказа Минздрава России от 15.05.2020 №450н расчет начальной (максимальной) цены контракта (НМЦК), в том числе при осуществлении закупки у единственного поставщика (подрядчика, исполнителя), осуществляется по формуле:</w:t>
            </w:r>
          </w:p>
          <w:p>
            <w:pPr>
              <w:pStyle w:val="Normal"/>
              <w:spacing w:lineRule="auto" w:line="240" w:before="0" w:after="0"/>
              <w:ind w:left="57"/>
              <w:rPr>
                <w:rFonts w:ascii="PT Astra Serif" w:hAnsi="PT Astra Serif"/>
                <w:sz w:val="18"/>
                <w:szCs w:val="18"/>
                <w:highlight w:val="none"/>
                <w:shd w:fill="FFFFFF" w:val="clear"/>
              </w:rPr>
            </w:pPr>
            <w:r>
              <w:rPr>
                <w:rFonts w:ascii="PT Astra Serif" w:hAnsi="PT Astra Serif"/>
                <w:sz w:val="18"/>
                <w:szCs w:val="18"/>
                <w:shd w:fill="FFFFFF" w:val="clear"/>
              </w:rPr>
            </w:r>
          </w:p>
          <w:p>
            <w:pPr>
              <w:pStyle w:val="Normal"/>
              <w:spacing w:lineRule="auto" w:line="240" w:before="0" w:after="0"/>
              <w:ind w:left="57"/>
              <w:rPr>
                <w:highlight w:val="none"/>
                <w:shd w:fill="FFFFFF" w:val="clear"/>
              </w:rPr>
            </w:pPr>
            <w:r>
              <w:rPr>
                <w:shd w:fill="FFFFFF" w:val="clear"/>
              </w:rPr>
              <w:drawing>
                <wp:inline distT="0" distB="0" distL="0" distR="0">
                  <wp:extent cx="1768475" cy="176530"/>
                  <wp:effectExtent l="0" t="0" r="0" b="0"/>
                  <wp:docPr id="2" name="Изображение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Изображение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8475" cy="1765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PT Astra Serif" w:hAnsi="PT Astra Serif"/>
                <w:sz w:val="18"/>
                <w:szCs w:val="18"/>
                <w:shd w:fill="FFFFFF" w:val="clear"/>
              </w:rPr>
              <w:t>где:</w:t>
            </w:r>
          </w:p>
          <w:p>
            <w:pPr>
              <w:pStyle w:val="Normal"/>
              <w:spacing w:lineRule="auto" w:line="240" w:before="0" w:after="0"/>
              <w:ind w:left="57"/>
              <w:rPr>
                <w:highlight w:val="none"/>
                <w:shd w:fill="FFFFFF" w:val="clear"/>
              </w:rPr>
            </w:pPr>
            <w:r>
              <w:rPr>
                <w:rFonts w:ascii="PT Astra Serif" w:hAnsi="PT Astra Serif"/>
                <w:sz w:val="18"/>
                <w:szCs w:val="18"/>
                <w:shd w:fill="FFFFFF" w:val="clear"/>
                <w:lang w:val="en-US"/>
              </w:rPr>
              <w:t>n</w:t>
            </w:r>
            <w:r>
              <w:rPr>
                <w:rFonts w:ascii="PT Astra Serif" w:hAnsi="PT Astra Serif"/>
                <w:sz w:val="18"/>
                <w:szCs w:val="18"/>
                <w:shd w:fill="FFFFFF" w:val="clear"/>
              </w:rPr>
              <w:t>- количество позиций закупаемых медицинских изделий;</w:t>
            </w:r>
          </w:p>
          <w:p>
            <w:pPr>
              <w:pStyle w:val="Normal"/>
              <w:spacing w:lineRule="auto" w:line="240" w:before="0" w:after="0"/>
              <w:ind w:left="57"/>
              <w:rPr>
                <w:highlight w:val="none"/>
                <w:shd w:fill="FFFFFF" w:val="clear"/>
              </w:rPr>
            </w:pPr>
            <w:r>
              <w:rPr>
                <w:rFonts w:ascii="PT Astra Serif" w:hAnsi="PT Astra Serif"/>
                <w:sz w:val="18"/>
                <w:szCs w:val="18"/>
                <w:shd w:fill="FFFFFF" w:val="clear"/>
              </w:rPr>
              <w:t>НЦЕ</w:t>
            </w:r>
            <w:r>
              <w:rPr>
                <w:rFonts w:ascii="PT Astra Serif" w:hAnsi="PT Astra Serif"/>
                <w:sz w:val="18"/>
                <w:szCs w:val="18"/>
                <w:shd w:fill="FFFFFF" w:val="clear"/>
                <w:lang w:val="en-US"/>
              </w:rPr>
              <w:t>i</w:t>
            </w:r>
            <w:r>
              <w:rPr>
                <w:rFonts w:ascii="PT Astra Serif" w:hAnsi="PT Astra Serif"/>
                <w:sz w:val="18"/>
                <w:szCs w:val="18"/>
                <w:shd w:fill="FFFFFF" w:val="clear"/>
              </w:rPr>
              <w:t xml:space="preserve"> – начальная цена единицы </w:t>
            </w:r>
            <w:r>
              <w:rPr>
                <w:rFonts w:ascii="PT Astra Serif" w:hAnsi="PT Astra Serif"/>
                <w:sz w:val="18"/>
                <w:szCs w:val="18"/>
                <w:shd w:fill="FFFFFF" w:val="clear"/>
                <w:lang w:val="en-US"/>
              </w:rPr>
              <w:t>i</w:t>
            </w:r>
            <w:r>
              <w:rPr>
                <w:rFonts w:ascii="PT Astra Serif" w:hAnsi="PT Astra Serif"/>
                <w:sz w:val="18"/>
                <w:szCs w:val="18"/>
                <w:shd w:fill="FFFFFF" w:val="clear"/>
              </w:rPr>
              <w:t>-й позиции медицинского изделия, определяемая в соответствии с настоящим порядком (по применимости);</w:t>
            </w:r>
          </w:p>
          <w:p>
            <w:pPr>
              <w:pStyle w:val="Normal"/>
              <w:spacing w:lineRule="auto" w:line="240" w:before="0" w:after="0"/>
              <w:ind w:left="57"/>
              <w:rPr>
                <w:highlight w:val="none"/>
                <w:shd w:fill="FFFFFF" w:val="clear"/>
              </w:rPr>
            </w:pPr>
            <w:r>
              <w:rPr>
                <w:rFonts w:ascii="PT Astra Serif" w:hAnsi="PT Astra Serif"/>
                <w:sz w:val="18"/>
                <w:szCs w:val="18"/>
                <w:shd w:fill="FFFFFF" w:val="clear"/>
              </w:rPr>
              <w:t>НДС – налог на добавленную стоимость;</w:t>
            </w:r>
          </w:p>
          <w:p>
            <w:pPr>
              <w:pStyle w:val="Normal"/>
              <w:spacing w:lineRule="auto" w:line="240" w:before="0" w:after="0"/>
              <w:ind w:left="57"/>
              <w:jc w:val="both"/>
              <w:rPr>
                <w:highlight w:val="none"/>
                <w:shd w:fill="FFFFFF" w:val="clear"/>
              </w:rPr>
            </w:pPr>
            <w:r>
              <w:rPr>
                <w:rFonts w:ascii="PT Astra Serif" w:hAnsi="PT Astra Serif"/>
                <w:sz w:val="18"/>
                <w:szCs w:val="18"/>
                <w:shd w:fill="FFFFFF" w:val="clear"/>
                <w:lang w:val="en-US"/>
              </w:rPr>
              <w:t>Vi</w:t>
            </w:r>
            <w:r>
              <w:rPr>
                <w:rFonts w:ascii="PT Astra Serif" w:hAnsi="PT Astra Serif"/>
                <w:sz w:val="18"/>
                <w:szCs w:val="18"/>
                <w:shd w:fill="FFFFFF" w:val="clear"/>
              </w:rPr>
              <w:t xml:space="preserve"> – количество (объем) </w:t>
            </w:r>
            <w:r>
              <w:rPr>
                <w:rFonts w:ascii="PT Astra Serif" w:hAnsi="PT Astra Serif"/>
                <w:sz w:val="18"/>
                <w:szCs w:val="18"/>
                <w:shd w:fill="FFFFFF" w:val="clear"/>
                <w:lang w:val="en-US"/>
              </w:rPr>
              <w:t>i</w:t>
            </w:r>
            <w:r>
              <w:rPr>
                <w:rFonts w:ascii="PT Astra Serif" w:hAnsi="PT Astra Serif"/>
                <w:sz w:val="18"/>
                <w:szCs w:val="18"/>
                <w:shd w:fill="FFFFFF" w:val="clear"/>
              </w:rPr>
              <w:t>-й позиции закупаемого медицинского изделия.</w:t>
            </w:r>
          </w:p>
          <w:p>
            <w:pPr>
              <w:pStyle w:val="Normal"/>
              <w:spacing w:lineRule="auto" w:line="240" w:before="0" w:after="0"/>
              <w:ind w:left="57"/>
              <w:jc w:val="both"/>
              <w:rPr>
                <w:highlight w:val="none"/>
                <w:shd w:fill="FFFFFF" w:val="clear"/>
              </w:rPr>
            </w:pPr>
            <w:r>
              <w:rPr>
                <w:rFonts w:ascii="PT Astra Serif" w:hAnsi="PT Astra Serif"/>
                <w:sz w:val="20"/>
                <w:szCs w:val="20"/>
                <w:shd w:fill="FFFFFF" w:val="clear"/>
              </w:rPr>
              <w:t>Для формирования НМЦК было получено 3 коммерческих предложения на поставку товара.</w:t>
            </w:r>
          </w:p>
          <w:p>
            <w:pPr>
              <w:pStyle w:val="Normal"/>
              <w:spacing w:lineRule="auto" w:line="240" w:before="0" w:after="0"/>
              <w:ind w:left="57"/>
              <w:rPr>
                <w:highlight w:val="none"/>
                <w:shd w:fill="FFFFFF" w:val="clear"/>
              </w:rPr>
            </w:pPr>
            <w:r>
              <w:rPr>
                <w:rFonts w:ascii="PT Astra Serif" w:hAnsi="PT Astra Serif"/>
                <w:sz w:val="20"/>
                <w:szCs w:val="20"/>
                <w:shd w:fill="FFFFFF" w:val="clear"/>
              </w:rPr>
              <w:t xml:space="preserve">1) Поставщик №1 –  коммерческое предложение №  </w:t>
            </w:r>
            <w:r>
              <w:rPr>
                <w:rFonts w:ascii="PT Astra Serif" w:hAnsi="PT Astra Serif"/>
                <w:sz w:val="20"/>
                <w:szCs w:val="20"/>
                <w:shd w:fill="FFFFFF" w:val="clear"/>
              </w:rPr>
              <w:t xml:space="preserve">090/26 </w:t>
            </w:r>
            <w:r>
              <w:rPr>
                <w:rFonts w:ascii="PT Astra Serif" w:hAnsi="PT Astra Serif"/>
                <w:sz w:val="20"/>
                <w:szCs w:val="20"/>
                <w:shd w:fill="FFFFFF" w:val="clear"/>
              </w:rPr>
              <w:t xml:space="preserve">от </w:t>
            </w:r>
            <w:r>
              <w:rPr>
                <w:rFonts w:ascii="PT Astra Serif" w:hAnsi="PT Astra Serif"/>
                <w:sz w:val="20"/>
                <w:szCs w:val="20"/>
                <w:shd w:fill="FFFFFF" w:val="clear"/>
              </w:rPr>
              <w:t>31.07.2026</w:t>
            </w:r>
            <w:r>
              <w:rPr>
                <w:rFonts w:ascii="PT Astra Serif" w:hAnsi="PT Astra Serif"/>
                <w:sz w:val="20"/>
                <w:szCs w:val="20"/>
                <w:shd w:fill="FFFFFF" w:val="clear"/>
              </w:rPr>
              <w:t xml:space="preserve"> г. (Вход. № </w:t>
            </w:r>
            <w:r>
              <w:rPr>
                <w:rFonts w:ascii="PT Astra Serif" w:hAnsi="PT Astra Serif"/>
                <w:sz w:val="20"/>
                <w:szCs w:val="20"/>
                <w:shd w:fill="FFFFFF" w:val="clear"/>
              </w:rPr>
              <w:t xml:space="preserve">725 </w:t>
            </w:r>
            <w:r>
              <w:rPr>
                <w:rFonts w:ascii="PT Astra Serif" w:hAnsi="PT Astra Serif"/>
                <w:sz w:val="20"/>
                <w:szCs w:val="20"/>
                <w:shd w:fill="FFFFFF" w:val="clear"/>
              </w:rPr>
              <w:t xml:space="preserve">от </w:t>
            </w:r>
            <w:r>
              <w:rPr>
                <w:rFonts w:ascii="PT Astra Serif" w:hAnsi="PT Astra Serif"/>
                <w:sz w:val="20"/>
                <w:szCs w:val="20"/>
                <w:shd w:fill="FFFFFF" w:val="clear"/>
              </w:rPr>
              <w:t>31.07</w:t>
            </w:r>
            <w:r>
              <w:rPr>
                <w:rFonts w:ascii="PT Astra Serif" w:hAnsi="PT Astra Serif"/>
                <w:sz w:val="20"/>
                <w:szCs w:val="20"/>
                <w:shd w:fill="FFFFFF" w:val="clear"/>
              </w:rPr>
              <w:t xml:space="preserve">.2026 г.  в ответ на запрос исход. № </w:t>
            </w:r>
            <w:r>
              <w:rPr>
                <w:rFonts w:ascii="PT Astra Serif" w:hAnsi="PT Astra Serif"/>
                <w:sz w:val="20"/>
                <w:szCs w:val="20"/>
                <w:shd w:fill="FFFFFF" w:val="clear"/>
              </w:rPr>
              <w:t>2684</w:t>
            </w:r>
            <w:r>
              <w:rPr>
                <w:rFonts w:ascii="PT Astra Serif" w:hAnsi="PT Astra Serif"/>
                <w:sz w:val="20"/>
                <w:szCs w:val="20"/>
                <w:shd w:fill="FFFFFF" w:val="clear"/>
              </w:rPr>
              <w:t xml:space="preserve">/39-25 от </w:t>
            </w:r>
            <w:r>
              <w:rPr>
                <w:rFonts w:ascii="PT Astra Serif" w:hAnsi="PT Astra Serif"/>
                <w:sz w:val="20"/>
                <w:szCs w:val="20"/>
                <w:shd w:fill="FFFFFF" w:val="clear"/>
              </w:rPr>
              <w:t>31.07</w:t>
            </w:r>
            <w:r>
              <w:rPr>
                <w:rFonts w:ascii="PT Astra Serif" w:hAnsi="PT Astra Serif"/>
                <w:sz w:val="20"/>
                <w:szCs w:val="20"/>
                <w:shd w:fill="FFFFFF" w:val="clear"/>
              </w:rPr>
              <w:t>.2026 г.);</w:t>
            </w:r>
          </w:p>
          <w:p>
            <w:pPr>
              <w:pStyle w:val="Normal"/>
              <w:spacing w:lineRule="auto" w:line="240" w:before="0" w:after="0"/>
              <w:ind w:left="57"/>
              <w:rPr>
                <w:highlight w:val="none"/>
                <w:shd w:fill="FFFFFF" w:val="clear"/>
              </w:rPr>
            </w:pPr>
            <w:r>
              <w:rPr>
                <w:rFonts w:ascii="PT Astra Serif" w:hAnsi="PT Astra Serif"/>
                <w:sz w:val="20"/>
                <w:szCs w:val="20"/>
                <w:shd w:fill="FFFFFF" w:val="clear"/>
              </w:rPr>
              <w:t xml:space="preserve">2) Поставщик №2 -   коммерческое предложение №  </w:t>
            </w:r>
            <w:r>
              <w:rPr>
                <w:rFonts w:ascii="PT Astra Serif" w:hAnsi="PT Astra Serif"/>
                <w:sz w:val="20"/>
                <w:szCs w:val="20"/>
                <w:shd w:fill="FFFFFF" w:val="clear"/>
              </w:rPr>
              <w:t>202</w:t>
            </w:r>
            <w:r>
              <w:rPr>
                <w:rFonts w:ascii="PT Astra Serif" w:hAnsi="PT Astra Serif"/>
                <w:sz w:val="20"/>
                <w:szCs w:val="20"/>
                <w:shd w:fill="FFFFFF" w:val="clear"/>
              </w:rPr>
              <w:t xml:space="preserve"> от </w:t>
            </w:r>
            <w:r>
              <w:rPr>
                <w:rFonts w:ascii="PT Astra Serif" w:hAnsi="PT Astra Serif"/>
                <w:sz w:val="20"/>
                <w:szCs w:val="20"/>
                <w:shd w:fill="FFFFFF" w:val="clear"/>
              </w:rPr>
              <w:t>03.08</w:t>
            </w:r>
            <w:r>
              <w:rPr>
                <w:rFonts w:ascii="PT Astra Serif" w:hAnsi="PT Astra Serif"/>
                <w:sz w:val="20"/>
                <w:szCs w:val="20"/>
                <w:shd w:fill="FFFFFF" w:val="clear"/>
              </w:rPr>
              <w:t xml:space="preserve">.2026 г. (Вход. № </w:t>
            </w:r>
            <w:r>
              <w:rPr>
                <w:rFonts w:ascii="PT Astra Serif" w:hAnsi="PT Astra Serif"/>
                <w:sz w:val="20"/>
                <w:szCs w:val="20"/>
                <w:shd w:fill="FFFFFF" w:val="clear"/>
              </w:rPr>
              <w:t>732</w:t>
            </w:r>
            <w:r>
              <w:rPr>
                <w:rFonts w:ascii="PT Astra Serif" w:hAnsi="PT Astra Serif"/>
                <w:sz w:val="20"/>
                <w:szCs w:val="20"/>
                <w:shd w:fill="FFFFFF" w:val="clear"/>
              </w:rPr>
              <w:t xml:space="preserve"> от </w:t>
            </w:r>
            <w:r>
              <w:rPr>
                <w:rFonts w:ascii="PT Astra Serif" w:hAnsi="PT Astra Serif"/>
                <w:sz w:val="20"/>
                <w:szCs w:val="20"/>
                <w:shd w:fill="FFFFFF" w:val="clear"/>
              </w:rPr>
              <w:t>03.08.</w:t>
            </w:r>
            <w:r>
              <w:rPr>
                <w:rFonts w:ascii="PT Astra Serif" w:hAnsi="PT Astra Serif"/>
                <w:sz w:val="20"/>
                <w:szCs w:val="20"/>
                <w:shd w:fill="FFFFFF" w:val="clear"/>
              </w:rPr>
              <w:t>2026 г.  в ответ на запрос цен на ЕИС  № 03682000226260001</w:t>
            </w:r>
            <w:r>
              <w:rPr>
                <w:rFonts w:ascii="PT Astra Serif" w:hAnsi="PT Astra Serif"/>
                <w:sz w:val="20"/>
                <w:szCs w:val="20"/>
                <w:shd w:fill="FFFFFF" w:val="clear"/>
              </w:rPr>
              <w:t>17</w:t>
            </w:r>
            <w:r>
              <w:rPr>
                <w:rFonts w:ascii="PT Astra Serif" w:hAnsi="PT Astra Serif"/>
                <w:sz w:val="20"/>
                <w:szCs w:val="20"/>
                <w:shd w:fill="FFFFFF" w:val="clear"/>
              </w:rPr>
              <w:t xml:space="preserve"> (исход. № </w:t>
            </w:r>
            <w:r>
              <w:rPr>
                <w:rFonts w:ascii="PT Astra Serif" w:hAnsi="PT Astra Serif"/>
                <w:sz w:val="20"/>
                <w:szCs w:val="20"/>
                <w:shd w:fill="FFFFFF" w:val="clear"/>
              </w:rPr>
              <w:t>2707</w:t>
            </w:r>
            <w:r>
              <w:rPr>
                <w:rFonts w:ascii="PT Astra Serif" w:hAnsi="PT Astra Serif"/>
                <w:sz w:val="20"/>
                <w:szCs w:val="20"/>
                <w:shd w:fill="FFFFFF" w:val="clear"/>
              </w:rPr>
              <w:t xml:space="preserve">/39-25 от </w:t>
            </w:r>
            <w:r>
              <w:rPr>
                <w:rFonts w:ascii="PT Astra Serif" w:hAnsi="PT Astra Serif"/>
                <w:sz w:val="20"/>
                <w:szCs w:val="20"/>
                <w:shd w:fill="FFFFFF" w:val="clear"/>
              </w:rPr>
              <w:t>03.08</w:t>
            </w:r>
            <w:r>
              <w:rPr>
                <w:rFonts w:ascii="PT Astra Serif" w:hAnsi="PT Astra Serif"/>
                <w:sz w:val="20"/>
                <w:szCs w:val="20"/>
                <w:shd w:fill="FFFFFF" w:val="clear"/>
              </w:rPr>
              <w:t>.2026 г.);</w:t>
            </w:r>
          </w:p>
          <w:p>
            <w:pPr>
              <w:pStyle w:val="Normal"/>
              <w:spacing w:before="0" w:after="0"/>
              <w:ind w:left="57"/>
              <w:rPr>
                <w:rFonts w:ascii="PT Astra Serif" w:hAnsi="PT Astra Serif"/>
                <w:sz w:val="20"/>
                <w:szCs w:val="20"/>
                <w:highlight w:val="none"/>
                <w:shd w:fill="FFFFFF" w:val="clear"/>
              </w:rPr>
            </w:pPr>
            <w:r>
              <w:rPr>
                <w:rFonts w:ascii="PT Astra Serif" w:hAnsi="PT Astra Serif"/>
                <w:sz w:val="20"/>
                <w:szCs w:val="20"/>
                <w:shd w:fill="FFFFFF" w:val="clear"/>
              </w:rPr>
              <w:t>Принято к расчету информация из реестра контрактов https://zakupki.gov.ru:</w:t>
            </w:r>
          </w:p>
          <w:p>
            <w:pPr>
              <w:pStyle w:val="Normal"/>
              <w:spacing w:before="0" w:after="0"/>
              <w:ind w:left="57"/>
              <w:rPr>
                <w:rFonts w:ascii="PT Astra Serif" w:hAnsi="PT Astra Serif"/>
                <w:sz w:val="20"/>
                <w:szCs w:val="20"/>
                <w:highlight w:val="none"/>
                <w:shd w:fill="FFFFFF" w:val="clear"/>
              </w:rPr>
            </w:pPr>
            <w:r>
              <w:rPr>
                <w:rFonts w:ascii="PT Astra Serif" w:hAnsi="PT Astra Serif"/>
                <w:sz w:val="20"/>
                <w:szCs w:val="20"/>
                <w:shd w:fill="FFFFFF" w:val="clear"/>
              </w:rPr>
              <w:t>3) Поставщик № 3 - Реестровый номер контракта в ЕИС №  2525400644626000006;</w:t>
            </w:r>
          </w:p>
          <w:p>
            <w:pPr>
              <w:pStyle w:val="Normal"/>
              <w:spacing w:lineRule="auto" w:line="240" w:before="0" w:after="0"/>
              <w:ind w:left="57"/>
              <w:rPr>
                <w:highlight w:val="none"/>
                <w:shd w:fill="FFFFFF" w:val="clear"/>
              </w:rPr>
            </w:pPr>
            <w:r>
              <w:rPr>
                <w:rFonts w:ascii="PT Astra Serif" w:hAnsi="PT Astra Serif"/>
                <w:sz w:val="20"/>
                <w:szCs w:val="20"/>
                <w:shd w:fill="FFFFFF" w:val="clear"/>
              </w:rPr>
              <w:t>Применение корректирующих коэффициентов не требуется.</w:t>
            </w:r>
          </w:p>
          <w:p>
            <w:pPr>
              <w:pStyle w:val="Normal"/>
              <w:spacing w:lineRule="auto" w:line="240" w:before="0" w:after="0"/>
              <w:ind w:left="57"/>
              <w:rPr>
                <w:sz w:val="20"/>
                <w:szCs w:val="20"/>
                <w:highlight w:val="none"/>
                <w:shd w:fill="FFFFFF" w:val="clear"/>
              </w:rPr>
            </w:pPr>
            <w:r>
              <w:rPr>
                <w:sz w:val="20"/>
                <w:szCs w:val="20"/>
                <w:shd w:fill="FFFFFF" w:val="clear"/>
              </w:rPr>
            </w:r>
          </w:p>
          <w:tbl>
            <w:tblPr>
              <w:tblpPr w:vertAnchor="text" w:horzAnchor="margin" w:tblpXSpec="center" w:leftFromText="180" w:rightFromText="180" w:tblpY="-171"/>
              <w:tblOverlap w:val="never"/>
              <w:tblW w:w="13455" w:type="dxa"/>
              <w:jc w:val="center"/>
              <w:tblInd w:w="0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  <w:tblLook w:val="0000" w:firstRow="0" w:noVBand="0" w:lastRow="0" w:firstColumn="0" w:lastColumn="0" w:noHBand="0"/>
            </w:tblPr>
            <w:tblGrid>
              <w:gridCol w:w="425"/>
              <w:gridCol w:w="1555"/>
              <w:gridCol w:w="570"/>
              <w:gridCol w:w="510"/>
              <w:gridCol w:w="1245"/>
              <w:gridCol w:w="1080"/>
              <w:gridCol w:w="1695"/>
              <w:gridCol w:w="1305"/>
              <w:gridCol w:w="690"/>
              <w:gridCol w:w="1020"/>
              <w:gridCol w:w="1860"/>
              <w:gridCol w:w="1500"/>
            </w:tblGrid>
            <w:tr>
              <w:trPr>
                <w:trHeight w:val="20" w:hRule="atLeast"/>
              </w:trPr>
              <w:tc>
                <w:tcPr>
                  <w:tcW w:w="425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bCs/>
                      <w:sz w:val="20"/>
                      <w:szCs w:val="20"/>
                    </w:rPr>
                  </w:pPr>
                  <w:r>
                    <w:rPr>
                      <w:bCs/>
                      <w:sz w:val="20"/>
                      <w:szCs w:val="20"/>
                    </w:rPr>
                    <w:t xml:space="preserve">№ </w:t>
                  </w:r>
                  <w:r>
                    <w:rPr>
                      <w:bCs/>
                      <w:sz w:val="20"/>
                      <w:szCs w:val="20"/>
                    </w:rPr>
                    <w:t>п/п</w:t>
                  </w:r>
                </w:p>
              </w:tc>
              <w:tc>
                <w:tcPr>
                  <w:tcW w:w="1555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Наименование товара</w:t>
                  </w:r>
                </w:p>
              </w:tc>
              <w:tc>
                <w:tcPr>
                  <w:tcW w:w="570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Кол-во</w:t>
                  </w:r>
                </w:p>
              </w:tc>
              <w:tc>
                <w:tcPr>
                  <w:tcW w:w="510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Ед. изм.</w:t>
                  </w:r>
                </w:p>
              </w:tc>
              <w:tc>
                <w:tcPr>
                  <w:tcW w:w="12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bCs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Пост. №1</w:t>
                  </w:r>
                </w:p>
              </w:tc>
              <w:tc>
                <w:tcPr>
                  <w:tcW w:w="10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bCs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Пост. №2</w:t>
                  </w:r>
                </w:p>
              </w:tc>
              <w:tc>
                <w:tcPr>
                  <w:tcW w:w="16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bCs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Пост. №3</w:t>
                  </w:r>
                </w:p>
              </w:tc>
              <w:tc>
                <w:tcPr>
                  <w:tcW w:w="1305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Начальная цена единицы МИ, (руб.)</w:t>
                  </w:r>
                </w:p>
              </w:tc>
              <w:tc>
                <w:tcPr>
                  <w:tcW w:w="690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НДС,%</w:t>
                  </w:r>
                </w:p>
              </w:tc>
              <w:tc>
                <w:tcPr>
                  <w:tcW w:w="1020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bCs/>
                      <w:sz w:val="20"/>
                      <w:szCs w:val="20"/>
                    </w:rPr>
                  </w:pPr>
                  <w:r>
                    <w:rPr>
                      <w:bCs/>
                      <w:sz w:val="20"/>
                      <w:szCs w:val="20"/>
                    </w:rPr>
                    <w:t>Коэф.</w:t>
                  </w:r>
                </w:p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bCs/>
                      <w:sz w:val="20"/>
                      <w:szCs w:val="20"/>
                    </w:rPr>
                  </w:pPr>
                  <w:r>
                    <w:rPr>
                      <w:bCs/>
                      <w:sz w:val="20"/>
                      <w:szCs w:val="20"/>
                    </w:rPr>
                    <w:t>вариации</w:t>
                  </w:r>
                </w:p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bCs/>
                      <w:sz w:val="20"/>
                      <w:szCs w:val="20"/>
                    </w:rPr>
                  </w:pPr>
                  <w:r>
                    <w:rPr>
                      <w:bCs/>
                      <w:sz w:val="20"/>
                      <w:szCs w:val="20"/>
                    </w:rPr>
                    <w:t>цены, %</w:t>
                  </w:r>
                </w:p>
              </w:tc>
              <w:tc>
                <w:tcPr>
                  <w:tcW w:w="1860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Spacing"/>
                    <w:jc w:val="center"/>
                    <w:rPr>
                      <w:rFonts w:ascii="Times New Roman" w:hAnsi="Times New Roman" w:eastAsia="BatangChe"/>
                      <w:b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 xml:space="preserve">НЦЕ сниж. </w:t>
                  </w:r>
                  <w:r>
                    <w:rPr>
                      <w:rFonts w:ascii="Times New Roman" w:hAnsi="Times New Roman"/>
                      <w:bCs/>
                      <w:sz w:val="18"/>
                      <w:szCs w:val="18"/>
                    </w:rPr>
                    <w:t xml:space="preserve">по </w:t>
                  </w:r>
                  <w:r>
                    <w:rPr>
                      <w:rFonts w:eastAsia="BatangChe" w:ascii="Times New Roman" w:hAnsi="Times New Roman"/>
                      <w:sz w:val="18"/>
                      <w:szCs w:val="18"/>
                    </w:rPr>
                    <w:t>п. 18</w:t>
                  </w:r>
                </w:p>
                <w:p>
                  <w:pPr>
                    <w:pStyle w:val="NoSpacing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Приказа МЗ РФ</w:t>
                  </w:r>
                </w:p>
                <w:p>
                  <w:pPr>
                    <w:pStyle w:val="NoSpacing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от 15.05.2020г.</w:t>
                  </w:r>
                </w:p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bCs/>
                      <w:sz w:val="20"/>
                      <w:szCs w:val="20"/>
                    </w:rPr>
                  </w:pPr>
                  <w:r>
                    <w:rPr>
                      <w:sz w:val="18"/>
                      <w:szCs w:val="18"/>
                    </w:rPr>
                    <w:t>№</w:t>
                  </w:r>
                  <w:r>
                    <w:rPr>
                      <w:sz w:val="18"/>
                      <w:szCs w:val="18"/>
                    </w:rPr>
                    <w:t>450н</w:t>
                  </w:r>
                  <w:r>
                    <w:rPr>
                      <w:bCs/>
                      <w:sz w:val="18"/>
                      <w:szCs w:val="18"/>
                    </w:rPr>
                    <w:t>, руб.</w:t>
                  </w:r>
                </w:p>
              </w:tc>
              <w:tc>
                <w:tcPr>
                  <w:tcW w:w="1500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Spacing"/>
                    <w:jc w:val="center"/>
                    <w:rPr>
                      <w:rFonts w:ascii="Times New Roman" w:hAnsi="Times New Roman" w:eastAsia="BatangChe"/>
                      <w:b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bCs/>
                      <w:sz w:val="18"/>
                      <w:szCs w:val="18"/>
                    </w:rPr>
                    <w:t xml:space="preserve">НМЦК по </w:t>
                  </w:r>
                  <w:r>
                    <w:rPr>
                      <w:rFonts w:eastAsia="BatangChe" w:ascii="Times New Roman" w:hAnsi="Times New Roman"/>
                      <w:sz w:val="18"/>
                      <w:szCs w:val="18"/>
                    </w:rPr>
                    <w:t>п. 18</w:t>
                  </w:r>
                </w:p>
                <w:p>
                  <w:pPr>
                    <w:pStyle w:val="NoSpacing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Приказа МЗ РФ</w:t>
                  </w:r>
                </w:p>
                <w:p>
                  <w:pPr>
                    <w:pStyle w:val="NoSpacing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от 15.05.2020г.</w:t>
                  </w:r>
                </w:p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bCs/>
                      <w:sz w:val="20"/>
                      <w:szCs w:val="20"/>
                    </w:rPr>
                  </w:pPr>
                  <w:r>
                    <w:rPr>
                      <w:sz w:val="18"/>
                      <w:szCs w:val="18"/>
                    </w:rPr>
                    <w:t>№</w:t>
                  </w:r>
                  <w:r>
                    <w:rPr>
                      <w:sz w:val="18"/>
                      <w:szCs w:val="18"/>
                    </w:rPr>
                    <w:t>450н</w:t>
                  </w:r>
                  <w:r>
                    <w:rPr>
                      <w:bCs/>
                      <w:sz w:val="18"/>
                      <w:szCs w:val="18"/>
                    </w:rPr>
                    <w:t>, руб.</w:t>
                  </w:r>
                </w:p>
              </w:tc>
            </w:tr>
            <w:tr>
              <w:trPr>
                <w:trHeight w:val="719" w:hRule="atLeast"/>
              </w:trPr>
              <w:tc>
                <w:tcPr>
                  <w:tcW w:w="425" w:type="dxa"/>
                  <w:vMerge w:val="continue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bCs/>
                      <w:sz w:val="20"/>
                      <w:szCs w:val="20"/>
                    </w:rPr>
                  </w:pPr>
                  <w:r>
                    <w:rPr>
                      <w:bCs/>
                      <w:sz w:val="20"/>
                      <w:szCs w:val="20"/>
                    </w:rPr>
                  </w:r>
                </w:p>
              </w:tc>
              <w:tc>
                <w:tcPr>
                  <w:tcW w:w="1555" w:type="dxa"/>
                  <w:vMerge w:val="continue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bCs/>
                      <w:sz w:val="20"/>
                      <w:szCs w:val="20"/>
                    </w:rPr>
                  </w:pPr>
                  <w:r>
                    <w:rPr>
                      <w:bCs/>
                      <w:sz w:val="20"/>
                      <w:szCs w:val="20"/>
                    </w:rPr>
                  </w:r>
                </w:p>
              </w:tc>
              <w:tc>
                <w:tcPr>
                  <w:tcW w:w="570" w:type="dxa"/>
                  <w:vMerge w:val="continue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bCs/>
                      <w:sz w:val="20"/>
                      <w:szCs w:val="20"/>
                    </w:rPr>
                  </w:pPr>
                  <w:r>
                    <w:rPr>
                      <w:bCs/>
                      <w:sz w:val="20"/>
                      <w:szCs w:val="20"/>
                    </w:rPr>
                  </w:r>
                </w:p>
              </w:tc>
              <w:tc>
                <w:tcPr>
                  <w:tcW w:w="510" w:type="dxa"/>
                  <w:vMerge w:val="continue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bCs/>
                      <w:sz w:val="20"/>
                      <w:szCs w:val="20"/>
                    </w:rPr>
                  </w:pPr>
                  <w:r>
                    <w:rPr>
                      <w:bCs/>
                      <w:sz w:val="20"/>
                      <w:szCs w:val="20"/>
                    </w:rPr>
                  </w:r>
                </w:p>
              </w:tc>
              <w:tc>
                <w:tcPr>
                  <w:tcW w:w="12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bCs/>
                      <w:sz w:val="20"/>
                      <w:szCs w:val="20"/>
                    </w:rPr>
                  </w:pPr>
                  <w:r>
                    <w:rPr>
                      <w:bCs/>
                      <w:sz w:val="20"/>
                      <w:szCs w:val="20"/>
                    </w:rPr>
                    <w:t>ЦЕМ, руб.</w:t>
                  </w:r>
                </w:p>
              </w:tc>
              <w:tc>
                <w:tcPr>
                  <w:tcW w:w="10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bCs/>
                      <w:sz w:val="20"/>
                      <w:szCs w:val="20"/>
                    </w:rPr>
                  </w:pPr>
                  <w:r>
                    <w:rPr>
                      <w:bCs/>
                      <w:sz w:val="20"/>
                      <w:szCs w:val="20"/>
                    </w:rPr>
                    <w:t>ЦЕМ, руб.</w:t>
                  </w:r>
                </w:p>
              </w:tc>
              <w:tc>
                <w:tcPr>
                  <w:tcW w:w="16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bCs/>
                      <w:sz w:val="20"/>
                      <w:szCs w:val="20"/>
                    </w:rPr>
                  </w:pPr>
                  <w:r>
                    <w:rPr>
                      <w:bCs/>
                      <w:sz w:val="20"/>
                      <w:szCs w:val="20"/>
                    </w:rPr>
                    <w:t>ЦЕМ, руб.</w:t>
                  </w:r>
                </w:p>
              </w:tc>
              <w:tc>
                <w:tcPr>
                  <w:tcW w:w="1305" w:type="dxa"/>
                  <w:vMerge w:val="continue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bCs/>
                      <w:sz w:val="20"/>
                      <w:szCs w:val="20"/>
                    </w:rPr>
                  </w:pPr>
                  <w:r>
                    <w:rPr>
                      <w:bCs/>
                      <w:sz w:val="20"/>
                      <w:szCs w:val="20"/>
                    </w:rPr>
                  </w:r>
                </w:p>
              </w:tc>
              <w:tc>
                <w:tcPr>
                  <w:tcW w:w="690" w:type="dxa"/>
                  <w:vMerge w:val="continue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bCs/>
                      <w:sz w:val="20"/>
                      <w:szCs w:val="20"/>
                    </w:rPr>
                  </w:pPr>
                  <w:r>
                    <w:rPr>
                      <w:bCs/>
                      <w:sz w:val="20"/>
                      <w:szCs w:val="20"/>
                    </w:rPr>
                  </w:r>
                </w:p>
              </w:tc>
              <w:tc>
                <w:tcPr>
                  <w:tcW w:w="1020" w:type="dxa"/>
                  <w:vMerge w:val="continue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bCs/>
                      <w:sz w:val="20"/>
                      <w:szCs w:val="20"/>
                    </w:rPr>
                  </w:pPr>
                  <w:r>
                    <w:rPr>
                      <w:bCs/>
                      <w:sz w:val="20"/>
                      <w:szCs w:val="20"/>
                    </w:rPr>
                  </w:r>
                </w:p>
              </w:tc>
              <w:tc>
                <w:tcPr>
                  <w:tcW w:w="1860" w:type="dxa"/>
                  <w:vMerge w:val="continue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bCs/>
                      <w:sz w:val="20"/>
                      <w:szCs w:val="20"/>
                    </w:rPr>
                  </w:pPr>
                  <w:r>
                    <w:rPr>
                      <w:bCs/>
                      <w:sz w:val="20"/>
                      <w:szCs w:val="20"/>
                    </w:rPr>
                  </w:r>
                </w:p>
              </w:tc>
              <w:tc>
                <w:tcPr>
                  <w:tcW w:w="1500" w:type="dxa"/>
                  <w:vMerge w:val="continue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bCs/>
                      <w:sz w:val="20"/>
                      <w:szCs w:val="20"/>
                    </w:rPr>
                  </w:pPr>
                  <w:r>
                    <w:rPr>
                      <w:bCs/>
                      <w:sz w:val="20"/>
                      <w:szCs w:val="20"/>
                    </w:rPr>
                  </w:r>
                </w:p>
              </w:tc>
            </w:tr>
            <w:tr>
              <w:trPr>
                <w:trHeight w:val="1295" w:hRule="atLeast"/>
              </w:trPr>
              <w:tc>
                <w:tcPr>
                  <w:tcW w:w="4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</w:t>
                  </w:r>
                </w:p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mc:AlternateContent>
                      <mc:Choice Requires="wps">
                        <w:drawing>
                          <wp:anchor distT="0" distB="0" distL="0" distR="0" simplePos="0" relativeHeight="6" behindDoc="0" locked="0" layoutInCell="1" allowOverlap="1">
                            <wp:simplePos x="0" y="0"/>
                            <wp:positionH relativeFrom="column">
                              <wp:posOffset>3409315</wp:posOffset>
                            </wp:positionH>
                            <wp:positionV relativeFrom="paragraph">
                              <wp:posOffset>273050</wp:posOffset>
                            </wp:positionV>
                            <wp:extent cx="1000125" cy="6350"/>
                            <wp:effectExtent l="635" t="635" r="635" b="635"/>
                            <wp:wrapNone/>
                            <wp:docPr id="3" name="Линия 1"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 flipV="1">
                                      <a:off x="0" y="0"/>
                                      <a:ext cx="1000080" cy="6480"/>
                                    </a:xfrm>
                                    <a:prstGeom prst="line">
                                      <a:avLst/>
                                    </a:prstGeom>
                                    <a:ln w="0">
                                      <a:solidFill>
                                        <a:srgbClr val="3465A4"/>
                                      </a:solidFill>
                                    </a:ln>
                                  </wps:spPr>
                                  <wps:style>
                                    <a:lnRef idx="0"/>
                                    <a:fillRef idx="0"/>
                                    <a:effectRef idx="0"/>
                                    <a:fontRef idx="minor"/>
                                  </wps:style>
                                  <wps:bodyPr/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line id="shape_0" from="268.45pt,21.5pt" to="347.15pt,21.95pt" stroked="t" o:allowincell="f" style="position:absolute;flip:y">
                            <v:stroke color="#3465a4" joinstyle="round" endcap="flat"/>
                            <v:fill o:detectmouseclick="t" on="false"/>
                            <w10:wrap type="none"/>
                          </v:line>
                        </w:pict>
                      </mc:Fallback>
                    </mc:AlternateContent>
                  </w:r>
                </w:p>
              </w:tc>
              <w:tc>
                <w:tcPr>
                  <w:tcW w:w="15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Spacing"/>
                    <w:rPr>
                      <w:rFonts w:ascii="PT Astra Serif" w:hAnsi="PT Astra Serif"/>
                      <w:sz w:val="18"/>
                      <w:szCs w:val="16"/>
                    </w:rPr>
                  </w:pPr>
                  <w:r>
                    <w:rPr>
                      <w:rFonts w:ascii="PT Astra Serif" w:hAnsi="PT Astra Serif"/>
                      <w:sz w:val="18"/>
                      <w:szCs w:val="16"/>
                      <w:shd w:fill="FFFFFF" w:val="clear"/>
                      <w:lang w:eastAsia="en-US"/>
                    </w:rPr>
                    <w:t xml:space="preserve">Система противопролежневая с надувным наматрасником с регулируемым давлением </w:t>
                  </w:r>
                </w:p>
              </w:tc>
              <w:tc>
                <w:tcPr>
                  <w:tcW w:w="57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5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шт</w:t>
                  </w:r>
                </w:p>
              </w:tc>
              <w:tc>
                <w:tcPr>
                  <w:tcW w:w="12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widowControl/>
                    <w:suppressAutoHyphens w:val="true"/>
                    <w:bidi w:val="0"/>
                    <w:spacing w:lineRule="auto" w:line="240" w:before="0" w:after="0"/>
                    <w:ind w:hanging="0" w:left="0" w:right="0"/>
                    <w:jc w:val="center"/>
                    <w:rPr>
                      <w:highlight w:val="none"/>
                      <w:shd w:fill="FFFFFF" w:val="clear"/>
                    </w:rPr>
                  </w:pPr>
                  <w:r>
                    <w:rPr>
                      <w:sz w:val="20"/>
                      <w:szCs w:val="20"/>
                      <w:shd w:fill="FFFFFF" w:val="clear"/>
                    </w:rPr>
                    <w:t>9 9</w:t>
                  </w:r>
                  <w:r>
                    <w:rPr>
                      <w:sz w:val="20"/>
                      <w:szCs w:val="20"/>
                      <w:shd w:fill="FFFFFF" w:val="clear"/>
                    </w:rPr>
                    <w:t>00,00</w:t>
                  </w:r>
                </w:p>
              </w:tc>
              <w:tc>
                <w:tcPr>
                  <w:tcW w:w="10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/>
                  </w:pPr>
                  <w:r>
                    <w:rPr>
                      <w:rStyle w:val="Hyperlink"/>
                      <w:color w:val="auto"/>
                      <w:sz w:val="20"/>
                      <w:szCs w:val="20"/>
                      <w:u w:val="none"/>
                      <w:shd w:fill="FFFFFF" w:val="clear"/>
                    </w:rPr>
                    <w:t>16 800</w:t>
                  </w:r>
                  <w:r>
                    <w:rPr>
                      <w:rStyle w:val="Hyperlink"/>
                      <w:color w:val="auto"/>
                      <w:sz w:val="20"/>
                      <w:szCs w:val="20"/>
                      <w:u w:val="none"/>
                      <w:shd w:fill="FFFFFF" w:val="clear"/>
                    </w:rPr>
                    <w:t>,00</w:t>
                  </w:r>
                </w:p>
              </w:tc>
              <w:tc>
                <w:tcPr>
                  <w:tcW w:w="16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/>
                  </w:pPr>
                  <w:r>
                    <w:rPr>
                      <w:rStyle w:val="Hyperlink"/>
                      <w:color w:val="auto"/>
                      <w:sz w:val="20"/>
                      <w:szCs w:val="20"/>
                      <w:u w:val="none"/>
                      <w:shd w:fill="FFFFFF" w:val="clear"/>
                    </w:rPr>
                    <w:t>Реестровый номер контракта в ЕИС № 2525400644626000006</w:t>
                  </w:r>
                </w:p>
                <w:p>
                  <w:pPr>
                    <w:pStyle w:val="Normal"/>
                    <w:spacing w:lineRule="auto" w:line="240" w:before="0" w:after="0"/>
                    <w:jc w:val="center"/>
                    <w:rPr/>
                  </w:pPr>
                  <w:r>
                    <w:rPr>
                      <w:rStyle w:val="Hyperlink"/>
                      <w:color w:val="auto"/>
                      <w:sz w:val="20"/>
                      <w:szCs w:val="20"/>
                      <w:u w:val="none"/>
                      <w:shd w:fill="FFFFFF" w:val="clear"/>
                    </w:rPr>
                    <w:t>14 200,00</w:t>
                  </w:r>
                </w:p>
              </w:tc>
              <w:tc>
                <w:tcPr>
                  <w:tcW w:w="13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highlight w:val="none"/>
                      <w:shd w:fill="FFFFFF" w:val="clear"/>
                    </w:rPr>
                  </w:pPr>
                  <w:r>
                    <w:rPr>
                      <w:sz w:val="20"/>
                      <w:szCs w:val="20"/>
                      <w:shd w:fill="FFFFFF" w:val="clear"/>
                    </w:rPr>
                    <w:t>13 633,33</w:t>
                  </w:r>
                </w:p>
              </w:tc>
              <w:tc>
                <w:tcPr>
                  <w:tcW w:w="6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highlight w:val="none"/>
                      <w:shd w:fill="FFFFFF" w:val="clear"/>
                    </w:rPr>
                  </w:pPr>
                  <w:r>
                    <w:rPr>
                      <w:shd w:fill="FFFFFF" w:val="clear"/>
                    </w:rPr>
                    <w:t>0</w:t>
                  </w:r>
                </w:p>
              </w:tc>
              <w:tc>
                <w:tcPr>
                  <w:tcW w:w="10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highlight w:val="none"/>
                      <w:shd w:fill="FFFFFF" w:val="clear"/>
                    </w:rPr>
                  </w:pPr>
                  <w:r>
                    <w:rPr>
                      <w:sz w:val="20"/>
                      <w:szCs w:val="20"/>
                      <w:shd w:fill="FFFFFF" w:val="clear"/>
                    </w:rPr>
                    <w:t>25,56</w:t>
                  </w:r>
                </w:p>
              </w:tc>
              <w:tc>
                <w:tcPr>
                  <w:tcW w:w="18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>
                  <w:pPr>
                    <w:pStyle w:val="Normal"/>
                    <w:widowControl/>
                    <w:suppressAutoHyphens w:val="true"/>
                    <w:bidi w:val="0"/>
                    <w:spacing w:lineRule="auto" w:line="240" w:before="0" w:after="0"/>
                    <w:ind w:hanging="0" w:left="0" w:right="0"/>
                    <w:jc w:val="center"/>
                    <w:rPr>
                      <w:highlight w:val="none"/>
                      <w:shd w:fill="FFFFFF" w:val="clear"/>
                    </w:rPr>
                  </w:pPr>
                  <w:r>
                    <w:rPr>
                      <w:sz w:val="20"/>
                      <w:szCs w:val="20"/>
                      <w:shd w:fill="FFFFFF" w:val="clear"/>
                    </w:rPr>
                    <w:t>9 900,00</w:t>
                  </w:r>
                </w:p>
              </w:tc>
              <w:tc>
                <w:tcPr>
                  <w:tcW w:w="15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widowControl/>
                    <w:suppressAutoHyphens w:val="true"/>
                    <w:bidi w:val="0"/>
                    <w:spacing w:lineRule="auto" w:line="240" w:before="0" w:after="0"/>
                    <w:ind w:hanging="0" w:left="0" w:right="0"/>
                    <w:jc w:val="center"/>
                    <w:rPr>
                      <w:highlight w:val="none"/>
                      <w:shd w:fill="FFFFFF" w:val="clear"/>
                    </w:rPr>
                  </w:pPr>
                  <w:r>
                    <w:rPr>
                      <w:sz w:val="20"/>
                      <w:szCs w:val="20"/>
                      <w:shd w:fill="FFFFFF" w:val="clear"/>
                    </w:rPr>
                    <w:t>49 500,00</w:t>
                  </w:r>
                </w:p>
              </w:tc>
            </w:tr>
            <w:tr>
              <w:trPr>
                <w:trHeight w:val="181" w:hRule="atLeast"/>
              </w:trPr>
              <w:tc>
                <w:tcPr>
                  <w:tcW w:w="4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</w:tc>
              <w:tc>
                <w:tcPr>
                  <w:tcW w:w="15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BodyText"/>
                    <w:spacing w:lineRule="auto" w:line="240" w:before="0" w:after="0"/>
                    <w:jc w:val="center"/>
                    <w:rPr>
                      <w:rFonts w:ascii="Times New Roman" w:hAnsi="Times New Roman" w:eastAsia="Calibri" w:cs="Times New Roman"/>
                      <w:sz w:val="20"/>
                      <w:szCs w:val="20"/>
                      <w:shd w:fill="FFFFFF" w:val="clear"/>
                      <w:lang w:eastAsia="ru-RU"/>
                    </w:rPr>
                  </w:pPr>
                  <w:r>
                    <w:rPr>
                      <w:rFonts w:eastAsia="Calibri" w:cs="Times New Roman" w:ascii="Times New Roman" w:hAnsi="Times New Roman"/>
                      <w:sz w:val="20"/>
                      <w:szCs w:val="20"/>
                      <w:shd w:fill="FFFFFF" w:val="clear"/>
                      <w:lang w:eastAsia="ru-RU"/>
                    </w:rPr>
                    <w:t>ИТОГО</w:t>
                  </w:r>
                </w:p>
              </w:tc>
              <w:tc>
                <w:tcPr>
                  <w:tcW w:w="57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</w:tc>
              <w:tc>
                <w:tcPr>
                  <w:tcW w:w="5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</w:tc>
              <w:tc>
                <w:tcPr>
                  <w:tcW w:w="12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widowControl/>
                    <w:suppressAutoHyphens w:val="true"/>
                    <w:bidi w:val="0"/>
                    <w:spacing w:lineRule="auto" w:line="240" w:before="0" w:after="0"/>
                    <w:ind w:hanging="0" w:left="0" w:right="0"/>
                    <w:jc w:val="center"/>
                    <w:rPr>
                      <w:highlight w:val="none"/>
                      <w:shd w:fill="FFFFFF" w:val="clear"/>
                    </w:rPr>
                  </w:pPr>
                  <w:r>
                    <w:rPr>
                      <w:sz w:val="20"/>
                      <w:szCs w:val="20"/>
                      <w:shd w:fill="FFFFFF" w:val="clear"/>
                    </w:rPr>
                    <w:t xml:space="preserve"> </w:t>
                  </w:r>
                  <w:r>
                    <w:rPr>
                      <w:sz w:val="20"/>
                      <w:szCs w:val="20"/>
                      <w:shd w:fill="FFFFFF" w:val="clear"/>
                    </w:rPr>
                    <w:t>49 5</w:t>
                  </w:r>
                  <w:r>
                    <w:rPr>
                      <w:sz w:val="20"/>
                      <w:szCs w:val="20"/>
                      <w:shd w:fill="FFFFFF" w:val="clear"/>
                    </w:rPr>
                    <w:t>00,00</w:t>
                  </w:r>
                </w:p>
              </w:tc>
              <w:tc>
                <w:tcPr>
                  <w:tcW w:w="10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highlight w:val="none"/>
                      <w:shd w:fill="FFFFFF" w:val="clear"/>
                    </w:rPr>
                  </w:pPr>
                  <w:r>
                    <w:rPr>
                      <w:sz w:val="20"/>
                      <w:szCs w:val="20"/>
                      <w:shd w:fill="FFFFFF" w:val="clear"/>
                    </w:rPr>
                    <w:t>84</w:t>
                  </w:r>
                  <w:r>
                    <w:rPr>
                      <w:sz w:val="20"/>
                      <w:szCs w:val="20"/>
                      <w:shd w:fill="FFFFFF" w:val="clear"/>
                    </w:rPr>
                    <w:t xml:space="preserve"> 000,00</w:t>
                  </w:r>
                </w:p>
              </w:tc>
              <w:tc>
                <w:tcPr>
                  <w:tcW w:w="16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/>
                  </w:pPr>
                  <w:r>
                    <w:rPr>
                      <w:rStyle w:val="Hyperlink"/>
                      <w:color w:val="auto"/>
                      <w:sz w:val="20"/>
                      <w:szCs w:val="20"/>
                      <w:u w:val="none"/>
                      <w:shd w:fill="FFFFFF" w:val="clear"/>
                    </w:rPr>
                    <w:t>71 000</w:t>
                  </w:r>
                  <w:r>
                    <w:rPr>
                      <w:rStyle w:val="Hyperlink"/>
                      <w:color w:val="auto"/>
                      <w:sz w:val="20"/>
                      <w:szCs w:val="20"/>
                      <w:u w:val="none"/>
                      <w:shd w:fill="FFFFFF" w:val="clear"/>
                    </w:rPr>
                    <w:t>,00</w:t>
                  </w:r>
                </w:p>
              </w:tc>
              <w:tc>
                <w:tcPr>
                  <w:tcW w:w="13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sz w:val="20"/>
                      <w:szCs w:val="20"/>
                      <w:highlight w:val="none"/>
                      <w:shd w:fill="FFFF00" w:val="clear"/>
                    </w:rPr>
                  </w:pPr>
                  <w:r>
                    <w:rPr>
                      <w:sz w:val="20"/>
                      <w:szCs w:val="20"/>
                      <w:shd w:fill="FFFF00" w:val="clear"/>
                    </w:rPr>
                  </w:r>
                </w:p>
              </w:tc>
              <w:tc>
                <w:tcPr>
                  <w:tcW w:w="6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sz w:val="20"/>
                      <w:szCs w:val="20"/>
                      <w:highlight w:val="none"/>
                      <w:shd w:fill="FFFF00" w:val="clear"/>
                    </w:rPr>
                  </w:pPr>
                  <w:r>
                    <w:rPr>
                      <w:sz w:val="20"/>
                      <w:szCs w:val="20"/>
                      <w:shd w:fill="FFFF00" w:val="clear"/>
                    </w:rPr>
                  </w:r>
                </w:p>
              </w:tc>
              <w:tc>
                <w:tcPr>
                  <w:tcW w:w="10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sz w:val="20"/>
                      <w:szCs w:val="20"/>
                      <w:highlight w:val="none"/>
                      <w:shd w:fill="FFFF00" w:val="clear"/>
                    </w:rPr>
                  </w:pPr>
                  <w:r>
                    <w:rPr>
                      <w:sz w:val="20"/>
                      <w:szCs w:val="20"/>
                      <w:shd w:fill="FFFF00" w:val="clear"/>
                    </w:rPr>
                  </w:r>
                </w:p>
              </w:tc>
              <w:tc>
                <w:tcPr>
                  <w:tcW w:w="18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b/>
                      <w:sz w:val="20"/>
                      <w:szCs w:val="20"/>
                      <w:highlight w:val="none"/>
                      <w:shd w:fill="FFFF00" w:val="clear"/>
                    </w:rPr>
                  </w:pPr>
                  <w:r>
                    <w:rPr>
                      <w:b/>
                      <w:sz w:val="20"/>
                      <w:szCs w:val="20"/>
                      <w:shd w:fill="FFFF00" w:val="clear"/>
                    </w:rPr>
                  </w:r>
                </w:p>
              </w:tc>
              <w:tc>
                <w:tcPr>
                  <w:tcW w:w="15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widowControl/>
                    <w:suppressAutoHyphens w:val="true"/>
                    <w:bidi w:val="0"/>
                    <w:spacing w:lineRule="auto" w:line="240" w:before="0" w:after="0"/>
                    <w:ind w:hanging="0" w:left="0" w:right="0"/>
                    <w:jc w:val="center"/>
                    <w:rPr/>
                  </w:pPr>
                  <w:r>
                    <w:rPr>
                      <w:b/>
                      <w:sz w:val="20"/>
                      <w:szCs w:val="20"/>
                    </w:rPr>
                    <w:t>49</w:t>
                  </w:r>
                  <w:r>
                    <w:rPr>
                      <w:b/>
                      <w:sz w:val="20"/>
                      <w:szCs w:val="20"/>
                    </w:rPr>
                    <w:t xml:space="preserve"> </w:t>
                  </w:r>
                  <w:r>
                    <w:rPr>
                      <w:b/>
                      <w:sz w:val="20"/>
                      <w:szCs w:val="20"/>
                    </w:rPr>
                    <w:t>5</w:t>
                  </w:r>
                  <w:r>
                    <w:rPr>
                      <w:b/>
                      <w:sz w:val="20"/>
                      <w:szCs w:val="20"/>
                    </w:rPr>
                    <w:t>00,00</w:t>
                  </w:r>
                </w:p>
              </w:tc>
            </w:tr>
          </w:tbl>
          <w:p>
            <w:pPr>
              <w:pStyle w:val="Normal"/>
              <w:spacing w:lineRule="auto" w:line="240" w:before="0" w:after="0"/>
              <w:ind w:left="57"/>
              <w:rPr>
                <w:highlight w:val="none"/>
                <w:shd w:fill="FFFFFF" w:val="clear"/>
              </w:rPr>
            </w:pPr>
            <w:r/>
            <w:r>
              <w:rPr>
                <w:rFonts w:ascii="PT Astra Serif" w:hAnsi="PT Astra Serif"/>
                <w:sz w:val="20"/>
                <w:szCs w:val="20"/>
                <w:shd w:fill="FFFFFF" w:val="clear"/>
              </w:rPr>
              <w:t>К</w:t>
            </w:r>
            <w:r>
              <w:rPr>
                <w:rFonts w:ascii="PT Astra Serif" w:hAnsi="PT Astra Serif"/>
                <w:sz w:val="20"/>
                <w:szCs w:val="20"/>
                <w:shd w:fill="FFFFFF" w:val="clear"/>
              </w:rPr>
              <w:t>оэффициент вариации не превышает 33%.</w:t>
            </w:r>
          </w:p>
          <w:p>
            <w:pPr>
              <w:pStyle w:val="Normal"/>
              <w:spacing w:lineRule="auto" w:line="240" w:before="0" w:after="0"/>
              <w:ind w:left="57"/>
              <w:rPr>
                <w:highlight w:val="none"/>
                <w:shd w:fill="FFFFFF" w:val="clear"/>
              </w:rPr>
            </w:pPr>
            <w:r>
              <w:rPr>
                <w:rFonts w:eastAsia="BatangChe" w:ascii="PT Astra Serif" w:hAnsi="PT Astra Serif"/>
                <w:sz w:val="20"/>
                <w:szCs w:val="20"/>
                <w:shd w:fill="FFFFFF" w:val="clear"/>
              </w:rPr>
              <w:t>В соответствии с п. 18</w:t>
            </w:r>
            <w:r>
              <w:rPr>
                <w:rFonts w:eastAsia="BatangChe" w:ascii="PT Astra Serif" w:hAnsi="PT Astra Serif"/>
                <w:b/>
                <w:sz w:val="20"/>
                <w:szCs w:val="20"/>
                <w:shd w:fill="FFFFFF" w:val="clear"/>
              </w:rPr>
              <w:t xml:space="preserve"> </w:t>
            </w:r>
            <w:r>
              <w:rPr>
                <w:rFonts w:ascii="PT Astra Serif" w:hAnsi="PT Astra Serif"/>
                <w:sz w:val="20"/>
                <w:szCs w:val="20"/>
                <w:shd w:fill="FFFFFF" w:val="clear"/>
              </w:rPr>
              <w:t>Приказа Минздрава России от 15.05.2020г. №450н НМЦК снижена заказчиком по сравнению с НМЦК, определенной в соответствии с настоящим порядком, исходя из имеющегося у заказчика объема финансового обеспечения для осуществления соответствующей закупки, с пропорциональным снижением начальных цен единиц закупаемых медицинских изделий и определена в размере –</w:t>
            </w:r>
            <w:r>
              <w:rPr>
                <w:rFonts w:ascii="PT Astra Serif" w:hAnsi="PT Astra Serif"/>
                <w:b/>
                <w:bCs/>
                <w:sz w:val="20"/>
                <w:szCs w:val="20"/>
                <w:shd w:fill="FFFFFF" w:val="clear"/>
              </w:rPr>
              <w:t xml:space="preserve"> </w:t>
            </w:r>
            <w:r>
              <w:rPr>
                <w:rFonts w:ascii="PT Astra Serif" w:hAnsi="PT Astra Serif"/>
                <w:b/>
                <w:bCs/>
                <w:sz w:val="20"/>
                <w:szCs w:val="20"/>
                <w:shd w:fill="FFFFFF" w:val="clear"/>
              </w:rPr>
              <w:t>49 5</w:t>
            </w:r>
            <w:r>
              <w:rPr>
                <w:rFonts w:ascii="PT Astra Serif" w:hAnsi="PT Astra Serif"/>
                <w:b/>
                <w:bCs/>
                <w:sz w:val="20"/>
                <w:szCs w:val="20"/>
                <w:shd w:fill="FFFFFF" w:val="clear"/>
              </w:rPr>
              <w:t>00,00 рублей</w:t>
            </w:r>
          </w:p>
        </w:tc>
      </w:tr>
      <w:tr>
        <w:trPr>
          <w:trHeight w:val="512" w:hRule="atLeast"/>
        </w:trPr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57" w:right="57"/>
              <w:jc w:val="both"/>
              <w:rPr>
                <w:rFonts w:ascii="PT Astra Serif" w:hAnsi="PT Astra Serif"/>
                <w:bCs/>
                <w:sz w:val="18"/>
                <w:szCs w:val="18"/>
              </w:rPr>
            </w:pPr>
            <w:r>
              <w:rPr>
                <w:rFonts w:ascii="PT Astra Serif" w:hAnsi="PT Astra Serif"/>
                <w:bCs/>
                <w:sz w:val="18"/>
                <w:szCs w:val="18"/>
              </w:rPr>
              <w:t>Дата подготовки обоснования</w:t>
            </w:r>
          </w:p>
        </w:tc>
        <w:tc>
          <w:tcPr>
            <w:tcW w:w="138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57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bCs/>
                <w:sz w:val="18"/>
                <w:szCs w:val="18"/>
              </w:rPr>
              <w:t>06.08</w:t>
            </w:r>
            <w:r>
              <w:rPr>
                <w:rFonts w:ascii="PT Astra Serif" w:hAnsi="PT Astra Serif"/>
                <w:bCs/>
                <w:sz w:val="18"/>
                <w:szCs w:val="18"/>
              </w:rPr>
              <w:t>.2026 г.</w:t>
            </w:r>
          </w:p>
        </w:tc>
      </w:tr>
    </w:tbl>
    <w:p>
      <w:pPr>
        <w:pStyle w:val="Normal"/>
        <w:tabs>
          <w:tab w:val="clear" w:pos="709"/>
          <w:tab w:val="left" w:pos="13438" w:leader="none"/>
        </w:tabs>
        <w:spacing w:lineRule="auto" w:line="240" w:before="0" w:after="0"/>
        <w:ind w:right="3720"/>
        <w:jc w:val="both"/>
        <w:rPr>
          <w:rFonts w:ascii="PT Astra Serif" w:hAnsi="PT Astra Serif"/>
          <w:b/>
          <w:bCs/>
          <w:sz w:val="24"/>
          <w:szCs w:val="24"/>
        </w:rPr>
      </w:pPr>
      <w:r>
        <w:rPr>
          <w:rFonts w:ascii="PT Astra Serif" w:hAnsi="PT Astra Serif"/>
          <w:b/>
          <w:bCs/>
          <w:sz w:val="24"/>
          <w:szCs w:val="24"/>
        </w:rPr>
        <w:t>Руководитель контрактной службы:</w:t>
      </w:r>
    </w:p>
    <w:tbl>
      <w:tblPr>
        <w:tblW w:w="14655" w:type="dxa"/>
        <w:jc w:val="left"/>
        <w:tblInd w:w="567" w:type="dxa"/>
        <w:tblLayout w:type="fixed"/>
        <w:tblCellMar>
          <w:top w:w="0" w:type="dxa"/>
          <w:left w:w="28" w:type="dxa"/>
          <w:bottom w:w="0" w:type="dxa"/>
          <w:right w:w="28" w:type="dxa"/>
        </w:tblCellMar>
        <w:tblLook w:val="0000" w:firstRow="0" w:noVBand="0" w:lastRow="0" w:firstColumn="0" w:lastColumn="0" w:noHBand="0"/>
      </w:tblPr>
      <w:tblGrid>
        <w:gridCol w:w="5221"/>
        <w:gridCol w:w="9434"/>
      </w:tblGrid>
      <w:tr>
        <w:trPr/>
        <w:tc>
          <w:tcPr>
            <w:tcW w:w="5221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Заместитель главного врача по экономическим вопросам</w:t>
            </w:r>
          </w:p>
        </w:tc>
        <w:tc>
          <w:tcPr>
            <w:tcW w:w="9434" w:type="dxa"/>
            <w:tcBorders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/Стратонова Е.Н./</w:t>
            </w:r>
          </w:p>
        </w:tc>
      </w:tr>
      <w:tr>
        <w:trPr>
          <w:trHeight w:val="285" w:hRule="atLeast"/>
        </w:trPr>
        <w:tc>
          <w:tcPr>
            <w:tcW w:w="5221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(должность)</w:t>
            </w:r>
          </w:p>
        </w:tc>
        <w:tc>
          <w:tcPr>
            <w:tcW w:w="9434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(подпись/расшифровка подписи)</w:t>
            </w:r>
          </w:p>
        </w:tc>
      </w:tr>
    </w:tbl>
    <w:p>
      <w:pPr>
        <w:pStyle w:val="Normal"/>
        <w:spacing w:before="0" w:after="0"/>
        <w:rPr>
          <w:rFonts w:ascii="PT Astra Serif" w:hAnsi="PT Astra Serif"/>
          <w:vanish/>
          <w:sz w:val="24"/>
          <w:szCs w:val="24"/>
        </w:rPr>
      </w:pPr>
      <w:r>
        <w:rPr>
          <w:rFonts w:ascii="PT Astra Serif" w:hAnsi="PT Astra Serif"/>
          <w:vanish/>
          <w:sz w:val="24"/>
          <w:szCs w:val="24"/>
        </w:rPr>
      </w:r>
    </w:p>
    <w:tbl>
      <w:tblPr>
        <w:tblpPr w:vertAnchor="text" w:horzAnchor="page" w:leftFromText="180" w:rightFromText="180" w:tblpX="1758" w:tblpY="66"/>
        <w:tblW w:w="3970" w:type="dxa"/>
        <w:jc w:val="left"/>
        <w:tblInd w:w="28" w:type="dxa"/>
        <w:tblLayout w:type="fixed"/>
        <w:tblCellMar>
          <w:top w:w="0" w:type="dxa"/>
          <w:left w:w="28" w:type="dxa"/>
          <w:bottom w:w="0" w:type="dxa"/>
          <w:right w:w="28" w:type="dxa"/>
        </w:tblCellMar>
        <w:tblLook w:val="0000" w:firstRow="0" w:noVBand="0" w:lastRow="0" w:firstColumn="0" w:lastColumn="0" w:noHBand="0"/>
      </w:tblPr>
      <w:tblGrid>
        <w:gridCol w:w="169"/>
        <w:gridCol w:w="397"/>
        <w:gridCol w:w="256"/>
        <w:gridCol w:w="1985"/>
        <w:gridCol w:w="397"/>
        <w:gridCol w:w="369"/>
        <w:gridCol w:w="397"/>
      </w:tblGrid>
      <w:tr>
        <w:trPr/>
        <w:tc>
          <w:tcPr>
            <w:tcW w:w="169" w:type="dxa"/>
            <w:tcBorders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PT Astra Serif" w:hAnsi="PT Astra Serif"/>
                <w:sz w:val="24"/>
                <w:szCs w:val="24"/>
                <w:u w:val="single"/>
              </w:rPr>
            </w:pPr>
            <w:r>
              <w:rPr>
                <w:rFonts w:ascii="PT Astra Serif" w:hAnsi="PT Astra Serif"/>
                <w:sz w:val="24"/>
                <w:szCs w:val="24"/>
                <w:u w:val="single"/>
              </w:rPr>
            </w:r>
          </w:p>
        </w:tc>
        <w:tc>
          <w:tcPr>
            <w:tcW w:w="397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</w:r>
          </w:p>
        </w:tc>
        <w:tc>
          <w:tcPr>
            <w:tcW w:w="256" w:type="dxa"/>
            <w:tcBorders/>
            <w:vAlign w:val="bottom"/>
          </w:tcPr>
          <w:p>
            <w:pPr>
              <w:pStyle w:val="Normal"/>
              <w:spacing w:lineRule="auto" w:line="240" w:before="0" w:after="0"/>
              <w:rPr>
                <w:rFonts w:ascii="PT Astra Serif" w:hAnsi="PT Astra Serif"/>
                <w:sz w:val="24"/>
                <w:szCs w:val="24"/>
                <w:u w:val="single"/>
              </w:rPr>
            </w:pPr>
            <w:r>
              <w:rPr>
                <w:rFonts w:ascii="PT Astra Serif" w:hAnsi="PT Astra Serif"/>
                <w:sz w:val="24"/>
                <w:szCs w:val="24"/>
                <w:u w:val="single"/>
              </w:rPr>
            </w:r>
          </w:p>
        </w:tc>
        <w:tc>
          <w:tcPr>
            <w:tcW w:w="1985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/>
                <w:sz w:val="24"/>
                <w:szCs w:val="24"/>
                <w:u w:val="single"/>
              </w:rPr>
            </w:pPr>
            <w:r>
              <w:rPr>
                <w:rFonts w:ascii="PT Astra Serif" w:hAnsi="PT Astra Serif"/>
                <w:sz w:val="24"/>
                <w:szCs w:val="24"/>
                <w:u w:val="single"/>
              </w:rPr>
            </w:r>
          </w:p>
        </w:tc>
        <w:tc>
          <w:tcPr>
            <w:tcW w:w="397" w:type="dxa"/>
            <w:tcBorders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PT Astra Serif" w:hAnsi="PT Astra Serif"/>
                <w:sz w:val="24"/>
                <w:szCs w:val="24"/>
                <w:u w:val="single"/>
              </w:rPr>
            </w:pPr>
            <w:r>
              <w:rPr>
                <w:rFonts w:ascii="PT Astra Serif" w:hAnsi="PT Astra Serif"/>
                <w:sz w:val="24"/>
                <w:szCs w:val="24"/>
                <w:u w:val="single"/>
              </w:rPr>
            </w:r>
          </w:p>
        </w:tc>
        <w:tc>
          <w:tcPr>
            <w:tcW w:w="369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rFonts w:ascii="PT Astra Serif" w:hAnsi="PT Astra Serif"/>
                <w:sz w:val="24"/>
                <w:szCs w:val="24"/>
                <w:u w:val="single"/>
              </w:rPr>
            </w:pPr>
            <w:r>
              <w:rPr>
                <w:rFonts w:ascii="PT Astra Serif" w:hAnsi="PT Astra Serif"/>
                <w:sz w:val="24"/>
                <w:szCs w:val="24"/>
                <w:u w:val="single"/>
              </w:rPr>
            </w:r>
          </w:p>
        </w:tc>
        <w:tc>
          <w:tcPr>
            <w:tcW w:w="397" w:type="dxa"/>
            <w:tcBorders/>
            <w:vAlign w:val="bottom"/>
          </w:tcPr>
          <w:p>
            <w:pPr>
              <w:pStyle w:val="Normal"/>
              <w:spacing w:lineRule="auto" w:line="240" w:before="0" w:after="0"/>
              <w:ind w:left="57"/>
              <w:rPr>
                <w:rFonts w:ascii="PT Astra Serif" w:hAnsi="PT Astra Serif"/>
                <w:sz w:val="24"/>
                <w:szCs w:val="24"/>
                <w:u w:val="single"/>
              </w:rPr>
            </w:pPr>
            <w:r>
              <w:rPr>
                <w:rFonts w:ascii="PT Astra Serif" w:hAnsi="PT Astra Serif"/>
                <w:sz w:val="24"/>
                <w:szCs w:val="24"/>
                <w:u w:val="single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PT Astra Serif" w:hAnsi="PT Astra Serif"/>
          <w:szCs w:val="24"/>
        </w:rPr>
      </w:pPr>
      <w:r>
        <w:rPr>
          <w:rFonts w:ascii="PT Astra Serif" w:hAnsi="PT Astra Serif"/>
          <w:szCs w:val="24"/>
        </w:rPr>
      </w:r>
    </w:p>
    <w:p>
      <w:pPr>
        <w:pStyle w:val="Normal"/>
        <w:spacing w:lineRule="auto" w:line="240" w:before="0" w:after="0"/>
        <w:rPr>
          <w:rFonts w:ascii="PT Astra Serif" w:hAnsi="PT Astra Serif"/>
          <w:szCs w:val="24"/>
        </w:rPr>
      </w:pPr>
      <w:r>
        <w:rPr>
          <w:rFonts w:ascii="PT Astra Serif" w:hAnsi="PT Astra Serif"/>
          <w:szCs w:val="24"/>
        </w:rPr>
      </w:r>
    </w:p>
    <w:p>
      <w:pPr>
        <w:pStyle w:val="Normal"/>
        <w:spacing w:lineRule="auto" w:line="240" w:before="0" w:after="0"/>
        <w:rPr>
          <w:rFonts w:ascii="PT Astra Serif" w:hAnsi="PT Astra Serif"/>
          <w:szCs w:val="24"/>
        </w:rPr>
      </w:pPr>
      <w:r>
        <w:rPr>
          <w:rFonts w:ascii="PT Astra Serif" w:hAnsi="PT Astra Serif"/>
          <w:szCs w:val="24"/>
        </w:rPr>
      </w:r>
    </w:p>
    <w:p>
      <w:pPr>
        <w:pStyle w:val="Normal"/>
        <w:spacing w:lineRule="auto" w:line="240" w:before="0" w:after="0"/>
        <w:rPr>
          <w:rFonts w:ascii="PT Astra Serif" w:hAnsi="PT Astra Serif"/>
          <w:szCs w:val="24"/>
        </w:rPr>
      </w:pPr>
      <w:r>
        <w:rPr>
          <w:rFonts w:ascii="PT Astra Serif" w:hAnsi="PT Astra Serif"/>
          <w:szCs w:val="24"/>
        </w:rPr>
      </w:r>
    </w:p>
    <w:p>
      <w:pPr>
        <w:pStyle w:val="Normal"/>
        <w:spacing w:lineRule="auto" w:line="240" w:before="0" w:after="0"/>
        <w:rPr>
          <w:rFonts w:ascii="PT Astra Serif" w:hAnsi="PT Astra Serif"/>
          <w:szCs w:val="24"/>
        </w:rPr>
      </w:pPr>
      <w:r>
        <w:rPr>
          <w:rFonts w:ascii="PT Astra Serif" w:hAnsi="PT Astra Serif"/>
          <w:szCs w:val="24"/>
        </w:rPr>
      </w:r>
    </w:p>
    <w:p>
      <w:pPr>
        <w:pStyle w:val="Normal"/>
        <w:spacing w:lineRule="auto" w:line="240" w:before="0" w:after="0"/>
        <w:rPr>
          <w:rFonts w:ascii="PT Astra Serif" w:hAnsi="PT Astra Serif"/>
          <w:szCs w:val="24"/>
        </w:rPr>
      </w:pPr>
      <w:r>
        <w:rPr>
          <w:rFonts w:ascii="PT Astra Serif" w:hAnsi="PT Astra Serif"/>
          <w:szCs w:val="24"/>
        </w:rPr>
      </w:r>
    </w:p>
    <w:p>
      <w:pPr>
        <w:pStyle w:val="Normal"/>
        <w:spacing w:lineRule="auto" w:line="240" w:before="0" w:after="0"/>
        <w:rPr>
          <w:rFonts w:ascii="PT Astra Serif" w:hAnsi="PT Astra Serif"/>
          <w:szCs w:val="24"/>
        </w:rPr>
      </w:pPr>
      <w:r>
        <w:rPr>
          <w:rFonts w:ascii="PT Astra Serif" w:hAnsi="PT Astra Serif"/>
          <w:szCs w:val="24"/>
        </w:rPr>
      </w:r>
    </w:p>
    <w:p>
      <w:pPr>
        <w:pStyle w:val="Normal"/>
        <w:spacing w:lineRule="auto" w:line="240" w:before="0" w:after="0"/>
        <w:rPr>
          <w:rFonts w:ascii="PT Astra Serif" w:hAnsi="PT Astra Serif"/>
          <w:szCs w:val="24"/>
        </w:rPr>
      </w:pPr>
      <w:r>
        <w:rPr>
          <w:rFonts w:ascii="PT Astra Serif" w:hAnsi="PT Astra Serif"/>
          <w:szCs w:val="24"/>
        </w:rPr>
      </w:r>
    </w:p>
    <w:p>
      <w:pPr>
        <w:pStyle w:val="Normal"/>
        <w:spacing w:lineRule="auto" w:line="240" w:before="0" w:after="0"/>
        <w:rPr>
          <w:rFonts w:ascii="PT Astra Serif" w:hAnsi="PT Astra Serif"/>
          <w:szCs w:val="24"/>
        </w:rPr>
      </w:pPr>
      <w:r>
        <w:rPr>
          <w:rFonts w:ascii="PT Astra Serif" w:hAnsi="PT Astra Serif"/>
          <w:szCs w:val="24"/>
        </w:rPr>
      </w:r>
    </w:p>
    <w:p>
      <w:pPr>
        <w:pStyle w:val="Normal"/>
        <w:spacing w:lineRule="auto" w:line="240" w:before="0" w:after="0"/>
        <w:rPr>
          <w:rFonts w:ascii="PT Astra Serif" w:hAnsi="PT Astra Serif"/>
          <w:szCs w:val="24"/>
        </w:rPr>
      </w:pPr>
      <w:r>
        <w:rPr>
          <w:rFonts w:ascii="PT Astra Serif" w:hAnsi="PT Astra Serif"/>
          <w:szCs w:val="24"/>
        </w:rPr>
      </w:r>
    </w:p>
    <w:p>
      <w:pPr>
        <w:pStyle w:val="Normal"/>
        <w:spacing w:lineRule="auto" w:line="240" w:before="0" w:after="0"/>
        <w:rPr>
          <w:rFonts w:ascii="PT Astra Serif" w:hAnsi="PT Astra Serif"/>
          <w:szCs w:val="24"/>
        </w:rPr>
      </w:pPr>
      <w:r>
        <w:rPr>
          <w:rFonts w:ascii="PT Astra Serif" w:hAnsi="PT Astra Serif"/>
          <w:szCs w:val="24"/>
        </w:rPr>
      </w:r>
    </w:p>
    <w:p>
      <w:pPr>
        <w:pStyle w:val="Normal"/>
        <w:spacing w:lineRule="auto" w:line="240" w:before="0" w:after="0"/>
        <w:rPr>
          <w:rFonts w:ascii="PT Astra Serif" w:hAnsi="PT Astra Serif"/>
          <w:szCs w:val="24"/>
        </w:rPr>
      </w:pPr>
      <w:r>
        <w:rPr>
          <w:rFonts w:ascii="PT Astra Serif" w:hAnsi="PT Astra Serif"/>
          <w:szCs w:val="24"/>
        </w:rPr>
      </w:r>
    </w:p>
    <w:p>
      <w:pPr>
        <w:pStyle w:val="Normal"/>
        <w:spacing w:lineRule="auto" w:line="240" w:before="0" w:after="0"/>
        <w:rPr>
          <w:rFonts w:ascii="PT Astra Serif" w:hAnsi="PT Astra Serif"/>
          <w:szCs w:val="24"/>
        </w:rPr>
      </w:pPr>
      <w:r>
        <w:rPr>
          <w:rFonts w:ascii="PT Astra Serif" w:hAnsi="PT Astra Serif"/>
          <w:szCs w:val="24"/>
        </w:rPr>
      </w:r>
    </w:p>
    <w:p>
      <w:pPr>
        <w:pStyle w:val="Normal"/>
        <w:spacing w:lineRule="auto" w:line="240" w:before="0" w:after="0"/>
        <w:rPr>
          <w:rFonts w:ascii="PT Astra Serif" w:hAnsi="PT Astra Serif"/>
          <w:szCs w:val="24"/>
        </w:rPr>
      </w:pPr>
      <w:r>
        <w:rPr>
          <w:rFonts w:ascii="PT Astra Serif" w:hAnsi="PT Astra Serif"/>
          <w:szCs w:val="24"/>
        </w:rPr>
      </w:r>
    </w:p>
    <w:p>
      <w:pPr>
        <w:pStyle w:val="Normal"/>
        <w:spacing w:lineRule="auto" w:line="240" w:before="0" w:after="0"/>
        <w:rPr>
          <w:rFonts w:ascii="PT Astra Serif" w:hAnsi="PT Astra Serif"/>
          <w:szCs w:val="24"/>
        </w:rPr>
      </w:pPr>
      <w:r>
        <w:rPr>
          <w:rFonts w:ascii="PT Astra Serif" w:hAnsi="PT Astra Serif"/>
          <w:szCs w:val="24"/>
        </w:rPr>
      </w:r>
    </w:p>
    <w:p>
      <w:pPr>
        <w:pStyle w:val="Normal"/>
        <w:spacing w:lineRule="auto" w:line="240" w:before="0" w:after="0"/>
        <w:rPr>
          <w:rFonts w:ascii="PT Astra Serif" w:hAnsi="PT Astra Serif"/>
          <w:szCs w:val="24"/>
        </w:rPr>
      </w:pPr>
      <w:r>
        <w:rPr>
          <w:rFonts w:ascii="PT Astra Serif" w:hAnsi="PT Astra Serif"/>
          <w:szCs w:val="24"/>
        </w:rPr>
      </w:r>
    </w:p>
    <w:p>
      <w:pPr>
        <w:pStyle w:val="Normal"/>
        <w:spacing w:lineRule="auto" w:line="240" w:before="0" w:after="0"/>
        <w:rPr>
          <w:rFonts w:ascii="PT Astra Serif" w:hAnsi="PT Astra Serif"/>
          <w:szCs w:val="24"/>
        </w:rPr>
      </w:pPr>
      <w:r>
        <w:rPr>
          <w:rFonts w:ascii="PT Astra Serif" w:hAnsi="PT Astra Serif"/>
          <w:szCs w:val="24"/>
        </w:rPr>
      </w:r>
    </w:p>
    <w:p>
      <w:pPr>
        <w:pStyle w:val="Normal"/>
        <w:spacing w:lineRule="auto" w:line="240" w:before="0" w:after="0"/>
        <w:rPr>
          <w:rFonts w:ascii="PT Astra Serif" w:hAnsi="PT Astra Serif"/>
          <w:szCs w:val="24"/>
        </w:rPr>
      </w:pPr>
      <w:r>
        <w:rPr>
          <w:rFonts w:ascii="PT Astra Serif" w:hAnsi="PT Astra Serif"/>
          <w:szCs w:val="24"/>
        </w:rPr>
      </w:r>
    </w:p>
    <w:p>
      <w:pPr>
        <w:pStyle w:val="Normal"/>
        <w:spacing w:lineRule="auto" w:line="240" w:before="0" w:after="0"/>
        <w:rPr>
          <w:rFonts w:ascii="PT Astra Serif" w:hAnsi="PT Astra Serif"/>
          <w:szCs w:val="24"/>
        </w:rPr>
      </w:pPr>
      <w:r>
        <w:rPr>
          <w:rFonts w:ascii="PT Astra Serif" w:hAnsi="PT Astra Serif"/>
          <w:szCs w:val="24"/>
        </w:rPr>
      </w:r>
    </w:p>
    <w:p>
      <w:pPr>
        <w:pStyle w:val="Normal"/>
        <w:spacing w:lineRule="auto" w:line="240" w:before="0" w:after="0"/>
        <w:rPr>
          <w:rFonts w:ascii="PT Astra Serif" w:hAnsi="PT Astra Serif"/>
          <w:szCs w:val="24"/>
        </w:rPr>
      </w:pPr>
      <w:r>
        <w:rPr>
          <w:rFonts w:ascii="PT Astra Serif" w:hAnsi="PT Astra Serif"/>
          <w:szCs w:val="24"/>
        </w:rPr>
        <w:t>Исп. Сидорова Екатерина,44-23-29</w:t>
      </w:r>
    </w:p>
    <w:sectPr>
      <w:footerReference w:type="even" r:id="rId4"/>
      <w:footerReference w:type="default" r:id="rId5"/>
      <w:footerReference w:type="first" r:id="rId6"/>
      <w:type w:val="nextPage"/>
      <w:pgSz w:orient="landscape" w:w="16838" w:h="11906"/>
      <w:pgMar w:left="1134" w:right="1134" w:gutter="0" w:header="0" w:top="993" w:footer="2" w:bottom="311"/>
      <w:pgNumType w:start="7"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swiss"/>
    <w:pitch w:val="variable"/>
  </w:font>
  <w:font w:name="Times New Roman">
    <w:charset w:val="cc"/>
    <w:family w:val="roman"/>
    <w:pitch w:val="variable"/>
  </w:font>
  <w:font w:name="Tahoma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Verdana">
    <w:charset w:val="cc"/>
    <w:family w:val="swiss"/>
    <w:pitch w:val="variable"/>
  </w:font>
  <w:font w:name="PT Astra Serif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spacing w:before="0" w:after="200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spacing w:before="0" w:after="200"/>
      <w:jc w:val="right"/>
      <w:rPr>
        <w:sz w:val="24"/>
        <w:szCs w:val="24"/>
      </w:rPr>
    </w:pPr>
    <w:r>
      <w:rPr>
        <w:sz w:val="24"/>
        <w:szCs w:val="24"/>
      </w:rPr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spacing w:before="0" w:after="200"/>
      <w:jc w:val="right"/>
      <w:rPr>
        <w:sz w:val="24"/>
        <w:szCs w:val="24"/>
      </w:rPr>
    </w:pPr>
    <w:r>
      <w:rPr>
        <w:sz w:val="24"/>
        <w:szCs w:val="24"/>
      </w:rPr>
    </w:r>
  </w:p>
</w:ftr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semiHidden="1" w:unhideWhenUsed="1" w:qFormat="1"/>
    <w:lsdException w:name="heading 3" w:locked="1" w:uiPriority="0" w:semiHidden="1" w:unhideWhenUsed="1" w:qFormat="1"/>
    <w:lsdException w:name="heading 4" w:locked="1" w:uiPriority="0" w:semiHidden="1" w:unhideWhenUsed="1" w:qFormat="1"/>
    <w:lsdException w:name="heading 5" w:locked="1" w:uiPriority="0" w:semiHidden="1" w:unhideWhenUsed="1" w:qFormat="1"/>
    <w:lsdException w:name="heading 6" w:locked="1" w:uiPriority="0" w:semiHidden="1" w:unhideWhenUsed="1" w:qFormat="1"/>
    <w:lsdException w:name="heading 7" w:locked="1" w:uiPriority="0" w:semiHidden="1" w:unhideWhenUsed="1" w:qFormat="1"/>
    <w:lsdException w:name="heading 8" w:locked="1" w:uiPriority="0" w:semiHidden="1" w:unhideWhenUsed="1" w:qFormat="1"/>
    <w:lsdException w:name="heading 9" w:locked="1" w:uiPriority="0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971137"/>
    <w:pPr>
      <w:widowControl/>
      <w:suppressAutoHyphens w:val="true"/>
      <w:bidi w:val="0"/>
      <w:spacing w:lineRule="auto" w:line="276" w:before="0" w:after="20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locked/>
    <w:rsid w:val="00331762"/>
    <w:rPr>
      <w:rFonts w:ascii="Tahoma" w:hAnsi="Tahoma" w:cs="Times New Roman"/>
      <w:sz w:val="16"/>
    </w:rPr>
  </w:style>
  <w:style w:type="character" w:styleId="Style15" w:customStyle="1">
    <w:name w:val="Верхний колонтитул Знак"/>
    <w:basedOn w:val="DefaultParagraphFont"/>
    <w:uiPriority w:val="99"/>
    <w:semiHidden/>
    <w:qFormat/>
    <w:locked/>
    <w:rsid w:val="002022a6"/>
    <w:rPr>
      <w:rFonts w:cs="Times New Roman"/>
      <w:sz w:val="22"/>
      <w:szCs w:val="22"/>
    </w:rPr>
  </w:style>
  <w:style w:type="character" w:styleId="Style16" w:customStyle="1">
    <w:name w:val="Нижний колонтитул Знак"/>
    <w:basedOn w:val="DefaultParagraphFont"/>
    <w:uiPriority w:val="99"/>
    <w:qFormat/>
    <w:locked/>
    <w:rsid w:val="002022a6"/>
    <w:rPr>
      <w:rFonts w:cs="Times New Roman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191b36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61821"/>
    <w:rPr>
      <w:color w:val="954F72"/>
      <w:u w:val="single"/>
    </w:rPr>
  </w:style>
  <w:style w:type="character" w:styleId="Style17" w:customStyle="1">
    <w:name w:val="Основной текст Знак"/>
    <w:basedOn w:val="DefaultParagraphFont"/>
    <w:qFormat/>
    <w:rsid w:val="00e616eb"/>
    <w:rPr>
      <w:rFonts w:ascii="Calibri" w:hAnsi="Calibri" w:eastAsia="Calibri" w:cs="" w:asciiTheme="minorHAnsi" w:cstheme="minorBidi" w:eastAsiaTheme="minorHAnsi" w:hAnsiTheme="minorHAnsi"/>
      <w:sz w:val="22"/>
      <w:szCs w:val="22"/>
      <w:lang w:eastAsia="en-US"/>
    </w:rPr>
  </w:style>
  <w:style w:type="character" w:styleId="hl" w:customStyle="1">
    <w:name w:val="hl"/>
    <w:basedOn w:val="DefaultParagraphFont"/>
    <w:qFormat/>
    <w:rsid w:val="00446ffe"/>
    <w:rPr/>
  </w:style>
  <w:style w:type="character" w:styleId="cardmaininfopurchaselink2" w:customStyle="1">
    <w:name w:val="cardmaininfo__purchaselink2"/>
    <w:basedOn w:val="DefaultParagraphFont"/>
    <w:qFormat/>
    <w:rsid w:val="00d33309"/>
    <w:rPr>
      <w:color w:val="0065DD"/>
    </w:rPr>
  </w:style>
  <w:style w:type="character" w:styleId="Style18" w:customStyle="1">
    <w:name w:val="Без интервала Знак"/>
    <w:link w:val="NoSpacing"/>
    <w:uiPriority w:val="1"/>
    <w:qFormat/>
    <w:rsid w:val="00831471"/>
    <w:rPr>
      <w:sz w:val="22"/>
      <w:szCs w:val="22"/>
    </w:rPr>
  </w:style>
  <w:style w:type="paragraph" w:styleId="Style19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link w:val="Style17"/>
    <w:unhideWhenUsed/>
    <w:rsid w:val="00e616eb"/>
    <w:pPr>
      <w:spacing w:before="0" w:after="120"/>
    </w:pPr>
    <w:rPr>
      <w:rFonts w:ascii="Calibri" w:hAnsi="Calibri" w:eastAsia="Calibri" w:cs="" w:asciiTheme="minorHAnsi" w:cstheme="minorBidi" w:eastAsiaTheme="minorHAnsi" w:hAnsiTheme="minorHAnsi"/>
      <w:lang w:eastAsia="en-US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Arial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Arial"/>
    </w:rPr>
  </w:style>
  <w:style w:type="paragraph" w:styleId="xl66" w:customStyle="1">
    <w:name w:val="xl66"/>
    <w:basedOn w:val="Normal"/>
    <w:qFormat/>
    <w:rsid w:val="000c393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center"/>
    </w:pPr>
    <w:rPr>
      <w:sz w:val="20"/>
      <w:szCs w:val="20"/>
    </w:rPr>
  </w:style>
  <w:style w:type="paragraph" w:styleId="BalloonText">
    <w:name w:val="Balloon Text"/>
    <w:basedOn w:val="Normal"/>
    <w:link w:val="Style14"/>
    <w:uiPriority w:val="99"/>
    <w:semiHidden/>
    <w:qFormat/>
    <w:rsid w:val="00331762"/>
    <w:pPr>
      <w:spacing w:lineRule="auto" w:line="240" w:before="0" w:after="0"/>
    </w:pPr>
    <w:rPr>
      <w:rFonts w:ascii="Tahoma" w:hAnsi="Tahoma"/>
      <w:sz w:val="16"/>
      <w:szCs w:val="16"/>
    </w:rPr>
  </w:style>
  <w:style w:type="paragraph" w:styleId="Style21">
    <w:name w:val="Колонтитулы"/>
    <w:basedOn w:val="Normal"/>
    <w:qFormat/>
    <w:pPr/>
    <w:rPr/>
  </w:style>
  <w:style w:type="paragraph" w:styleId="user2">
    <w:name w:val="Колонтитулы (user)"/>
    <w:basedOn w:val="Normal"/>
    <w:qFormat/>
    <w:pPr/>
    <w:rPr/>
  </w:style>
  <w:style w:type="paragraph" w:styleId="Header">
    <w:name w:val="header"/>
    <w:basedOn w:val="Normal"/>
    <w:link w:val="Style15"/>
    <w:uiPriority w:val="99"/>
    <w:semiHidden/>
    <w:rsid w:val="002022a6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link w:val="Style16"/>
    <w:uiPriority w:val="99"/>
    <w:rsid w:val="002022a6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Style22" w:customStyle="1">
    <w:name w:val="Знак Знак Знак Знак Знак Знак Знак Знак Знак"/>
    <w:basedOn w:val="Normal"/>
    <w:qFormat/>
    <w:rsid w:val="00af5c8e"/>
    <w:pPr>
      <w:spacing w:lineRule="exact" w:line="240" w:before="0" w:after="160"/>
    </w:pPr>
    <w:rPr>
      <w:rFonts w:ascii="Verdana" w:hAnsi="Verdana"/>
      <w:sz w:val="20"/>
      <w:szCs w:val="20"/>
      <w:lang w:val="en-US" w:eastAsia="en-US"/>
    </w:rPr>
  </w:style>
  <w:style w:type="paragraph" w:styleId="xl64" w:customStyle="1">
    <w:name w:val="xl64"/>
    <w:basedOn w:val="Normal"/>
    <w:qFormat/>
    <w:rsid w:val="0096182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top"/>
    </w:pPr>
    <w:rPr>
      <w:sz w:val="24"/>
      <w:szCs w:val="24"/>
    </w:rPr>
  </w:style>
  <w:style w:type="paragraph" w:styleId="xl65" w:customStyle="1">
    <w:name w:val="xl65"/>
    <w:basedOn w:val="Normal"/>
    <w:qFormat/>
    <w:rsid w:val="0096182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textAlignment w:val="top"/>
    </w:pPr>
    <w:rPr>
      <w:sz w:val="24"/>
      <w:szCs w:val="24"/>
    </w:rPr>
  </w:style>
  <w:style w:type="paragraph" w:styleId="xl67" w:customStyle="1">
    <w:name w:val="xl67"/>
    <w:basedOn w:val="Normal"/>
    <w:qFormat/>
    <w:rsid w:val="0096182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top"/>
    </w:pPr>
    <w:rPr>
      <w:sz w:val="24"/>
      <w:szCs w:val="24"/>
    </w:rPr>
  </w:style>
  <w:style w:type="paragraph" w:styleId="xl68" w:customStyle="1">
    <w:name w:val="xl68"/>
    <w:basedOn w:val="Normal"/>
    <w:qFormat/>
    <w:rsid w:val="0096182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top"/>
    </w:pPr>
    <w:rPr>
      <w:b/>
      <w:bCs/>
      <w:sz w:val="24"/>
      <w:szCs w:val="24"/>
    </w:rPr>
  </w:style>
  <w:style w:type="paragraph" w:styleId="xl69" w:customStyle="1">
    <w:name w:val="xl69"/>
    <w:basedOn w:val="Normal"/>
    <w:qFormat/>
    <w:rsid w:val="00961821"/>
    <w:pPr>
      <w:spacing w:lineRule="auto" w:line="240" w:beforeAutospacing="1" w:afterAutospacing="1"/>
    </w:pPr>
    <w:rPr>
      <w:color w:val="000000"/>
      <w:sz w:val="18"/>
      <w:szCs w:val="18"/>
    </w:rPr>
  </w:style>
  <w:style w:type="paragraph" w:styleId="xl70" w:customStyle="1">
    <w:name w:val="xl70"/>
    <w:basedOn w:val="Normal"/>
    <w:qFormat/>
    <w:rsid w:val="0096182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center"/>
    </w:pPr>
    <w:rPr>
      <w:sz w:val="18"/>
      <w:szCs w:val="18"/>
    </w:rPr>
  </w:style>
  <w:style w:type="paragraph" w:styleId="xl71" w:customStyle="1">
    <w:name w:val="xl71"/>
    <w:basedOn w:val="Normal"/>
    <w:qFormat/>
    <w:rsid w:val="0096182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top"/>
    </w:pPr>
    <w:rPr>
      <w:color w:val="000000"/>
      <w:sz w:val="24"/>
      <w:szCs w:val="24"/>
    </w:rPr>
  </w:style>
  <w:style w:type="paragraph" w:styleId="xl72" w:customStyle="1">
    <w:name w:val="xl72"/>
    <w:basedOn w:val="Normal"/>
    <w:qFormat/>
    <w:rsid w:val="0096182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top"/>
    </w:pPr>
    <w:rPr>
      <w:color w:val="000000"/>
      <w:sz w:val="24"/>
      <w:szCs w:val="24"/>
    </w:rPr>
  </w:style>
  <w:style w:type="paragraph" w:styleId="xl74" w:customStyle="1">
    <w:name w:val="xl74"/>
    <w:basedOn w:val="Normal"/>
    <w:qFormat/>
    <w:rsid w:val="0096182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</w:pPr>
    <w:rPr>
      <w:sz w:val="24"/>
      <w:szCs w:val="24"/>
    </w:rPr>
  </w:style>
  <w:style w:type="paragraph" w:styleId="xl75" w:customStyle="1">
    <w:name w:val="xl75"/>
    <w:basedOn w:val="Normal"/>
    <w:qFormat/>
    <w:rsid w:val="0096182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center"/>
    </w:pPr>
    <w:rPr>
      <w:b/>
      <w:bCs/>
      <w:sz w:val="18"/>
      <w:szCs w:val="18"/>
    </w:rPr>
  </w:style>
  <w:style w:type="paragraph" w:styleId="xl76" w:customStyle="1">
    <w:name w:val="xl76"/>
    <w:basedOn w:val="Normal"/>
    <w:qFormat/>
    <w:rsid w:val="0096182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center"/>
    </w:pPr>
    <w:rPr>
      <w:b/>
      <w:bCs/>
      <w:sz w:val="18"/>
      <w:szCs w:val="18"/>
    </w:rPr>
  </w:style>
  <w:style w:type="paragraph" w:styleId="xl77" w:customStyle="1">
    <w:name w:val="xl77"/>
    <w:basedOn w:val="Normal"/>
    <w:qFormat/>
    <w:rsid w:val="00961821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lineRule="auto" w:line="240" w:beforeAutospacing="1" w:afterAutospacing="1"/>
      <w:textAlignment w:val="top"/>
    </w:pPr>
    <w:rPr>
      <w:sz w:val="24"/>
      <w:szCs w:val="24"/>
    </w:rPr>
  </w:style>
  <w:style w:type="paragraph" w:styleId="xl78" w:customStyle="1">
    <w:name w:val="xl78"/>
    <w:basedOn w:val="Normal"/>
    <w:qFormat/>
    <w:rsid w:val="00961821"/>
    <w:pPr>
      <w:pBdr>
        <w:top w:val="single" w:sz="4" w:space="0" w:color="000000"/>
        <w:bottom w:val="single" w:sz="4" w:space="0" w:color="000000"/>
      </w:pBdr>
      <w:spacing w:lineRule="auto" w:line="240" w:beforeAutospacing="1" w:afterAutospacing="1"/>
      <w:textAlignment w:val="top"/>
    </w:pPr>
    <w:rPr>
      <w:sz w:val="24"/>
      <w:szCs w:val="24"/>
    </w:rPr>
  </w:style>
  <w:style w:type="paragraph" w:styleId="xl79" w:customStyle="1">
    <w:name w:val="xl79"/>
    <w:basedOn w:val="Normal"/>
    <w:qFormat/>
    <w:rsid w:val="0096182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center"/>
    </w:pPr>
    <w:rPr>
      <w:sz w:val="18"/>
      <w:szCs w:val="18"/>
    </w:rPr>
  </w:style>
  <w:style w:type="paragraph" w:styleId="xl80" w:customStyle="1">
    <w:name w:val="xl80"/>
    <w:basedOn w:val="Normal"/>
    <w:qFormat/>
    <w:rsid w:val="0096182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center"/>
    </w:pPr>
    <w:rPr>
      <w:sz w:val="18"/>
      <w:szCs w:val="18"/>
    </w:rPr>
  </w:style>
  <w:style w:type="paragraph" w:styleId="ListParagraph">
    <w:name w:val="List Paragraph"/>
    <w:basedOn w:val="Normal"/>
    <w:uiPriority w:val="34"/>
    <w:qFormat/>
    <w:rsid w:val="00894613"/>
    <w:pPr>
      <w:spacing w:before="0" w:after="200"/>
      <w:ind w:left="720"/>
      <w:contextualSpacing/>
    </w:pPr>
    <w:rPr/>
  </w:style>
  <w:style w:type="paragraph" w:styleId="NoSpacing">
    <w:name w:val="No Spacing"/>
    <w:link w:val="Style18"/>
    <w:uiPriority w:val="1"/>
    <w:qFormat/>
    <w:rsid w:val="00e616eb"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Times New Roman"/>
      <w:color w:val="auto"/>
      <w:kern w:val="0"/>
      <w:sz w:val="22"/>
      <w:szCs w:val="22"/>
      <w:lang w:val="ru-RU" w:eastAsia="ru-RU" w:bidi="ar-SA"/>
    </w:rPr>
  </w:style>
  <w:style w:type="paragraph" w:styleId="1" w:customStyle="1">
    <w:name w:val="Обычный1"/>
    <w:qFormat/>
    <w:rsid w:val="00d33309"/>
    <w:pPr>
      <w:widowControl/>
      <w:suppressAutoHyphens w:val="true"/>
      <w:bidi w:val="0"/>
      <w:spacing w:lineRule="atLeast" w:line="100" w:before="0" w:after="0"/>
      <w:jc w:val="left"/>
      <w:textAlignment w:val="baseline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ar-SA" w:bidi="ar-SA"/>
    </w:rPr>
  </w:style>
  <w:style w:type="paragraph" w:styleId="user3">
    <w:name w:val="Содержимое врезки (user)"/>
    <w:basedOn w:val="Normal"/>
    <w:qFormat/>
    <w:pPr/>
    <w:rPr/>
  </w:style>
  <w:style w:type="paragraph" w:styleId="user4">
    <w:name w:val="Содержимое таблицы (user)"/>
    <w:basedOn w:val="Normal"/>
    <w:qFormat/>
    <w:pPr>
      <w:widowControl w:val="false"/>
      <w:suppressLineNumbers/>
    </w:pPr>
    <w:rPr/>
  </w:style>
  <w:style w:type="paragraph" w:styleId="user5">
    <w:name w:val="Заголовок таблицы (user)"/>
    <w:basedOn w:val="user4"/>
    <w:qFormat/>
    <w:pPr>
      <w:suppressLineNumbers/>
      <w:jc w:val="center"/>
    </w:pPr>
    <w:rPr>
      <w:b/>
      <w:bCs/>
    </w:rPr>
  </w:style>
  <w:style w:type="paragraph" w:styleId="Style23">
    <w:name w:val="Содержимое врезки"/>
    <w:basedOn w:val="Normal"/>
    <w:qFormat/>
    <w:pPr/>
    <w:rPr/>
  </w:style>
  <w:style w:type="paragraph" w:styleId="Style24">
    <w:name w:val="Содержимое таблицы"/>
    <w:basedOn w:val="Normal"/>
    <w:qFormat/>
    <w:pPr>
      <w:widowControl w:val="false"/>
      <w:suppressLineNumbers/>
    </w:pPr>
    <w:rPr/>
  </w:style>
  <w:style w:type="paragraph" w:styleId="Style25">
    <w:name w:val="Заголовок таблицы"/>
    <w:basedOn w:val="Style24"/>
    <w:qFormat/>
    <w:pPr>
      <w:suppressLineNumbers/>
      <w:jc w:val="center"/>
    </w:pPr>
    <w:rPr>
      <w:b/>
      <w:bCs/>
    </w:rPr>
  </w:style>
  <w:style w:type="numbering" w:styleId="user6" w:default="1">
    <w:name w:val="Без списка (user)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9">
    <w:name w:val="Table Grid"/>
    <w:basedOn w:val="a1"/>
    <w:uiPriority w:val="99"/>
    <w:rsid w:val="00e30708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footer" Target="footer1.xml"/><Relationship Id="rId5" Type="http://schemas.openxmlformats.org/officeDocument/2006/relationships/footer" Target="footer2.xml"/><Relationship Id="rId6" Type="http://schemas.openxmlformats.org/officeDocument/2006/relationships/footer" Target="footer3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ACEEF6-1A05-463E-A059-FCFF2F730F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Application>LibreOffice/26.2.5.2$Windows_X86_64 LibreOffice_project/cd7284b4cbbfeb507e630c1aac019f4157393acb</Application>
  <AppVersion>15.0000</AppVersion>
  <Pages>2</Pages>
  <Words>506</Words>
  <Characters>3265</Characters>
  <CharactersWithSpaces>3716</CharactersWithSpaces>
  <Paragraphs>78</Paragraphs>
  <Company>RePack by SPecialiST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2023-04-05T05:50:00Z</dcterms:created>
  <dc:creator>Костюков А.А.</dc:creator>
  <dc:description/>
  <dc:language>ru-RU</dc:language>
  <cp:lastModifiedBy/>
  <cp:lastPrinted>2026-08-06T08:32:56Z</cp:lastPrinted>
  <dcterms:modified xsi:type="dcterms:W3CDTF">2026-08-06T08:32:50Z</dcterms:modified>
  <cp:revision>40</cp:revision>
  <dc:subject>автозапчасти</dc:subject>
  <dc:title>Приложение №2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