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shd w:val="clear" w:fill="FFFFFF"/>
        <w:tabs>
          <w:tab w:val="clear" w:pos="720"/>
          <w:tab w:val="left" w:pos="0" w:leader="none"/>
          <w:tab w:val="left" w:pos="851" w:leader="none"/>
          <w:tab w:val="left" w:pos="993" w:leader="none"/>
        </w:tabs>
        <w:spacing w:before="0" w:after="0"/>
        <w:ind w:left="567" w:right="0" w:hanging="0"/>
        <w:jc w:val="right"/>
        <w:rPr>
          <w:rFonts w:ascii="Times New Roman" w:hAnsi="Times New Roman" w:cs="Times New Roman"/>
          <w:b/>
          <w:bCs/>
        </w:rPr>
      </w:pPr>
      <w:r>
        <w:rPr>
          <w:rFonts w:cs="Times New Roman"/>
          <w:b/>
          <w:bCs/>
        </w:rPr>
        <w:t xml:space="preserve">Приложение № 1 </w:t>
      </w:r>
    </w:p>
    <w:p>
      <w:pPr>
        <w:pStyle w:val="Normal"/>
        <w:widowControl w:val="false"/>
        <w:shd w:val="clear" w:fill="FFFFFF"/>
        <w:tabs>
          <w:tab w:val="clear" w:pos="720"/>
          <w:tab w:val="left" w:pos="0" w:leader="none"/>
          <w:tab w:val="left" w:pos="851" w:leader="none"/>
          <w:tab w:val="left" w:pos="993" w:leader="none"/>
        </w:tabs>
        <w:spacing w:before="0" w:after="0"/>
        <w:ind w:left="567" w:right="0" w:hanging="0"/>
        <w:jc w:val="right"/>
        <w:rPr>
          <w:sz w:val="22"/>
          <w:szCs w:val="22"/>
        </w:rPr>
      </w:pPr>
      <w:r>
        <w:rPr>
          <w:rFonts w:cs="Times New Roman"/>
          <w:b/>
          <w:bCs/>
          <w:sz w:val="22"/>
          <w:szCs w:val="22"/>
        </w:rPr>
        <w:t>к техническому заданию</w:t>
      </w:r>
    </w:p>
    <w:p>
      <w:pPr>
        <w:pStyle w:val="Standard"/>
        <w:tabs>
          <w:tab w:val="clear" w:pos="720"/>
          <w:tab w:val="left" w:pos="9921" w:leader="none"/>
        </w:tabs>
        <w:spacing w:lineRule="auto" w:line="252"/>
        <w:ind w:firstLine="709"/>
        <w:jc w:val="both"/>
        <w:rPr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 xml:space="preserve">1. </w:t>
      </w:r>
      <w:r>
        <w:rPr>
          <w:rFonts w:cs="Times New Roman" w:ascii="Times New Roman" w:hAnsi="Times New Roman"/>
          <w:bCs/>
          <w:sz w:val="20"/>
          <w:szCs w:val="20"/>
        </w:rPr>
        <w:t>Наименование объекта закупки:</w:t>
      </w:r>
      <w:r>
        <w:rPr>
          <w:rFonts w:cs="Times New Roman" w:ascii="Times New Roman" w:hAnsi="Times New Roman"/>
          <w:b/>
          <w:sz w:val="20"/>
          <w:szCs w:val="20"/>
          <w:lang w:val="ru-RU"/>
        </w:rPr>
        <w:t xml:space="preserve"> </w:t>
      </w:r>
      <w:r>
        <w:rPr>
          <w:rFonts w:cs="Times New Roman" w:ascii="Times New Roman" w:hAnsi="Times New Roman"/>
          <w:b/>
          <w:sz w:val="20"/>
          <w:szCs w:val="20"/>
          <w:lang w:val="ru-RU"/>
        </w:rPr>
        <w:t xml:space="preserve">Сварочные перчатки </w:t>
      </w:r>
      <w:r>
        <w:rPr>
          <w:rFonts w:cs="Times New Roman" w:ascii="Times New Roman" w:hAnsi="Times New Roman"/>
          <w:b/>
          <w:sz w:val="20"/>
          <w:szCs w:val="20"/>
          <w:lang w:val="ru-RU"/>
        </w:rPr>
        <w:t xml:space="preserve">. </w:t>
      </w:r>
    </w:p>
    <w:p>
      <w:pPr>
        <w:pStyle w:val="Normal"/>
        <w:keepNext w:val="true"/>
        <w:keepLines/>
        <w:tabs>
          <w:tab w:val="clear" w:pos="720"/>
          <w:tab w:val="left" w:pos="851" w:leader="none"/>
          <w:tab w:val="left" w:pos="1021" w:leader="none"/>
        </w:tabs>
        <w:spacing w:before="0" w:after="0"/>
        <w:ind w:firstLine="709"/>
        <w:jc w:val="both"/>
        <w:rPr>
          <w:sz w:val="20"/>
          <w:szCs w:val="20"/>
        </w:rPr>
      </w:pPr>
      <w:r>
        <w:rPr>
          <w:b/>
          <w:sz w:val="20"/>
          <w:szCs w:val="20"/>
        </w:rPr>
        <w:t xml:space="preserve">2. </w:t>
      </w:r>
      <w:r>
        <w:rPr>
          <w:bCs/>
          <w:color w:val="000000"/>
          <w:sz w:val="20"/>
          <w:szCs w:val="20"/>
        </w:rPr>
        <w:t>Требования к отгрузке и доставке Товара:</w:t>
      </w:r>
      <w:r>
        <w:rPr>
          <w:b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 xml:space="preserve">Указанный </w:t>
      </w:r>
      <w:bookmarkStart w:id="0" w:name="_Hlk191452995"/>
      <w:r>
        <w:rPr>
          <w:color w:val="000000"/>
          <w:sz w:val="20"/>
          <w:szCs w:val="20"/>
        </w:rPr>
        <w:t>Товар</w:t>
      </w:r>
      <w:r>
        <w:rPr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 xml:space="preserve">должен быть доставлен </w:t>
      </w:r>
      <w:r>
        <w:rPr>
          <w:sz w:val="20"/>
          <w:szCs w:val="20"/>
        </w:rPr>
        <w:t>по адресу Заказчика:</w:t>
      </w:r>
      <w:r>
        <w:rPr>
          <w:color w:val="000000"/>
          <w:sz w:val="20"/>
          <w:szCs w:val="20"/>
        </w:rPr>
        <w:t xml:space="preserve"> </w:t>
      </w:r>
      <w:r>
        <w:rPr>
          <w:b/>
          <w:color w:val="000000"/>
          <w:sz w:val="20"/>
          <w:szCs w:val="20"/>
        </w:rPr>
        <w:t xml:space="preserve">186326, Республика Карелия, м. р-н Медвежьегорский, </w:t>
      </w:r>
      <w:r>
        <w:rPr>
          <w:b/>
          <w:bCs/>
          <w:spacing w:val="-10"/>
          <w:sz w:val="20"/>
          <w:szCs w:val="20"/>
        </w:rPr>
        <w:t>г.п. Повенецкое,</w:t>
      </w:r>
      <w:r>
        <w:rPr>
          <w:spacing w:val="-10"/>
          <w:sz w:val="20"/>
          <w:szCs w:val="20"/>
        </w:rPr>
        <w:t xml:space="preserve"> </w:t>
      </w:r>
      <w:r>
        <w:rPr>
          <w:b/>
          <w:color w:val="000000"/>
          <w:sz w:val="20"/>
          <w:szCs w:val="20"/>
        </w:rPr>
        <w:t>пгт. Повенец, склад / стройбаза (район шлюза №7)</w:t>
      </w:r>
      <w:r>
        <w:rPr>
          <w:b/>
          <w:color w:val="C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 xml:space="preserve">и разгружен за счет Поставщика </w:t>
      </w:r>
      <w:r>
        <w:rPr>
          <w:sz w:val="20"/>
          <w:szCs w:val="20"/>
        </w:rPr>
        <w:t>в помещении, указанном Заказчиком</w:t>
      </w:r>
      <w:r>
        <w:rPr>
          <w:color w:val="000000"/>
          <w:sz w:val="20"/>
          <w:szCs w:val="20"/>
        </w:rPr>
        <w:t xml:space="preserve"> по предварительному с ним согласованию</w:t>
      </w:r>
      <w:bookmarkEnd w:id="0"/>
      <w:r>
        <w:rPr>
          <w:color w:val="000000"/>
          <w:sz w:val="20"/>
          <w:szCs w:val="20"/>
        </w:rPr>
        <w:t>.</w:t>
      </w:r>
    </w:p>
    <w:p>
      <w:pPr>
        <w:pStyle w:val="Normal"/>
        <w:keepNext w:val="true"/>
        <w:keepLines/>
        <w:spacing w:before="0" w:after="0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Порядок погрузки-разгрузки и транспортировки должны исключать возможность механических повреждений поставляемого Товара. </w:t>
      </w:r>
    </w:p>
    <w:p>
      <w:pPr>
        <w:pStyle w:val="Standard"/>
        <w:tabs>
          <w:tab w:val="clear" w:pos="720"/>
          <w:tab w:val="left" w:pos="9921" w:leader="none"/>
        </w:tabs>
        <w:spacing w:lineRule="auto" w:line="252"/>
        <w:ind w:firstLine="709"/>
        <w:jc w:val="both"/>
        <w:rPr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 xml:space="preserve">3. </w:t>
      </w:r>
      <w:r>
        <w:rPr>
          <w:rFonts w:cs="Times New Roman" w:ascii="Times New Roman" w:hAnsi="Times New Roman"/>
          <w:bCs/>
          <w:sz w:val="20"/>
          <w:szCs w:val="20"/>
        </w:rPr>
        <w:t>Сроки поставки товара:</w:t>
      </w:r>
      <w:r>
        <w:rPr>
          <w:rFonts w:cs="Times New Roman" w:ascii="Times New Roman" w:hAnsi="Times New Roman"/>
          <w:sz w:val="20"/>
          <w:szCs w:val="20"/>
        </w:rPr>
        <w:t xml:space="preserve"> </w:t>
      </w:r>
      <w:r>
        <w:rPr>
          <w:rFonts w:cs="Times New Roman" w:ascii="Times New Roman" w:hAnsi="Times New Roman"/>
          <w:bCs/>
          <w:sz w:val="20"/>
          <w:szCs w:val="20"/>
        </w:rPr>
        <w:t xml:space="preserve">не позднее  </w:t>
      </w:r>
      <w:r>
        <w:rPr>
          <w:rFonts w:cs="Times New Roman" w:ascii="Times New Roman" w:hAnsi="Times New Roman"/>
          <w:bCs/>
          <w:sz w:val="20"/>
          <w:szCs w:val="20"/>
        </w:rPr>
        <w:t>5</w:t>
      </w:r>
      <w:r>
        <w:rPr>
          <w:rFonts w:cs="Times New Roman" w:ascii="Times New Roman" w:hAnsi="Times New Roman"/>
          <w:bCs/>
          <w:sz w:val="20"/>
          <w:szCs w:val="20"/>
        </w:rPr>
        <w:t xml:space="preserve">  (</w:t>
      </w:r>
      <w:r>
        <w:rPr>
          <w:rFonts w:cs="Times New Roman" w:ascii="Times New Roman" w:hAnsi="Times New Roman"/>
          <w:bCs/>
          <w:sz w:val="20"/>
          <w:szCs w:val="20"/>
        </w:rPr>
        <w:t xml:space="preserve">пяти </w:t>
      </w:r>
      <w:r>
        <w:rPr>
          <w:rFonts w:cs="Times New Roman" w:ascii="Times New Roman" w:hAnsi="Times New Roman"/>
          <w:bCs/>
          <w:sz w:val="20"/>
          <w:szCs w:val="20"/>
        </w:rPr>
        <w:t xml:space="preserve">) рабочих дня с даты заключения Контракта. </w:t>
      </w:r>
      <w:r>
        <w:rPr>
          <w:rFonts w:cs="Times New Roman" w:ascii="Times New Roman" w:hAnsi="Times New Roman"/>
          <w:sz w:val="20"/>
          <w:szCs w:val="20"/>
        </w:rPr>
        <w:t>Товар принимается в рабочие дни</w:t>
      </w:r>
      <w:r>
        <w:rPr>
          <w:rFonts w:cs="Times New Roman" w:ascii="Times New Roman" w:hAnsi="Times New Roman"/>
          <w:b/>
          <w:bCs/>
          <w:sz w:val="20"/>
          <w:szCs w:val="20"/>
        </w:rPr>
        <w:t xml:space="preserve"> </w:t>
      </w:r>
      <w:r>
        <w:rPr>
          <w:rFonts w:cs="Times New Roman" w:ascii="Times New Roman" w:hAnsi="Times New Roman"/>
          <w:sz w:val="20"/>
          <w:szCs w:val="20"/>
        </w:rPr>
        <w:t>с 8</w:t>
      </w:r>
      <w:r>
        <w:rPr>
          <w:rFonts w:cs="Times New Roman" w:ascii="Times New Roman" w:hAnsi="Times New Roman"/>
          <w:sz w:val="20"/>
          <w:szCs w:val="20"/>
          <w:vertAlign w:val="superscript"/>
        </w:rPr>
        <w:t>00</w:t>
      </w:r>
      <w:r>
        <w:rPr>
          <w:rFonts w:cs="Times New Roman" w:ascii="Times New Roman" w:hAnsi="Times New Roman"/>
          <w:sz w:val="20"/>
          <w:szCs w:val="20"/>
        </w:rPr>
        <w:t xml:space="preserve"> до 16</w:t>
      </w:r>
      <w:r>
        <w:rPr>
          <w:rFonts w:cs="Times New Roman" w:ascii="Times New Roman" w:hAnsi="Times New Roman"/>
          <w:sz w:val="20"/>
          <w:szCs w:val="20"/>
          <w:vertAlign w:val="superscript"/>
        </w:rPr>
        <w:t>15</w:t>
      </w:r>
      <w:r>
        <w:rPr>
          <w:rFonts w:cs="Times New Roman" w:ascii="Times New Roman" w:hAnsi="Times New Roman"/>
          <w:sz w:val="20"/>
          <w:szCs w:val="20"/>
        </w:rPr>
        <w:t>, перерыв с 12</w:t>
      </w:r>
      <w:r>
        <w:rPr>
          <w:rFonts w:cs="Times New Roman" w:ascii="Times New Roman" w:hAnsi="Times New Roman"/>
          <w:sz w:val="20"/>
          <w:szCs w:val="20"/>
          <w:vertAlign w:val="superscript"/>
        </w:rPr>
        <w:t>30</w:t>
      </w:r>
      <w:r>
        <w:rPr>
          <w:rFonts w:cs="Times New Roman" w:ascii="Times New Roman" w:hAnsi="Times New Roman"/>
          <w:sz w:val="20"/>
          <w:szCs w:val="20"/>
        </w:rPr>
        <w:t xml:space="preserve"> до 13</w:t>
      </w:r>
      <w:r>
        <w:rPr>
          <w:rFonts w:cs="Times New Roman" w:ascii="Times New Roman" w:hAnsi="Times New Roman"/>
          <w:sz w:val="20"/>
          <w:szCs w:val="20"/>
          <w:vertAlign w:val="superscript"/>
        </w:rPr>
        <w:t>30</w:t>
      </w:r>
      <w:r>
        <w:rPr>
          <w:rFonts w:cs="Times New Roman" w:ascii="Times New Roman" w:hAnsi="Times New Roman"/>
          <w:sz w:val="20"/>
          <w:szCs w:val="20"/>
        </w:rPr>
        <w:t xml:space="preserve">. </w:t>
      </w:r>
    </w:p>
    <w:p>
      <w:pPr>
        <w:pStyle w:val="Standard"/>
        <w:tabs>
          <w:tab w:val="clear" w:pos="720"/>
          <w:tab w:val="left" w:pos="9921" w:leader="none"/>
        </w:tabs>
        <w:spacing w:lineRule="auto" w:line="252"/>
        <w:ind w:firstLine="709"/>
        <w:jc w:val="both"/>
        <w:rPr>
          <w:sz w:val="20"/>
          <w:szCs w:val="20"/>
        </w:rPr>
      </w:pPr>
      <w:r>
        <w:rPr>
          <w:rFonts w:eastAsia="Times New Roman" w:cs="Times New Roman" w:ascii="Times New Roman" w:hAnsi="Times New Roman"/>
          <w:bCs/>
          <w:sz w:val="20"/>
          <w:szCs w:val="20"/>
          <w:lang w:eastAsia="ru-RU"/>
        </w:rPr>
        <w:t>В случае поставки Товара Заказчику в нерабочее время или выходные/праздничные дни – Товар приниматься не будет.</w:t>
      </w:r>
    </w:p>
    <w:p>
      <w:pPr>
        <w:pStyle w:val="Standard"/>
        <w:tabs>
          <w:tab w:val="clear" w:pos="720"/>
          <w:tab w:val="left" w:pos="9921" w:leader="none"/>
        </w:tabs>
        <w:ind w:firstLine="709"/>
        <w:jc w:val="both"/>
        <w:rPr>
          <w:sz w:val="20"/>
          <w:szCs w:val="20"/>
        </w:rPr>
      </w:pPr>
      <w:r>
        <w:rPr>
          <w:rFonts w:cs="Times New Roman" w:ascii="Times New Roman" w:hAnsi="Times New Roman"/>
          <w:b/>
          <w:bCs/>
          <w:sz w:val="20"/>
          <w:szCs w:val="20"/>
        </w:rPr>
        <w:t xml:space="preserve">4. </w:t>
      </w:r>
      <w:r>
        <w:rPr>
          <w:rFonts w:cs="Times New Roman" w:ascii="Times New Roman" w:hAnsi="Times New Roman"/>
          <w:sz w:val="20"/>
          <w:szCs w:val="20"/>
        </w:rPr>
        <w:t>Функциональные, технические и качественные характеристики, эксплуатационные характеристики объекта закупки:</w:t>
      </w:r>
    </w:p>
    <w:p>
      <w:pPr>
        <w:pStyle w:val="Standard"/>
        <w:tabs>
          <w:tab w:val="clear" w:pos="720"/>
          <w:tab w:val="left" w:pos="9921" w:leader="none"/>
        </w:tabs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andard"/>
        <w:tabs>
          <w:tab w:val="clear" w:pos="720"/>
          <w:tab w:val="left" w:pos="9921" w:leader="none"/>
        </w:tabs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andard"/>
        <w:tabs>
          <w:tab w:val="clear" w:pos="720"/>
          <w:tab w:val="left" w:pos="9921" w:leader="none"/>
        </w:tabs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andard"/>
        <w:tabs>
          <w:tab w:val="clear" w:pos="720"/>
          <w:tab w:val="left" w:pos="9921" w:leader="none"/>
        </w:tabs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uppressAutoHyphens w:val="false"/>
        <w:spacing w:lineRule="auto" w:line="252" w:before="0" w:after="0"/>
        <w:ind w:left="709" w:hanging="0"/>
        <w:contextualSpacing/>
        <w:rPr>
          <w:bCs/>
          <w:sz w:val="20"/>
          <w:szCs w:val="20"/>
        </w:rPr>
      </w:pPr>
      <w:r>
        <w:rPr>
          <w:bCs/>
          <w:sz w:val="20"/>
          <w:szCs w:val="20"/>
        </w:rPr>
      </w:r>
    </w:p>
    <w:p>
      <w:pPr>
        <w:pStyle w:val="Normal"/>
        <w:suppressAutoHyphens w:val="false"/>
        <w:spacing w:lineRule="auto" w:line="252" w:before="0" w:after="0"/>
        <w:ind w:left="709" w:hanging="0"/>
        <w:contextualSpacing/>
        <w:rPr>
          <w:bCs/>
          <w:sz w:val="20"/>
          <w:szCs w:val="20"/>
        </w:rPr>
      </w:pPr>
      <w:r>
        <w:rPr>
          <w:bCs/>
          <w:sz w:val="20"/>
          <w:szCs w:val="20"/>
        </w:rPr>
      </w:r>
    </w:p>
    <w:tbl>
      <w:tblPr>
        <w:tblW w:w="9780" w:type="dxa"/>
        <w:jc w:val="center"/>
        <w:tblInd w:w="0" w:type="dxa"/>
        <w:tblLayout w:type="fixed"/>
        <w:tblCellMar>
          <w:top w:w="105" w:type="dxa"/>
          <w:left w:w="105" w:type="dxa"/>
          <w:bottom w:w="105" w:type="dxa"/>
          <w:right w:w="105" w:type="dxa"/>
        </w:tblCellMar>
      </w:tblPr>
      <w:tblGrid>
        <w:gridCol w:w="870"/>
        <w:gridCol w:w="6947"/>
        <w:gridCol w:w="1121"/>
        <w:gridCol w:w="841"/>
      </w:tblGrid>
      <w:tr>
        <w:trPr>
          <w:trHeight w:val="675" w:hRule="atLeast"/>
        </w:trPr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6947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</w:tabs>
              <w:suppressAutoHyphens w:val="true"/>
              <w:bidi w:val="0"/>
              <w:spacing w:lineRule="auto" w:line="259" w:before="0" w:after="200"/>
              <w:ind w:left="-454" w:right="0" w:hanging="0"/>
              <w:jc w:val="center"/>
              <w:rPr/>
            </w:pPr>
            <w:r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1121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</w:tabs>
              <w:suppressAutoHyphens w:val="true"/>
              <w:bidi w:val="0"/>
              <w:spacing w:lineRule="auto" w:line="259" w:before="0" w:after="200"/>
              <w:ind w:left="-454" w:right="0" w:hanging="0"/>
              <w:jc w:val="right"/>
              <w:rPr/>
            </w:pPr>
            <w:r>
              <w:rPr>
                <w:sz w:val="24"/>
                <w:szCs w:val="24"/>
              </w:rPr>
              <w:t>Ед. изм.</w:t>
            </w:r>
          </w:p>
        </w:tc>
        <w:tc>
          <w:tcPr>
            <w:tcW w:w="841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</w:tabs>
              <w:suppressAutoHyphens w:val="true"/>
              <w:bidi w:val="0"/>
              <w:spacing w:lineRule="auto" w:line="259" w:before="0" w:after="200"/>
              <w:ind w:left="-454" w:right="0" w:hanging="0"/>
              <w:jc w:val="right"/>
              <w:rPr/>
            </w:pPr>
            <w:r>
              <w:rPr>
                <w:sz w:val="24"/>
                <w:szCs w:val="24"/>
              </w:rPr>
              <w:t>Кол-во</w:t>
            </w:r>
          </w:p>
        </w:tc>
      </w:tr>
      <w:tr>
        <w:trPr>
          <w:trHeight w:val="326" w:hRule="atLeast"/>
        </w:trPr>
        <w:tc>
          <w:tcPr>
            <w:tcW w:w="870" w:type="dxa"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52" w:leader="none"/>
              </w:tabs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947" w:type="dxa"/>
            <w:tcBorders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0" w:leader="none"/>
                <w:tab w:val="left" w:pos="993" w:leader="none"/>
              </w:tabs>
              <w:spacing w:lineRule="auto" w:line="240" w:before="0" w:after="0"/>
              <w:ind w:left="0" w:right="-2" w:hanging="0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</w:rPr>
            </w:pPr>
            <w:r>
              <w:rPr>
                <w:color w:val="000000"/>
                <w:sz w:val="24"/>
                <w:szCs w:val="24"/>
                <w:shd w:fill="FFFFFF" w:val="clear"/>
              </w:rPr>
              <w:t xml:space="preserve">Сварочные перчатки Кедр кс-14 prime, р.М 8024092 </w:t>
            </w:r>
          </w:p>
        </w:tc>
        <w:tc>
          <w:tcPr>
            <w:tcW w:w="1121" w:type="dxa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</w:tabs>
              <w:suppressAutoHyphens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/>
              <w:t>шт</w:t>
            </w:r>
          </w:p>
        </w:tc>
        <w:tc>
          <w:tcPr>
            <w:tcW w:w="841" w:type="dxa"/>
            <w:tcBorders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50</w:t>
            </w:r>
          </w:p>
        </w:tc>
      </w:tr>
      <w:tr>
        <w:trPr>
          <w:trHeight w:val="326" w:hRule="atLeast"/>
        </w:trPr>
        <w:tc>
          <w:tcPr>
            <w:tcW w:w="870" w:type="dxa"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52" w:leader="none"/>
              </w:tabs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947" w:type="dxa"/>
            <w:tcBorders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0" w:leader="none"/>
                <w:tab w:val="left" w:pos="993" w:leader="none"/>
              </w:tabs>
              <w:spacing w:lineRule="auto" w:line="240" w:before="0" w:after="0"/>
              <w:ind w:left="0" w:right="-2" w:hanging="0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</w:rPr>
            </w:pPr>
            <w:r>
              <w:rPr>
                <w:color w:val="000000"/>
                <w:sz w:val="24"/>
                <w:szCs w:val="24"/>
                <w:shd w:fill="FFFFFF" w:val="clear"/>
              </w:rPr>
              <w:t xml:space="preserve">Краги особо прочные с подкладкой РосМарка 35 см (1476), желтый/красный, размер 10,5 КЕ1476 </w:t>
            </w:r>
          </w:p>
        </w:tc>
        <w:tc>
          <w:tcPr>
            <w:tcW w:w="1121" w:type="dxa"/>
            <w:tcBorders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</w:tabs>
              <w:suppressAutoHyphens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/>
              <w:t>шт</w:t>
            </w:r>
          </w:p>
        </w:tc>
        <w:tc>
          <w:tcPr>
            <w:tcW w:w="841" w:type="dxa"/>
            <w:tcBorders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40</w:t>
            </w:r>
          </w:p>
        </w:tc>
      </w:tr>
      <w:tr>
        <w:trPr>
          <w:trHeight w:val="326" w:hRule="atLeast"/>
        </w:trPr>
        <w:tc>
          <w:tcPr>
            <w:tcW w:w="870" w:type="dxa"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52" w:leader="none"/>
              </w:tabs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947" w:type="dxa"/>
            <w:tcBorders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0" w:leader="none"/>
                <w:tab w:val="left" w:pos="993" w:leader="none"/>
              </w:tabs>
              <w:spacing w:lineRule="auto" w:line="240" w:before="0" w:after="0"/>
              <w:ind w:left="0" w:right="-2" w:hanging="0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</w:rPr>
            </w:pPr>
            <w:r>
              <w:rPr>
                <w:color w:val="000000"/>
                <w:sz w:val="24"/>
                <w:szCs w:val="24"/>
                <w:shd w:fill="FFFFFF" w:val="clear"/>
              </w:rPr>
              <w:t xml:space="preserve">Краги сварщика ARCTICUS 200535 от повышенных температур, размер 10 200535-101 </w:t>
            </w:r>
          </w:p>
        </w:tc>
        <w:tc>
          <w:tcPr>
            <w:tcW w:w="1121" w:type="dxa"/>
            <w:tcBorders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</w:tabs>
              <w:suppressAutoHyphens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841" w:type="dxa"/>
            <w:tcBorders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40</w:t>
            </w:r>
          </w:p>
        </w:tc>
      </w:tr>
    </w:tbl>
    <w:p>
      <w:pPr>
        <w:pStyle w:val="Normal"/>
        <w:suppressAutoHyphens w:val="false"/>
        <w:spacing w:lineRule="auto" w:line="252" w:before="0" w:after="0"/>
        <w:ind w:left="709" w:hanging="0"/>
        <w:contextualSpacing/>
        <w:rPr>
          <w:bCs/>
          <w:sz w:val="20"/>
          <w:szCs w:val="20"/>
        </w:rPr>
      </w:pPr>
      <w:r>
        <w:rPr>
          <w:bCs/>
          <w:sz w:val="20"/>
          <w:szCs w:val="20"/>
        </w:rPr>
      </w:r>
    </w:p>
    <w:p>
      <w:pPr>
        <w:pStyle w:val="Normal"/>
        <w:suppressAutoHyphens w:val="false"/>
        <w:spacing w:lineRule="auto" w:line="252" w:before="0" w:after="0"/>
        <w:ind w:left="709" w:hanging="0"/>
        <w:contextualSpacing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 </w:t>
      </w:r>
    </w:p>
    <w:p>
      <w:pPr>
        <w:pStyle w:val="ListParagraph"/>
        <w:numPr>
          <w:ilvl w:val="0"/>
          <w:numId w:val="1"/>
        </w:numPr>
        <w:suppressAutoHyphens w:val="false"/>
        <w:spacing w:lineRule="auto" w:line="252" w:before="0" w:after="0"/>
        <w:ind w:left="0" w:firstLine="709"/>
        <w:contextualSpacing/>
        <w:rPr>
          <w:sz w:val="20"/>
          <w:szCs w:val="20"/>
        </w:rPr>
      </w:pPr>
      <w:r>
        <w:rPr>
          <w:b/>
          <w:sz w:val="20"/>
          <w:szCs w:val="20"/>
        </w:rPr>
        <w:t>Требования к качеству, упаковке, маркировке и безопасности товара:</w:t>
      </w:r>
    </w:p>
    <w:p>
      <w:pPr>
        <w:pStyle w:val="ListParagraph"/>
        <w:numPr>
          <w:ilvl w:val="1"/>
          <w:numId w:val="1"/>
        </w:numPr>
        <w:suppressAutoHyphens w:val="false"/>
        <w:spacing w:lineRule="auto" w:line="252" w:before="0" w:after="0"/>
        <w:ind w:left="0" w:firstLine="709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>Поставляемый Товар должен быть новым, ранее не находившемся в использовании,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свойства. На Товаре не должно быть следов механических повреждений.</w:t>
      </w:r>
    </w:p>
    <w:p>
      <w:pPr>
        <w:pStyle w:val="ListParagraph"/>
        <w:numPr>
          <w:ilvl w:val="1"/>
          <w:numId w:val="1"/>
        </w:numPr>
        <w:suppressAutoHyphens w:val="false"/>
        <w:spacing w:lineRule="auto" w:line="252" w:before="0" w:after="0"/>
        <w:ind w:left="0" w:firstLine="709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>Упаковка и маркировка поставляемого Товара должны соответствовать требованиям действующих на территории Российской Федерации нормативно-правовых актов (стандарт, технический регламент, санитарные нормы).</w:t>
      </w:r>
    </w:p>
    <w:p>
      <w:pPr>
        <w:pStyle w:val="ListParagraph"/>
        <w:numPr>
          <w:ilvl w:val="1"/>
          <w:numId w:val="1"/>
        </w:numPr>
        <w:suppressAutoHyphens w:val="false"/>
        <w:spacing w:lineRule="auto" w:line="252" w:before="0" w:after="0"/>
        <w:ind w:left="0" w:firstLine="709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>Упаковка должна обеспечивать соблюдение температурно-влажностного режима, сохранность Товара при транспортировке, до места назначения и разгрузки, на складе Заказчика. Товар, получивший при погрузке (разгрузке) и транспортировке повреждения, в том числе внешние, вследствие использования Поставщиком ненадлежащей тары и (или) упаковки, ненадлежащей маркировки, считается не поставленным и приемке не подлежит. Стоимость за упаковочные материалы не взыскивается, и данные материалы возврату не подлежат. Стоимость упаковочных материалов включается в стоимость товара.</w:t>
      </w:r>
    </w:p>
    <w:p>
      <w:pPr>
        <w:pStyle w:val="ListParagraph"/>
        <w:numPr>
          <w:ilvl w:val="1"/>
          <w:numId w:val="1"/>
        </w:numPr>
        <w:suppressAutoHyphens w:val="false"/>
        <w:spacing w:lineRule="auto" w:line="252" w:before="0" w:after="0"/>
        <w:ind w:left="0" w:firstLine="709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>Качество и безопасность Товара должны соответствовать требованиям, установленными и действующими в Российской Федерации ГОСТ, санитарным нормам, техническим регламентам, утвержденным на данный вид Товара.</w:t>
      </w:r>
    </w:p>
    <w:p>
      <w:pPr>
        <w:pStyle w:val="ListParagraph"/>
        <w:numPr>
          <w:ilvl w:val="1"/>
          <w:numId w:val="1"/>
        </w:numPr>
        <w:suppressAutoHyphens w:val="false"/>
        <w:spacing w:lineRule="auto" w:line="252" w:before="0" w:after="0"/>
        <w:ind w:left="0" w:firstLine="709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>При осуществлении поставки Поставщик должен представить: оригиналы или надлежащим образом заверенные копии действующих сертификатов качества и сертификатов соответствия требованиям нормативных документов на поставляемую продукцию, разрешающих использование поставляемой продукции на территории Российской Федерации.</w:t>
      </w:r>
    </w:p>
    <w:p>
      <w:pPr>
        <w:pStyle w:val="ListParagraph"/>
        <w:numPr>
          <w:ilvl w:val="1"/>
          <w:numId w:val="1"/>
        </w:numPr>
        <w:suppressAutoHyphens w:val="false"/>
        <w:spacing w:lineRule="auto" w:line="252" w:before="0" w:after="0"/>
        <w:ind w:left="0" w:firstLine="709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>В случае предъявления претензии по качеству Товара по причине несоответствия его условиям Контракта или иным обязательным требованиям, Поставщик должен по выбору Заказчика: устранить недостатки, заменить Товар или его часть Товаром, качество которого соответствует условиям Контракта в течение 10 (десяти) рабочих дней.</w:t>
      </w:r>
    </w:p>
    <w:p>
      <w:pPr>
        <w:pStyle w:val="ListParagraph"/>
        <w:spacing w:lineRule="auto" w:line="252" w:before="0" w:after="0"/>
        <w:ind w:left="709" w:hanging="0"/>
        <w:contextualSpacing/>
        <w:jc w:val="both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</w:r>
    </w:p>
    <w:p>
      <w:pPr>
        <w:pStyle w:val="Normal"/>
        <w:spacing w:lineRule="auto" w:line="252" w:before="0" w:after="0"/>
        <w:ind w:firstLine="709"/>
        <w:jc w:val="both"/>
        <w:rPr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6. Требования, связанные с определением соответствия </w:t>
      </w:r>
      <w:r>
        <w:rPr>
          <w:b/>
          <w:color w:val="000000"/>
          <w:sz w:val="20"/>
          <w:szCs w:val="20"/>
        </w:rPr>
        <w:t>поставляемого Товара потребностям заказчика (приемка товара):</w:t>
      </w:r>
    </w:p>
    <w:p>
      <w:pPr>
        <w:pStyle w:val="Normal"/>
        <w:spacing w:before="0" w:after="0"/>
        <w:ind w:firstLine="709"/>
        <w:jc w:val="both"/>
        <w:rPr>
          <w:sz w:val="20"/>
          <w:szCs w:val="20"/>
        </w:rPr>
      </w:pPr>
      <w:r>
        <w:rPr>
          <w:color w:val="000000"/>
          <w:sz w:val="20"/>
          <w:szCs w:val="20"/>
        </w:rPr>
        <w:t xml:space="preserve">6.1. </w:t>
      </w:r>
      <w:r>
        <w:rPr>
          <w:sz w:val="20"/>
          <w:szCs w:val="20"/>
        </w:rPr>
        <w:t xml:space="preserve">Порядок приемки товаров по количеству и качеству, производится в соответствии с Инструкцией о порядке приемки продукции производственно-технического назначения и товаров народного потребления по количеству, утвержденной постановлением Госарбитража СССР от 15.06.1965 N П-6 </w:t>
      </w:r>
      <w:r>
        <w:rPr>
          <w:spacing w:val="-4"/>
          <w:sz w:val="20"/>
          <w:szCs w:val="20"/>
        </w:rPr>
        <w:t>и качеству, утвержденной постановлением Госарбитража СССР от 25.04.1966г. № П-7).</w:t>
      </w:r>
    </w:p>
    <w:p>
      <w:pPr>
        <w:pStyle w:val="Normal"/>
        <w:spacing w:before="0" w:after="0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6.2. Заказчик при осуществлении приемки поставляемого товара проверяет соответствие количества, качества требованиям, установленным в Контракте.</w:t>
      </w:r>
    </w:p>
    <w:p>
      <w:pPr>
        <w:pStyle w:val="Normal"/>
        <w:spacing w:before="0" w:after="0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before="0" w:after="0"/>
        <w:ind w:firstLine="709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>7.</w:t>
      </w:r>
      <w:r>
        <w:rPr>
          <w:sz w:val="20"/>
          <w:szCs w:val="20"/>
        </w:rPr>
        <w:t xml:space="preserve"> </w:t>
      </w:r>
      <w:r>
        <w:rPr>
          <w:b/>
          <w:bCs/>
          <w:color w:val="000000"/>
          <w:sz w:val="20"/>
          <w:szCs w:val="20"/>
        </w:rPr>
        <w:t>Гарантийные обязательства:</w:t>
      </w:r>
    </w:p>
    <w:p>
      <w:pPr>
        <w:pStyle w:val="Normal"/>
        <w:widowControl w:val="false"/>
        <w:spacing w:lineRule="auto" w:line="252" w:before="0" w:after="0"/>
        <w:ind w:firstLine="709"/>
        <w:jc w:val="both"/>
        <w:rPr>
          <w:sz w:val="20"/>
          <w:szCs w:val="20"/>
        </w:rPr>
      </w:pPr>
      <w:r>
        <w:rPr>
          <w:rFonts w:eastAsia="Calibri"/>
          <w:bCs/>
          <w:color w:val="000000"/>
          <w:sz w:val="20"/>
          <w:szCs w:val="20"/>
        </w:rPr>
        <w:t>7.1. Поставщик гарантирует качество поставляемого Товара.</w:t>
      </w:r>
    </w:p>
    <w:p>
      <w:pPr>
        <w:pStyle w:val="Normal"/>
        <w:widowControl w:val="false"/>
        <w:spacing w:lineRule="auto" w:line="252" w:before="0" w:after="0"/>
        <w:ind w:firstLine="709"/>
        <w:jc w:val="both"/>
        <w:rPr>
          <w:sz w:val="20"/>
          <w:szCs w:val="20"/>
        </w:rPr>
      </w:pPr>
      <w:r>
        <w:rPr>
          <w:rFonts w:eastAsia="Calibri"/>
          <w:bCs/>
          <w:color w:val="000000"/>
          <w:sz w:val="20"/>
          <w:szCs w:val="20"/>
        </w:rPr>
        <w:t xml:space="preserve">7.2. Гарантийный срок не может быть менее гарантийного срока, установленного производителем, но и не менее 6 (шести) месяцев с даты поставки на склад Заказчика и подписания структурированного документа о приемке в единой информационной системе в сфере закупок. </w:t>
      </w:r>
    </w:p>
    <w:p>
      <w:pPr>
        <w:pStyle w:val="Normal"/>
        <w:widowControl w:val="false"/>
        <w:spacing w:lineRule="auto" w:line="252" w:before="0" w:after="0"/>
        <w:ind w:firstLine="709"/>
        <w:jc w:val="both"/>
        <w:rPr>
          <w:sz w:val="20"/>
          <w:szCs w:val="20"/>
        </w:rPr>
      </w:pPr>
      <w:r>
        <w:rPr>
          <w:rFonts w:eastAsia="Calibri"/>
          <w:bCs/>
          <w:color w:val="000000"/>
          <w:sz w:val="20"/>
          <w:szCs w:val="20"/>
        </w:rPr>
        <w:t>7.3. При обнаружении дефектов Товара, возникших по независящим от Заказчика причинам, Поставщик обязан за свой счет устранить дефекты, либо заменить Товар ненадлежащего качества новым в течение 10 (десяти) рабочих дней после письменного уведомления Заказчиком (в том числе по факсу с последующим направлением оригинала).</w:t>
      </w:r>
    </w:p>
    <w:p>
      <w:pPr>
        <w:pStyle w:val="Normal"/>
        <w:widowControl w:val="false"/>
        <w:spacing w:lineRule="auto" w:line="252" w:before="0" w:after="0"/>
        <w:ind w:firstLine="709"/>
        <w:jc w:val="both"/>
        <w:rPr>
          <w:sz w:val="20"/>
          <w:szCs w:val="20"/>
        </w:rPr>
      </w:pPr>
      <w:r>
        <w:rPr>
          <w:rFonts w:eastAsia="Calibri"/>
          <w:bCs/>
          <w:color w:val="000000"/>
          <w:sz w:val="20"/>
          <w:szCs w:val="20"/>
        </w:rPr>
        <w:t>7.4. Гарантийное обслуживание поставляемого товара должно осуществляться без затрат со стороны Заказчика и включать в себя вывоз, ремонт или замену и доставку Заказчику товара, вышедшего из строя в течение установленного гарантийного срока.</w:t>
      </w:r>
    </w:p>
    <w:p>
      <w:pPr>
        <w:pStyle w:val="Normal"/>
        <w:tabs>
          <w:tab w:val="clear" w:pos="720"/>
          <w:tab w:val="left" w:pos="10205" w:leader="none"/>
        </w:tabs>
        <w:spacing w:before="0" w:after="0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tabs>
          <w:tab w:val="clear" w:pos="720"/>
          <w:tab w:val="left" w:pos="10205" w:leader="none"/>
        </w:tabs>
        <w:spacing w:before="0" w:after="0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tabs>
          <w:tab w:val="clear" w:pos="720"/>
          <w:tab w:val="left" w:pos="10205" w:leader="none"/>
        </w:tabs>
        <w:spacing w:before="0" w:after="0"/>
        <w:ind w:firstLine="1134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ListParagraph"/>
        <w:suppressAutoHyphens w:val="false"/>
        <w:spacing w:lineRule="auto" w:line="252" w:before="0" w:after="0"/>
        <w:ind w:left="709" w:hanging="0"/>
        <w:contextualSpacing/>
        <w:rPr>
          <w:sz w:val="20"/>
          <w:szCs w:val="20"/>
        </w:rPr>
      </w:pPr>
      <w:r>
        <w:rPr/>
      </w:r>
      <w:bookmarkStart w:id="1" w:name="_GoBack"/>
      <w:bookmarkStart w:id="2" w:name="_GoBack"/>
      <w:bookmarkEnd w:id="2"/>
    </w:p>
    <w:sectPr>
      <w:type w:val="nextPage"/>
      <w:pgSz w:w="11906" w:h="16838"/>
      <w:pgMar w:left="850" w:right="850" w:gutter="0" w:header="0" w:top="1134" w:footer="0" w:bottom="1134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rlito">
    <w:altName w:val="Calibri"/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OpenSymbol">
    <w:altName w:val="Arial Unicode MS"/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Georgia">
    <w:charset w:val="cc"/>
    <w:family w:val="roman"/>
    <w:pitch w:val="variable"/>
  </w:font>
  <w:font w:name="Calibri">
    <w:charset w:val="cc"/>
    <w:family w:val="roman"/>
    <w:pitch w:val="variable"/>
  </w:font>
  <w:font w:name="Liberation Serif">
    <w:altName w:val="Times New Roman"/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bCs w:val="false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211" w:hanging="360"/>
      </w:pPr>
      <w:rPr>
        <w:b/>
        <w:bCs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778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127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836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185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534" w:hanging="108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4243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592" w:hanging="144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/>
    <w:lsdException w:name="heading 1" w:uiPriority="0" w:semiHidden="0" w:unhideWhenUsed="0" w:qFormat="1"/>
    <w:lsdException w:name="heading 2" w:uiPriority="0" w:semiHidden="0" w:unhideWhenUsed="0" w:qFormat="1"/>
    <w:lsdException w:name="heading 3" w:uiPriority="0" w:semiHidden="0" w:unhideWhenUsed="0" w:qFormat="1"/>
    <w:lsdException w:name="heading 4" w:uiPriority="0" w:semiHidden="0" w:unhideWhenUsed="0" w:qFormat="1"/>
    <w:lsdException w:name="heading 5" w:uiPriority="0" w:semiHidden="0" w:unhideWhenUsed="0"/>
    <w:lsdException w:name="heading 6" w:uiPriority="0" w:semiHidden="0" w:unhideWhenUsed="0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0" w:semiHidden="0" w:unhideWhenUsed="0"/>
    <w:lsdException w:name="Default Paragraph Font" w:uiPriority="1"/>
    <w:lsdException w:name="Subtitle" w:uiPriority="0" w:semiHidden="0" w:unhideWhenUsed="0"/>
    <w:lsdException w:name="Strong" w:uiPriority="0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Heading1">
    <w:name w:val="Heading 1"/>
    <w:basedOn w:val="Normal"/>
    <w:next w:val="Normal"/>
    <w:qFormat/>
    <w:pPr>
      <w:keepNext w:val="true"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qFormat/>
    <w:pPr>
      <w:keepNext w:val="true"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qFormat/>
    <w:pPr>
      <w:keepNext w:val="true"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qFormat/>
    <w:pPr>
      <w:keepNext w:val="true"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qFormat/>
    <w:pPr>
      <w:keepNext w:val="true"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qFormat/>
    <w:pPr>
      <w:keepNext w:val="true"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2707a6"/>
    <w:rPr>
      <w:color w:val="0000FF" w:themeColor="hyperlink"/>
      <w:u w:val="single"/>
    </w:rPr>
  </w:style>
  <w:style w:type="character" w:styleId="1" w:customStyle="1">
    <w:name w:val="Неразрешенное упоминание1"/>
    <w:basedOn w:val="DefaultParagraphFont"/>
    <w:uiPriority w:val="99"/>
    <w:semiHidden/>
    <w:unhideWhenUsed/>
    <w:qFormat/>
    <w:rsid w:val="007d588f"/>
    <w:rPr>
      <w:color w:val="605E5C"/>
      <w:shd w:fill="E1DFDD" w:val="clear"/>
    </w:rPr>
  </w:style>
  <w:style w:type="character" w:styleId="Strong">
    <w:name w:val="Strong"/>
    <w:qFormat/>
    <w:rPr>
      <w:b/>
      <w:bCs/>
    </w:rPr>
  </w:style>
  <w:style w:type="character" w:styleId="Style3" w:customStyle="1">
    <w:name w:val="Основной текст Знак"/>
    <w:qFormat/>
    <w:rPr>
      <w:rFonts w:ascii="Times New Roman" w:hAnsi="Times New Roman" w:eastAsia="DejaVu Sans" w:cs="Times New Roman"/>
      <w:kern w:val="2"/>
      <w:sz w:val="28"/>
      <w:lang w:val="x-none" w:eastAsia="x-none"/>
    </w:rPr>
  </w:style>
  <w:style w:type="character" w:styleId="11" w:customStyle="1">
    <w:name w:val="Заголовок 1 Знак"/>
    <w:qFormat/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character" w:styleId="Style4" w:customStyle="1">
    <w:name w:val="Текст выноски Знак"/>
    <w:qFormat/>
    <w:rPr>
      <w:rFonts w:ascii="Tahoma" w:hAnsi="Tahoma" w:cs="Tahoma"/>
      <w:sz w:val="16"/>
      <w:szCs w:val="16"/>
    </w:rPr>
  </w:style>
  <w:style w:type="character" w:styleId="UnresolvedMention" w:customStyle="1">
    <w:name w:val="Unresolved Mention"/>
    <w:basedOn w:val="DefaultParagraphFont"/>
    <w:uiPriority w:val="99"/>
    <w:semiHidden/>
    <w:unhideWhenUsed/>
    <w:qFormat/>
    <w:rsid w:val="002707a6"/>
    <w:rPr>
      <w:color w:val="605E5C"/>
      <w:shd w:fill="E1DFDD" w:val="clear"/>
    </w:rPr>
  </w:style>
  <w:style w:type="character" w:styleId="Typography" w:customStyle="1">
    <w:name w:val="typography"/>
    <w:basedOn w:val="DefaultParagraphFont"/>
    <w:qFormat/>
    <w:rsid w:val="00f074f2"/>
    <w:rPr/>
  </w:style>
  <w:style w:type="character" w:styleId="Qshczy" w:customStyle="1">
    <w:name w:val="qshczy"/>
    <w:basedOn w:val="DefaultParagraphFont"/>
    <w:qFormat/>
    <w:rsid w:val="001268cc"/>
    <w:rPr/>
  </w:style>
  <w:style w:type="character" w:styleId="Style5">
    <w:name w:val="Маркеры"/>
    <w:qFormat/>
    <w:rPr>
      <w:rFonts w:ascii="OpenSymbol" w:hAnsi="OpenSymbol" w:eastAsia="OpenSymbol" w:cs="OpenSymbol"/>
    </w:rPr>
  </w:style>
  <w:style w:type="paragraph" w:styleId="Style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7">
    <w:name w:val="Указатель"/>
    <w:basedOn w:val="Normal"/>
    <w:qFormat/>
    <w:pPr>
      <w:suppressLineNumbers/>
    </w:pPr>
    <w:rPr>
      <w:rFonts w:cs="Arial"/>
      <w:lang w:val="zxx" w:eastAsia="zxx" w:bidi="zxx"/>
    </w:rPr>
  </w:style>
  <w:style w:type="paragraph" w:styleId="Title">
    <w:name w:val="Title"/>
    <w:basedOn w:val="Normal"/>
    <w:next w:val="Normal"/>
    <w:qFormat/>
    <w:pPr>
      <w:keepNext w:val="true"/>
      <w:keepLines/>
      <w:spacing w:before="480" w:after="120"/>
    </w:pPr>
    <w:rPr>
      <w:b/>
      <w:sz w:val="72"/>
      <w:szCs w:val="72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Subtitle">
    <w:name w:val="Subtitle"/>
    <w:basedOn w:val="Normal"/>
    <w:next w:val="Normal"/>
    <w:qFormat/>
    <w:pPr>
      <w:keepNext w:val="true"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TableParagraph" w:customStyle="1">
    <w:name w:val="Table Paragraph"/>
    <w:basedOn w:val="Normal"/>
    <w:qFormat/>
    <w:pPr>
      <w:widowControl w:val="false"/>
      <w:spacing w:lineRule="exact" w:line="240" w:before="0" w:after="0"/>
    </w:pPr>
    <w:rPr/>
  </w:style>
  <w:style w:type="paragraph" w:styleId="NoSpacing">
    <w:name w:val="No Spacing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ru-RU" w:bidi="ar-SA"/>
    </w:rPr>
  </w:style>
  <w:style w:type="paragraph" w:styleId="BalloonText">
    <w:name w:val="Balloon Text"/>
    <w:basedOn w:val="Normal"/>
    <w:qFormat/>
    <w:pPr>
      <w:spacing w:lineRule="exact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pPr>
      <w:spacing w:before="0" w:after="160"/>
      <w:ind w:left="720" w:hanging="0"/>
      <w:contextualSpacing/>
    </w:pPr>
    <w:rPr/>
  </w:style>
  <w:style w:type="paragraph" w:styleId="Standard" w:customStyle="1">
    <w:name w:val="Standard"/>
    <w:qFormat/>
    <w:rsid w:val="00b93510"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Liberation Serif" w:hAnsi="Liberation Serif" w:eastAsia="Segoe UI" w:cs="Tahoma"/>
      <w:color w:val="000000"/>
      <w:kern w:val="2"/>
      <w:sz w:val="24"/>
      <w:szCs w:val="24"/>
      <w:lang w:val="ru-RU" w:eastAsia="zh-CN" w:bidi="hi-IN"/>
    </w:rPr>
  </w:style>
  <w:style w:type="paragraph" w:styleId="Style8">
    <w:name w:val="Содержимое таблицы"/>
    <w:basedOn w:val="Normal"/>
    <w:qFormat/>
    <w:pPr>
      <w:widowControl w:val="false"/>
      <w:suppressLineNumbers/>
    </w:pPr>
    <w:rPr/>
  </w:style>
  <w:style w:type="paragraph" w:styleId="Style9">
    <w:name w:val="Заголовок таблицы"/>
    <w:basedOn w:val="Style8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2">
    <w:name w:val="_Style 12"/>
    <w:basedOn w:val="TableNormal"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rsid w:val="00e70472"/>
    <w:pPr>
      <w:spacing w:after="60"/>
      <w:jc w:val="both"/>
    </w:pPr>
    <w:rPr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717</TotalTime>
  <Application>AlterOffice/2025.3.0.0$Windows_X86_64 LibreOffice_project/774e6be3fe79fbee37ab4be005d8f260e3857d8a</Application>
  <AppVersion>15.0000</AppVersion>
  <Pages>2</Pages>
  <Words>596</Words>
  <Characters>4136</Characters>
  <CharactersWithSpaces>4699</CharactersWithSpaces>
  <Paragraphs>40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2025-03-27T06:25:00Z</dcterms:created>
  <dc:creator>Наталья</dc:creator>
  <dc:description/>
  <dc:language>ru-RU</dc:language>
  <cp:lastModifiedBy>Александр Александрович Волос</cp:lastModifiedBy>
  <cp:lastPrinted>2025-03-26T09:52:00Z</cp:lastPrinted>
  <dcterms:modified xsi:type="dcterms:W3CDTF">2026-09-17T10:52:13Z</dcterms:modified>
  <cp:revision>43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1049-10.2.0.7636</vt:lpwstr>
  </property>
</Properties>
</file>