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8F" w:rsidRDefault="00E1308F">
      <w:pPr>
        <w:tabs>
          <w:tab w:val="left" w:pos="360"/>
        </w:tabs>
        <w:jc w:val="center"/>
        <w:rPr>
          <w:rFonts w:cs="Times New Roman" w:hint="eastAsia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Техническое задание </w:t>
      </w:r>
    </w:p>
    <w:p w:rsidR="00E5073F" w:rsidRDefault="00FA655B">
      <w:pPr>
        <w:tabs>
          <w:tab w:val="left" w:pos="360"/>
        </w:tabs>
        <w:jc w:val="center"/>
        <w:rPr>
          <w:rFonts w:hint="eastAsia"/>
        </w:rPr>
      </w:pPr>
      <w:r>
        <w:rPr>
          <w:rFonts w:cs="Times New Roman"/>
          <w:bCs/>
          <w:sz w:val="28"/>
          <w:szCs w:val="28"/>
        </w:rPr>
        <w:t>на поставку оборудования</w:t>
      </w:r>
    </w:p>
    <w:p w:rsidR="00E5073F" w:rsidRDefault="00E5073F">
      <w:pPr>
        <w:widowControl w:val="0"/>
        <w:jc w:val="right"/>
        <w:rPr>
          <w:rFonts w:hint="eastAsia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67"/>
        <w:gridCol w:w="3986"/>
        <w:gridCol w:w="3941"/>
      </w:tblGrid>
      <w:tr w:rsidR="00E5073F"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pStyle w:val="user2"/>
              <w:rPr>
                <w:rFonts w:hint="eastAsia"/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 xml:space="preserve">. VoIP </w:t>
            </w:r>
            <w:proofErr w:type="spellStart"/>
            <w:r>
              <w:rPr>
                <w:b/>
                <w:bCs/>
                <w:lang w:val="en-US"/>
              </w:rPr>
              <w:t>шлюз</w:t>
            </w:r>
            <w:proofErr w:type="spellEnd"/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Телефонные соединения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 xml:space="preserve">32 FXS портов </w:t>
            </w:r>
            <w:proofErr w:type="spellStart"/>
            <w:r>
              <w:t>x</w:t>
            </w:r>
            <w:proofErr w:type="spellEnd"/>
            <w:r>
              <w:t xml:space="preserve"> RJ11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Сетевые интерфейсы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x</w:t>
            </w:r>
            <w:proofErr w:type="spellEnd"/>
            <w:r>
              <w:t xml:space="preserve"> 10M/100M/1000 Мбит/с порт RJ45 с автоматическим опознаванием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Светодиодные индикаторы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 xml:space="preserve">LAN </w:t>
            </w:r>
            <w:proofErr w:type="spellStart"/>
            <w:r>
              <w:t>Link</w:t>
            </w:r>
            <w:proofErr w:type="spellEnd"/>
            <w:r>
              <w:t xml:space="preserve">, LAN </w:t>
            </w:r>
            <w:proofErr w:type="spellStart"/>
            <w:r>
              <w:t>Activity</w:t>
            </w:r>
            <w:proofErr w:type="spellEnd"/>
            <w:r>
              <w:t>, подсоединение для каждого телефонного порта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ЖК-дисплей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Графический ЖК-дисплей размером 128x32 с подсветкой, с поддержкой нескольких языков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Функции передачи речи в пакетном режиме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Улучшенное подавление эха операторского класса (128 мс при ответвлении от линии связи), динамический буфер колебаний задержек, обнаружение модема и автоматическое переключение на G.711</w:t>
            </w:r>
          </w:p>
        </w:tc>
      </w:tr>
      <w:tr w:rsidR="00E5073F" w:rsidRPr="00F541F3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Сжатие речевого сигнала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Pr="00F541F3" w:rsidRDefault="00FA655B">
            <w:pPr>
              <w:rPr>
                <w:rFonts w:hint="eastAsia"/>
                <w:lang w:val="en-US"/>
              </w:rPr>
            </w:pPr>
            <w:r w:rsidRPr="00F541F3">
              <w:rPr>
                <w:lang w:val="en-US"/>
              </w:rPr>
              <w:t xml:space="preserve">G.711, G.723.1, G.726, G.729 A/B, </w:t>
            </w:r>
            <w:proofErr w:type="spellStart"/>
            <w:r w:rsidRPr="00F541F3">
              <w:rPr>
                <w:lang w:val="en-US"/>
              </w:rPr>
              <w:t>iLBC</w:t>
            </w:r>
            <w:proofErr w:type="spellEnd"/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Pr="00F541F3" w:rsidRDefault="00E5073F">
            <w:pPr>
              <w:pStyle w:val="user2"/>
              <w:rPr>
                <w:rFonts w:hint="eastAsia"/>
                <w:lang w:val="en-US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Факс по IP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 xml:space="preserve">Факс-реле третьей группы стандарта T.38 с поддержкой скорости передачи данных до 14,4 Кбит/с и автоматическим переключением на G.711 для передачи факсов, функциональный блок передачи-приема данных по факсу V.17, V.21, V.27ter, V.29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факс-реле</w:t>
            </w:r>
            <w:proofErr w:type="gramEnd"/>
            <w:r>
              <w:t xml:space="preserve"> стандарта T.38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Телефонные функции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 xml:space="preserve">Отображение или блокирование номера вызывающего абонента, уведомление о поступившем вызове, слепой или сопровождаемый перевод звонка, переадресация, запрет входящих звонков, трехсторонняя </w:t>
            </w:r>
            <w:proofErr w:type="spellStart"/>
            <w:proofErr w:type="gramStart"/>
            <w:r>
              <w:t>конференц-связь</w:t>
            </w:r>
            <w:proofErr w:type="spellEnd"/>
            <w:proofErr w:type="gramEnd"/>
            <w:r>
              <w:t>, набор номера последнего входящего звонка, поисковый вызов, светодиодный индикатор поступившего сообщения (NEON LED) и прерывистый сигнал, автодозвон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proofErr w:type="spellStart"/>
            <w:r>
              <w:t>QoS</w:t>
            </w:r>
            <w:proofErr w:type="spellEnd"/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proofErr w:type="spellStart"/>
            <w:r>
              <w:t>DiffServ</w:t>
            </w:r>
            <w:proofErr w:type="spellEnd"/>
            <w:r>
              <w:t>, TOS, 802.1P/Q VLAN тегирование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Сетевые протоколы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 xml:space="preserve">TCP/UDP, RTP/RTCP, HTTP/HTTPS, ARP, ICMP, DNS, DHCP, NTP, TFTP, TELNET, </w:t>
            </w:r>
            <w:proofErr w:type="spellStart"/>
            <w:r>
              <w:t>PPPoE</w:t>
            </w:r>
            <w:proofErr w:type="spellEnd"/>
            <w:r>
              <w:t>, STUN</w:t>
            </w:r>
          </w:p>
        </w:tc>
      </w:tr>
      <w:tr w:rsidR="00E5073F">
        <w:trPr>
          <w:trHeight w:val="388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Метод DTMF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 xml:space="preserve">Настраиваемые методы передачи DTMF, включая </w:t>
            </w:r>
            <w:proofErr w:type="spellStart"/>
            <w:r>
              <w:t>In-audio</w:t>
            </w:r>
            <w:proofErr w:type="spellEnd"/>
            <w:r>
              <w:t>, RFC2833, и/или SIP INFO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Передача сигналов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SIP (RFC 3261) по UDP/TCP/TLS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Профили сервера SIP и учетные записи для каждой системы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 xml:space="preserve">4 </w:t>
            </w:r>
            <w:proofErr w:type="gramStart"/>
            <w:r>
              <w:t>отдельных</w:t>
            </w:r>
            <w:proofErr w:type="gramEnd"/>
            <w:r>
              <w:t xml:space="preserve"> профиля сервера SIP для каждой системы и отдельные учетные записи SIP для каждого телефонного порта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proofErr w:type="spellStart"/>
            <w:r>
              <w:t>Provisioning</w:t>
            </w:r>
            <w:proofErr w:type="spellEnd"/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TFTP, HTTP, HTTPS, TR069</w:t>
            </w:r>
          </w:p>
        </w:tc>
      </w:tr>
      <w:tr w:rsidR="00E5073F" w:rsidRPr="00F541F3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E5073F">
            <w:pPr>
              <w:pStyle w:val="user2"/>
              <w:rPr>
                <w:rFonts w:hint="eastAsia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Обеспечение защиты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Pr="00F541F3" w:rsidRDefault="00FA655B">
            <w:pPr>
              <w:rPr>
                <w:rFonts w:hint="eastAsia"/>
                <w:lang w:val="en-US"/>
              </w:rPr>
            </w:pPr>
            <w:r w:rsidRPr="00F541F3">
              <w:rPr>
                <w:lang w:val="en-US"/>
              </w:rPr>
              <w:t>SRTP, TLS/SIPS, HTTPS, 802.1x</w:t>
            </w:r>
          </w:p>
        </w:tc>
      </w:tr>
      <w:tr w:rsidR="00E5073F"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5073F" w:rsidRPr="00F541F3" w:rsidRDefault="00E5073F">
            <w:pPr>
              <w:pStyle w:val="user2"/>
              <w:rPr>
                <w:rFonts w:hint="eastAsia"/>
                <w:lang w:val="en-US"/>
              </w:rPr>
            </w:pP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r>
              <w:t>Управление</w:t>
            </w:r>
            <w:r>
              <w:br/>
              <w:t>Универсальный источник питания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73F" w:rsidRDefault="00FA655B">
            <w:pPr>
              <w:rPr>
                <w:rFonts w:hint="eastAsia"/>
              </w:rPr>
            </w:pPr>
            <w:proofErr w:type="spellStart"/>
            <w:r>
              <w:t>Syslog</w:t>
            </w:r>
            <w:proofErr w:type="spellEnd"/>
            <w:r>
              <w:t xml:space="preserve">, HTTPS, </w:t>
            </w:r>
            <w:proofErr w:type="spellStart"/>
            <w:r>
              <w:t>веб-браузер</w:t>
            </w:r>
            <w:proofErr w:type="spellEnd"/>
            <w:r>
              <w:t xml:space="preserve">, </w:t>
            </w:r>
            <w:proofErr w:type="spellStart"/>
            <w:r>
              <w:t>telnet</w:t>
            </w:r>
            <w:proofErr w:type="spellEnd"/>
            <w:r>
              <w:t>, голосовое меню (IVR), TR-069</w:t>
            </w:r>
          </w:p>
        </w:tc>
      </w:tr>
    </w:tbl>
    <w:p w:rsidR="00E5073F" w:rsidRDefault="00E5073F">
      <w:pPr>
        <w:tabs>
          <w:tab w:val="left" w:pos="360"/>
        </w:tabs>
        <w:jc w:val="center"/>
        <w:rPr>
          <w:rFonts w:hint="eastAsia"/>
        </w:rPr>
      </w:pPr>
    </w:p>
    <w:p w:rsidR="00E5073F" w:rsidRDefault="00E5073F">
      <w:pPr>
        <w:tabs>
          <w:tab w:val="left" w:pos="360"/>
        </w:tabs>
        <w:jc w:val="center"/>
        <w:rPr>
          <w:rFonts w:hint="eastAsia"/>
        </w:rPr>
      </w:pPr>
    </w:p>
    <w:p w:rsidR="00E5073F" w:rsidRDefault="00E5073F">
      <w:pPr>
        <w:tabs>
          <w:tab w:val="left" w:pos="360"/>
        </w:tabs>
        <w:jc w:val="center"/>
        <w:rPr>
          <w:rFonts w:hint="eastAsia"/>
        </w:rPr>
      </w:pPr>
    </w:p>
    <w:p w:rsidR="00E5073F" w:rsidRDefault="00FA655B">
      <w:pPr>
        <w:widowControl w:val="0"/>
        <w:jc w:val="right"/>
        <w:rPr>
          <w:rFonts w:hint="eastAsia"/>
        </w:rPr>
      </w:pPr>
      <w:r>
        <w:rPr>
          <w:rFonts w:eastAsia="Arial" w:cs="Times New Roman"/>
          <w:i/>
          <w:lang w:eastAsia="ar-SA"/>
        </w:rPr>
        <w:t>Приложение к Спецификации</w:t>
      </w:r>
    </w:p>
    <w:tbl>
      <w:tblPr>
        <w:tblW w:w="10169" w:type="dxa"/>
        <w:tblInd w:w="137" w:type="dxa"/>
        <w:tblLayout w:type="fixed"/>
        <w:tblLook w:val="04A0"/>
      </w:tblPr>
      <w:tblGrid>
        <w:gridCol w:w="680"/>
        <w:gridCol w:w="5229"/>
        <w:gridCol w:w="1826"/>
        <w:gridCol w:w="2434"/>
      </w:tblGrid>
      <w:tr w:rsidR="00E5073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73F" w:rsidRDefault="00FA655B">
            <w:pPr>
              <w:spacing w:after="160"/>
              <w:jc w:val="center"/>
              <w:rPr>
                <w:rFonts w:hint="eastAsia"/>
              </w:rPr>
            </w:pPr>
            <w:r>
              <w:rPr>
                <w:rFonts w:eastAsia="Arial" w:cs="Times New Roman"/>
                <w:lang w:eastAsia="ar-SA"/>
              </w:rPr>
              <w:t xml:space="preserve">№ </w:t>
            </w:r>
            <w:proofErr w:type="spellStart"/>
            <w:proofErr w:type="gramStart"/>
            <w:r>
              <w:rPr>
                <w:rFonts w:eastAsia="Arial" w:cs="Times New Roman"/>
                <w:lang w:eastAsia="ar-SA"/>
              </w:rPr>
              <w:t>п</w:t>
            </w:r>
            <w:proofErr w:type="spellEnd"/>
            <w:proofErr w:type="gramEnd"/>
            <w:r>
              <w:rPr>
                <w:rFonts w:eastAsia="Arial" w:cs="Times New Roman"/>
                <w:lang w:eastAsia="ar-SA"/>
              </w:rPr>
              <w:t>/</w:t>
            </w:r>
            <w:proofErr w:type="spellStart"/>
            <w:r>
              <w:rPr>
                <w:rFonts w:eastAsia="Arial" w:cs="Times New Roman"/>
                <w:lang w:eastAsia="ar-SA"/>
              </w:rPr>
              <w:t>п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73F" w:rsidRDefault="00FA655B">
            <w:pPr>
              <w:spacing w:after="160"/>
              <w:jc w:val="center"/>
              <w:rPr>
                <w:rFonts w:hint="eastAsia"/>
              </w:rPr>
            </w:pPr>
            <w:r>
              <w:rPr>
                <w:rFonts w:cs="Times New Roman"/>
              </w:rPr>
              <w:t>Наименование товара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73F" w:rsidRDefault="00FA655B">
            <w:pPr>
              <w:spacing w:after="160"/>
              <w:jc w:val="center"/>
              <w:rPr>
                <w:rFonts w:hint="eastAsia"/>
              </w:rPr>
            </w:pPr>
            <w:r>
              <w:rPr>
                <w:rFonts w:eastAsia="Arial" w:cs="Times New Roman"/>
                <w:lang w:eastAsia="ar-SA"/>
              </w:rPr>
              <w:t>Единица измерения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73F" w:rsidRDefault="00FA655B">
            <w:pPr>
              <w:spacing w:after="160"/>
              <w:jc w:val="center"/>
              <w:rPr>
                <w:rFonts w:hint="eastAsia"/>
              </w:rPr>
            </w:pPr>
            <w:r>
              <w:rPr>
                <w:rFonts w:eastAsia="Arial" w:cs="Times New Roman"/>
                <w:lang w:eastAsia="ar-SA"/>
              </w:rPr>
              <w:t>Количество</w:t>
            </w:r>
          </w:p>
        </w:tc>
      </w:tr>
      <w:tr w:rsidR="00E5073F"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73F" w:rsidRDefault="00FA655B">
            <w:pPr>
              <w:spacing w:after="160"/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5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73F" w:rsidRDefault="00FA655B">
            <w:pPr>
              <w:rPr>
                <w:rFonts w:hint="eastAsia"/>
              </w:rPr>
            </w:pPr>
            <w:r>
              <w:rPr>
                <w:rFonts w:eastAsia="Calibri" w:cs="Times New Roman"/>
                <w:color w:val="000000"/>
                <w:lang w:val="en-US"/>
              </w:rPr>
              <w:t xml:space="preserve">VoIP </w:t>
            </w:r>
            <w:proofErr w:type="spellStart"/>
            <w:r>
              <w:rPr>
                <w:rFonts w:eastAsia="Calibri" w:cs="Times New Roman"/>
                <w:color w:val="000000"/>
                <w:lang w:val="en-US"/>
              </w:rPr>
              <w:t>шлюз</w:t>
            </w:r>
            <w:proofErr w:type="spellEnd"/>
            <w:r>
              <w:rPr>
                <w:rFonts w:eastAsia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</w:rPr>
              <w:t>Grandstream</w:t>
            </w:r>
            <w:proofErr w:type="spellEnd"/>
            <w:r>
              <w:rPr>
                <w:rFonts w:eastAsia="Calibri" w:cs="Times New Roman"/>
                <w:color w:val="000000"/>
              </w:rPr>
              <w:t xml:space="preserve"> GXW4232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73F" w:rsidRDefault="00FA655B">
            <w:pPr>
              <w:spacing w:after="160"/>
              <w:jc w:val="center"/>
              <w:rPr>
                <w:rFonts w:hint="eastAsia"/>
              </w:rPr>
            </w:pPr>
            <w:r>
              <w:rPr>
                <w:rFonts w:eastAsia="Arial" w:cs="Times New Roman"/>
                <w:color w:val="000000"/>
                <w:lang w:eastAsia="ar-SA"/>
              </w:rPr>
              <w:t>шт.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73F" w:rsidRDefault="00FA655B">
            <w:pPr>
              <w:spacing w:after="160"/>
              <w:jc w:val="center"/>
              <w:rPr>
                <w:rFonts w:hint="eastAsia"/>
              </w:rPr>
            </w:pPr>
            <w:r>
              <w:t>7</w:t>
            </w:r>
          </w:p>
        </w:tc>
      </w:tr>
    </w:tbl>
    <w:p w:rsidR="00E5073F" w:rsidRDefault="00E5073F">
      <w:pPr>
        <w:rPr>
          <w:rFonts w:hint="eastAsia"/>
        </w:rPr>
      </w:pPr>
    </w:p>
    <w:p w:rsidR="00E5073F" w:rsidRDefault="00FA655B">
      <w:pPr>
        <w:ind w:firstLine="567"/>
        <w:jc w:val="both"/>
        <w:rPr>
          <w:rFonts w:hint="eastAsia"/>
        </w:rPr>
      </w:pPr>
      <w:r>
        <w:rPr>
          <w:lang w:eastAsia="ar-SA"/>
        </w:rPr>
        <w:t>*</w:t>
      </w:r>
      <w:r>
        <w:rPr>
          <w:rFonts w:cs="Times New Roman"/>
          <w:lang w:eastAsia="ar-SA"/>
        </w:rPr>
        <w:t xml:space="preserve">Поставляемый товар должен быть новым (товаром, который не был в эксплуатации, в ремонте, в том </w:t>
      </w:r>
      <w:proofErr w:type="gramStart"/>
      <w:r>
        <w:rPr>
          <w:rFonts w:cs="Times New Roman"/>
          <w:lang w:eastAsia="ar-SA"/>
        </w:rPr>
        <w:t>числе</w:t>
      </w:r>
      <w:proofErr w:type="gramEnd"/>
      <w:r>
        <w:rPr>
          <w:rFonts w:cs="Times New Roman"/>
          <w:lang w:eastAsia="ar-SA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E5073F" w:rsidRDefault="00FA655B">
      <w:pPr>
        <w:ind w:firstLine="567"/>
        <w:jc w:val="both"/>
        <w:rPr>
          <w:rFonts w:hint="eastAsia"/>
        </w:rPr>
      </w:pPr>
      <w:r>
        <w:rPr>
          <w:rFonts w:cs="Times New Roman"/>
          <w:lang w:eastAsia="ar-SA"/>
        </w:rPr>
        <w:t>Поставщик самостоятельно доставляет товар (оборудование) Заказчику с разгрузкой с транспортного средства.</w:t>
      </w:r>
    </w:p>
    <w:p w:rsidR="00E5073F" w:rsidRDefault="00FA655B">
      <w:pPr>
        <w:ind w:firstLine="567"/>
        <w:jc w:val="both"/>
        <w:rPr>
          <w:rFonts w:hint="eastAsia"/>
        </w:rPr>
      </w:pPr>
      <w:r>
        <w:rPr>
          <w:rFonts w:cs="Times New Roman"/>
          <w:color w:val="000000"/>
        </w:rPr>
        <w:t>Товар поставляется в специальной упаковке, соответствующей стандартам, ТУ, обязательным правилам и требованиям для тары и упаковки. Поставщик должен обеспечить упаковку товара (оборудования),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(оборудования) должна полностью обеспечивать условия транспортировки, предъявляемые к данному виду товара.</w:t>
      </w:r>
    </w:p>
    <w:p w:rsidR="00E5073F" w:rsidRDefault="00FA655B">
      <w:pPr>
        <w:ind w:firstLine="567"/>
        <w:jc w:val="both"/>
        <w:rPr>
          <w:rFonts w:hint="eastAsia"/>
        </w:rPr>
      </w:pPr>
      <w:r>
        <w:rPr>
          <w:rFonts w:cs="Times New Roman"/>
        </w:rPr>
        <w:t>Гарантийный срок на поставляемый товар должен составлять на позицию 1 Спецификации не менее 36 месяцев.</w:t>
      </w:r>
    </w:p>
    <w:p w:rsidR="00E5073F" w:rsidRDefault="00FA655B">
      <w:pPr>
        <w:ind w:firstLine="567"/>
        <w:jc w:val="both"/>
        <w:rPr>
          <w:rFonts w:hint="eastAsia"/>
        </w:rPr>
      </w:pPr>
      <w:r>
        <w:rPr>
          <w:rFonts w:cs="Times New Roman"/>
          <w:lang w:eastAsia="ar-SA"/>
        </w:rPr>
        <w:t>Товар должен иметь инструкцию по эксплуатации на русском языке.</w:t>
      </w:r>
    </w:p>
    <w:p w:rsidR="00E5073F" w:rsidRDefault="00FA655B">
      <w:pPr>
        <w:ind w:left="-567" w:firstLine="567"/>
        <w:jc w:val="both"/>
        <w:rPr>
          <w:rFonts w:cs="Times New Roman" w:hint="eastAsia"/>
          <w:lang w:eastAsia="ar-SA"/>
        </w:rPr>
      </w:pPr>
      <w:r>
        <w:rPr>
          <w:rFonts w:cs="Times New Roman"/>
          <w:lang w:eastAsia="ar-SA"/>
        </w:rPr>
        <w:t xml:space="preserve">Поставщик гарантирует безопасность товара в соответствии с требованиями, </w:t>
      </w:r>
      <w:r>
        <w:rPr>
          <w:rFonts w:cs="Times New Roman"/>
          <w:lang w:eastAsia="ar-SA"/>
        </w:rPr>
        <w:tab/>
        <w:t xml:space="preserve">установленными к данному виду товара правом Евразийского экономического союза и </w:t>
      </w:r>
      <w:r>
        <w:rPr>
          <w:rFonts w:cs="Times New Roman"/>
          <w:lang w:eastAsia="ar-SA"/>
        </w:rPr>
        <w:tab/>
        <w:t>законодательством Российской Федерации.</w:t>
      </w:r>
    </w:p>
    <w:p w:rsidR="00E5073F" w:rsidRDefault="00E5073F">
      <w:pPr>
        <w:ind w:left="-567" w:firstLine="567"/>
        <w:jc w:val="both"/>
        <w:rPr>
          <w:rFonts w:cs="Times New Roman" w:hint="eastAsia"/>
          <w:lang w:eastAsia="ar-SA"/>
        </w:rPr>
      </w:pPr>
    </w:p>
    <w:p w:rsidR="00E5073F" w:rsidRDefault="00E5073F">
      <w:pPr>
        <w:ind w:left="-567" w:firstLine="567"/>
        <w:jc w:val="both"/>
        <w:rPr>
          <w:rFonts w:cs="Times New Roman" w:hint="eastAsia"/>
          <w:lang w:eastAsia="ar-SA"/>
        </w:rPr>
      </w:pPr>
    </w:p>
    <w:p w:rsidR="00E5073F" w:rsidRDefault="00E5073F">
      <w:pPr>
        <w:ind w:left="-567" w:firstLine="567"/>
        <w:jc w:val="both"/>
        <w:rPr>
          <w:rFonts w:cs="Times New Roman" w:hint="eastAsia"/>
          <w:lang w:eastAsia="ar-SA"/>
        </w:rPr>
      </w:pPr>
    </w:p>
    <w:sectPr w:rsidR="00E5073F" w:rsidSect="00E5073F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hyphenationZone w:val="0"/>
  <w:characterSpacingControl w:val="doNotCompress"/>
  <w:compat>
    <w:doNotBreakWrappedTables/>
    <w:useFELayout/>
  </w:compat>
  <w:rsids>
    <w:rsidRoot w:val="00E5073F"/>
    <w:rsid w:val="00212D37"/>
    <w:rsid w:val="0082247A"/>
    <w:rsid w:val="00E1308F"/>
    <w:rsid w:val="00E5073F"/>
    <w:rsid w:val="00F541F3"/>
    <w:rsid w:val="00FA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3F"/>
  </w:style>
  <w:style w:type="paragraph" w:styleId="1">
    <w:name w:val="heading 1"/>
    <w:basedOn w:val="a0"/>
    <w:next w:val="a1"/>
    <w:qFormat/>
    <w:rsid w:val="00E5073F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qFormat/>
    <w:rsid w:val="00E5073F"/>
    <w:rPr>
      <w:rFonts w:ascii="Segoe UI" w:hAnsi="Segoe UI" w:cs="Segoe UI"/>
      <w:sz w:val="18"/>
      <w:szCs w:val="18"/>
    </w:rPr>
  </w:style>
  <w:style w:type="character" w:customStyle="1" w:styleId="user">
    <w:name w:val="Маркеры (user)"/>
    <w:qFormat/>
    <w:rsid w:val="00E5073F"/>
    <w:rPr>
      <w:rFonts w:ascii="OpenSymbol" w:eastAsia="OpenSymbol" w:hAnsi="OpenSymbol" w:cs="OpenSymbol"/>
    </w:rPr>
  </w:style>
  <w:style w:type="character" w:styleId="a6">
    <w:name w:val="Strong"/>
    <w:qFormat/>
    <w:rsid w:val="00E5073F"/>
    <w:rPr>
      <w:b/>
      <w:bCs/>
    </w:rPr>
  </w:style>
  <w:style w:type="character" w:styleId="a7">
    <w:name w:val="Emphasis"/>
    <w:qFormat/>
    <w:rsid w:val="00E5073F"/>
    <w:rPr>
      <w:i/>
      <w:iCs/>
    </w:rPr>
  </w:style>
  <w:style w:type="paragraph" w:customStyle="1" w:styleId="a0">
    <w:name w:val="Заголовок"/>
    <w:basedOn w:val="a"/>
    <w:next w:val="a1"/>
    <w:qFormat/>
    <w:rsid w:val="00E5073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E5073F"/>
    <w:pPr>
      <w:spacing w:after="140" w:line="276" w:lineRule="auto"/>
    </w:pPr>
  </w:style>
  <w:style w:type="paragraph" w:styleId="a8">
    <w:name w:val="List"/>
    <w:basedOn w:val="a1"/>
    <w:rsid w:val="00E5073F"/>
  </w:style>
  <w:style w:type="paragraph" w:styleId="a9">
    <w:name w:val="caption"/>
    <w:basedOn w:val="a"/>
    <w:qFormat/>
    <w:rsid w:val="00E5073F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E5073F"/>
    <w:pPr>
      <w:suppressLineNumbers/>
    </w:pPr>
  </w:style>
  <w:style w:type="paragraph" w:customStyle="1" w:styleId="user0">
    <w:name w:val="Заголовок (user)"/>
    <w:basedOn w:val="a"/>
    <w:next w:val="a1"/>
    <w:qFormat/>
    <w:rsid w:val="00E5073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Указатель (user)"/>
    <w:basedOn w:val="a"/>
    <w:qFormat/>
    <w:rsid w:val="00E5073F"/>
    <w:pPr>
      <w:suppressLineNumbers/>
    </w:pPr>
  </w:style>
  <w:style w:type="paragraph" w:customStyle="1" w:styleId="user2">
    <w:name w:val="Содержимое таблицы (user)"/>
    <w:basedOn w:val="a"/>
    <w:qFormat/>
    <w:rsid w:val="00E5073F"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rsid w:val="00E5073F"/>
    <w:pPr>
      <w:jc w:val="center"/>
    </w:pPr>
    <w:rPr>
      <w:b/>
      <w:bCs/>
    </w:rPr>
  </w:style>
  <w:style w:type="paragraph" w:customStyle="1" w:styleId="ab">
    <w:name w:val="Содержимое таблицы"/>
    <w:basedOn w:val="a"/>
    <w:qFormat/>
    <w:rsid w:val="00E5073F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E5073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margarita.erakova</dc:creator>
  <cp:lastModifiedBy>margarita.erakova</cp:lastModifiedBy>
  <cp:revision>2</cp:revision>
  <dcterms:created xsi:type="dcterms:W3CDTF">2026-06-30T06:39:00Z</dcterms:created>
  <dcterms:modified xsi:type="dcterms:W3CDTF">2026-06-30T06:39:00Z</dcterms:modified>
  <dc:language>ru-RU</dc:language>
</cp:coreProperties>
</file>