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Контракт №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0" w:name="_Hlk159928058"/>
      <w:r>
        <w:rPr>
          <w:b/>
          <w:bCs/>
          <w:color w:val="000000"/>
        </w:rPr>
        <w:t xml:space="preserve">                       </w:t>
      </w:r>
      <w:r>
        <w:rPr/>
        <w:t>« __» __________ 2026г.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действующего на основании доверенности от 08.06.2026, именуемое в дальнейшем «Заказчик», с одной стороны, _____________________, именуемый в дальнейшем «Поставщик», с другой стороны, на основании п. 4 ч. 1 ст. 93 </w:t>
      </w:r>
      <w:r>
        <w:rPr>
          <w:rFonts w:eastAsia="Times New Roman" w:cs="Times New Roman"/>
          <w:color w:val="auto"/>
          <w:kern w:val="0"/>
          <w:sz w:val="20"/>
          <w:szCs w:val="20"/>
          <w:lang w:val="ru-RU" w:eastAsia="ru-RU" w:bidi="ar-SA"/>
        </w:rPr>
        <w:t>Федерального Закона № 44-ФЗ «О контрактной системе в сфере закупок товаров, работ, услуг для обеспечения государственных и муниципальных нужд» от 05.04.2013 г.,</w:t>
      </w:r>
      <w:r>
        <w:rPr/>
        <w:t xml:space="preserve"> заключили настоящий Контракт о нижеследующем:</w:t>
      </w:r>
    </w:p>
    <w:p>
      <w:pPr>
        <w:pStyle w:val="Normal"/>
        <w:spacing w:before="0" w:after="60"/>
        <w:jc w:val="center"/>
        <w:rPr>
          <w:b/>
          <w:bCs/>
        </w:rPr>
      </w:pPr>
      <w:r>
        <w:rPr>
          <w:b/>
        </w:rPr>
        <w:t>1. Предмет Контракта</w:t>
      </w:r>
    </w:p>
    <w:p>
      <w:pPr>
        <w:pStyle w:val="Normal"/>
        <w:numPr>
          <w:ilvl w:val="0"/>
          <w:numId w:val="0"/>
        </w:numPr>
        <w:ind w:hanging="0" w:start="0"/>
        <w:jc w:val="both"/>
        <w:outlineLvl w:val="0"/>
        <w:rPr>
          <w:b/>
          <w:bCs/>
        </w:rPr>
      </w:pPr>
      <w:r>
        <w:rPr/>
        <w:t>1.1. Поставщик по настоящему Контракт</w:t>
      </w:r>
      <w:r>
        <w:rPr>
          <w:bCs/>
        </w:rPr>
        <w:t>у</w:t>
      </w:r>
      <w:r>
        <w:rPr/>
        <w:t xml:space="preserve"> обязуется пос</w:t>
      </w:r>
      <w:r>
        <w:rPr>
          <w:sz w:val="22"/>
          <w:szCs w:val="22"/>
        </w:rPr>
        <w:t>тавить то</w:t>
      </w:r>
      <w:r>
        <w:rPr>
          <w:rFonts w:eastAsia="Times New Roman" w:cs="Times New Roman"/>
          <w:color w:val="auto"/>
          <w:kern w:val="0"/>
          <w:sz w:val="22"/>
          <w:szCs w:val="22"/>
          <w:lang w:val="ru-RU" w:eastAsia="ru-RU" w:bidi="ar-SA"/>
        </w:rPr>
        <w:t xml:space="preserve">вар: </w:t>
      </w:r>
      <w:r>
        <w:rPr>
          <w:rFonts w:eastAsia="Times New Roman" w:cs="Times New Roman"/>
          <w:b/>
          <w:bCs/>
          <w:color w:val="auto"/>
          <w:kern w:val="0"/>
          <w:sz w:val="22"/>
          <w:szCs w:val="22"/>
          <w:lang w:val="ru-RU" w:eastAsia="ru-RU" w:bidi="ar-SA"/>
        </w:rPr>
        <w:t>материалы полимерные для литья</w:t>
      </w:r>
      <w:r>
        <w:rPr>
          <w:rFonts w:eastAsia="Times New Roman" w:cs="Times New Roman"/>
          <w:color w:val="auto"/>
          <w:kern w:val="0"/>
          <w:sz w:val="22"/>
          <w:szCs w:val="22"/>
          <w:lang w:val="ru-RU" w:eastAsia="ru-RU" w:bidi="ar-SA"/>
        </w:rPr>
        <w:t xml:space="preserve"> и передать его Заказчику, а Заказчик по настоящему Контракту</w:t>
      </w:r>
      <w:r>
        <w:rPr>
          <w:rFonts w:eastAsia="Times New Roman" w:cs="Times New Roman"/>
          <w:color w:val="auto"/>
          <w:kern w:val="0"/>
          <w:sz w:val="20"/>
          <w:szCs w:val="20"/>
          <w:lang w:val="ru-RU" w:eastAsia="ru-RU" w:bidi="ar-SA"/>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Контрактом и спецификацией (Приложение №1 к настоящему Контракт</w:t>
      </w:r>
      <w:r>
        <w:rPr>
          <w:bCs/>
        </w:rPr>
        <w:t>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ind w:hanging="0"/>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(_____________ рублей 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 xml:space="preserve">2.4. </w:t>
      </w:r>
      <w:bookmarkStart w:id="2"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4"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4.1. Поставка товар</w:t>
      </w:r>
      <w:r>
        <w:rPr>
          <w:rFonts w:eastAsia="Times New Roman" w:cs="Times New Roman"/>
          <w:bCs/>
          <w:color w:val="auto"/>
          <w:kern w:val="0"/>
          <w:sz w:val="20"/>
          <w:szCs w:val="20"/>
          <w:lang w:val="ru-RU" w:eastAsia="ru-RU" w:bidi="ar-SA"/>
        </w:rPr>
        <w:t>а осуществляе</w:t>
      </w:r>
      <w:r>
        <w:rPr>
          <w:bCs/>
        </w:rPr>
        <w:t>тся с даты заключения контракта до 01.11.2026.</w:t>
      </w:r>
    </w:p>
    <w:p>
      <w:pPr>
        <w:pStyle w:val="Normal"/>
        <w:shd w:val="clear" w:color="auto" w:fill="FFFFFF"/>
        <w:tabs>
          <w:tab w:val="clear" w:pos="708"/>
          <w:tab w:val="left" w:pos="0" w:leader="none"/>
          <w:tab w:val="left" w:pos="900" w:leader="none"/>
        </w:tabs>
        <w:jc w:val="both"/>
        <w:rPr>
          <w:bCs/>
        </w:rPr>
      </w:pPr>
      <w:r>
        <w:rPr>
          <w:bCs/>
        </w:rPr>
        <w:t>4.2. Поставка Товара осуществляется за счет Поставщика на франко-склад Заказчика по адресу: 650002, г. Кемерово, бульвар имени академика Л.С. Барбараша, стр. 6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bCs/>
        </w:rPr>
        <w:t>4.3. Датой поставки Товара считается дата подписания Зака</w:t>
      </w:r>
      <w:r>
        <w:rPr>
          <w:color w:themeColor="text1" w:val="000000"/>
        </w:rPr>
        <w:t>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jc w:val="both"/>
        <w:rPr/>
      </w:pPr>
      <w:r>
        <w:rPr/>
        <w:t xml:space="preserve">6.2. Товар должен быть новым, ранее не использованным. </w:t>
      </w:r>
    </w:p>
    <w:p>
      <w:pPr>
        <w:pStyle w:val="Normal"/>
        <w:jc w:val="both"/>
        <w:rPr/>
      </w:pPr>
      <w:r>
        <w:rPr/>
        <w:t xml:space="preserve">6.3. Гарантийный срок — </w:t>
      </w:r>
      <w:r>
        <w:rPr>
          <w:sz w:val="22"/>
          <w:szCs w:val="22"/>
        </w:rPr>
        <w:t>не менее 12 месяцев</w:t>
      </w:r>
      <w:r>
        <w:rPr/>
        <w:t xml:space="preserve"> с момента подписания документов о приемке Сторонами</w:t>
      </w:r>
      <w:bookmarkStart w:id="5" w:name="_Hlk177570061"/>
      <w:r>
        <w:rPr/>
        <w:t>.</w:t>
      </w:r>
      <w:bookmarkEnd w:id="5"/>
    </w:p>
    <w:p>
      <w:pPr>
        <w:pStyle w:val="Normal"/>
        <w:jc w:val="both"/>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6"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6"/>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 xml:space="preserve">_________ </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BodyTextIndent"/>
        <w:ind w:hanging="0"/>
        <w:jc w:val="center"/>
        <w:rPr>
          <w:b/>
          <w:lang w:val="ru-RU"/>
        </w:rPr>
      </w:pPr>
      <w:r>
        <w:rPr>
          <w:b/>
          <w:lang w:val="ru-RU"/>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7"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rPr>
        <w:t>20</w:t>
      </w:r>
      <w:r>
        <w:rPr>
          <w:rFonts w:ascii="Times New Roman" w:hAnsi="Times New Roman"/>
          <w:sz w:val="20"/>
          <w:szCs w:val="20"/>
        </w:rPr>
        <w:t>.12.2026 г., а в части оплаты – до исполнения обязательств.</w:t>
      </w:r>
      <w:bookmarkEnd w:id="7"/>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end="-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31"/>
        <w:gridCol w:w="4825"/>
      </w:tblGrid>
      <w:tr>
        <w:trPr>
          <w:trHeight w:val="7632" w:hRule="atLeast"/>
        </w:trPr>
        <w:tc>
          <w:tcPr>
            <w:tcW w:w="5631"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widowControl/>
              <w:jc w:val="start"/>
              <w:rPr>
                <w:rFonts w:eastAsia="Calibri"/>
                <w:sz w:val="20"/>
                <w:szCs w:val="20"/>
                <w:lang w:eastAsia="en-US"/>
              </w:rPr>
            </w:pPr>
            <w:r>
              <w:rPr>
                <w:rFonts w:eastAsia="Calibri"/>
                <w:b/>
                <w:bCs/>
                <w:sz w:val="20"/>
                <w:szCs w:val="20"/>
                <w:lang w:eastAsia="en-US"/>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w:t>
            </w:r>
            <w:r>
              <w:rPr>
                <w:rFonts w:eastAsia="Calibri"/>
                <w:sz w:val="20"/>
                <w:szCs w:val="20"/>
                <w:lang w:eastAsia="en-US"/>
              </w:rPr>
              <w:t xml:space="preserve">   </w:t>
            </w:r>
          </w:p>
          <w:p>
            <w:pPr>
              <w:pStyle w:val="Normal"/>
              <w:spacing w:lineRule="auto" w:line="288"/>
              <w:ind w:end="540"/>
              <w:rPr/>
            </w:pPr>
            <w:r>
              <w:rPr>
                <w:sz w:val="20"/>
                <w:szCs w:val="20"/>
                <w:shd w:fill="FFFFFF" w:val="clear"/>
              </w:rPr>
              <w:t>Юридический и фактический адрес:</w:t>
            </w:r>
          </w:p>
          <w:p>
            <w:pPr>
              <w:pStyle w:val="Normal"/>
              <w:spacing w:lineRule="auto" w:line="288"/>
              <w:ind w:end="540"/>
              <w:rPr>
                <w:sz w:val="20"/>
                <w:szCs w:val="20"/>
                <w:shd w:fill="FFFFFF" w:val="clear"/>
              </w:rPr>
            </w:pPr>
            <w:r>
              <w:rPr>
                <w:sz w:val="20"/>
                <w:szCs w:val="20"/>
                <w:shd w:fill="FFFFFF" w:val="clear"/>
              </w:rPr>
              <w:t>650002, г. Кемерово, бульвар имени академика Л.С. Барбараша, стр. 6</w:t>
            </w:r>
          </w:p>
          <w:p>
            <w:pPr>
              <w:pStyle w:val="Normal"/>
              <w:spacing w:lineRule="auto" w:line="288"/>
              <w:ind w:end="540"/>
              <w:rPr>
                <w:sz w:val="20"/>
                <w:szCs w:val="20"/>
                <w:shd w:fill="FFFFFF" w:val="clear"/>
              </w:rPr>
            </w:pPr>
            <w:r>
              <w:rPr>
                <w:sz w:val="20"/>
                <w:szCs w:val="20"/>
                <w:shd w:fill="FFFFFF" w:val="clear"/>
              </w:rPr>
              <w:t>Тел.: +7 (3842) 34-53-72</w:t>
            </w:r>
          </w:p>
          <w:p>
            <w:pPr>
              <w:pStyle w:val="Normal"/>
              <w:spacing w:lineRule="auto" w:line="288"/>
              <w:ind w:end="540"/>
              <w:rPr>
                <w:sz w:val="20"/>
                <w:szCs w:val="20"/>
                <w:shd w:fill="FFFFFF" w:val="clear"/>
              </w:rPr>
            </w:pPr>
            <w:r>
              <w:rPr>
                <w:sz w:val="20"/>
                <w:szCs w:val="20"/>
                <w:shd w:fill="FFFFFF" w:val="clear"/>
              </w:rPr>
              <w:t>Банковские реквизиты:</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20396Х66880)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22396Х66880)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21396Х66880)</w:t>
            </w:r>
          </w:p>
          <w:p>
            <w:pPr>
              <w:pStyle w:val="Normal"/>
              <w:spacing w:lineRule="auto" w:line="288"/>
              <w:ind w:end="540"/>
              <w:rPr>
                <w:sz w:val="20"/>
                <w:szCs w:val="20"/>
                <w:shd w:fill="FFFFFF" w:val="clear"/>
              </w:rPr>
            </w:pPr>
            <w:r>
              <w:rPr>
                <w:sz w:val="20"/>
                <w:szCs w:val="20"/>
                <w:shd w:fill="FFFFFF" w:val="clear"/>
              </w:rPr>
              <w:t>ИНН 4205012290  КПП 420501001</w:t>
            </w:r>
          </w:p>
          <w:p>
            <w:pPr>
              <w:pStyle w:val="Normal"/>
              <w:spacing w:lineRule="auto" w:line="288"/>
              <w:ind w:end="540"/>
              <w:rPr>
                <w:sz w:val="20"/>
                <w:szCs w:val="20"/>
                <w:shd w:fill="FFFFFF" w:val="clear"/>
              </w:rPr>
            </w:pPr>
            <w:r>
              <w:rPr>
                <w:sz w:val="20"/>
                <w:szCs w:val="20"/>
                <w:shd w:fill="FFFFFF" w:val="clear"/>
              </w:rPr>
              <w:t>КС 03214643000000015106</w:t>
            </w:r>
          </w:p>
          <w:p>
            <w:pPr>
              <w:pStyle w:val="Normal"/>
              <w:spacing w:lineRule="auto" w:line="288"/>
              <w:ind w:end="540"/>
              <w:rPr>
                <w:sz w:val="20"/>
                <w:szCs w:val="20"/>
                <w:shd w:fill="FFFFFF" w:val="clear"/>
              </w:rPr>
            </w:pPr>
            <w:r>
              <w:rPr>
                <w:sz w:val="20"/>
                <w:szCs w:val="20"/>
                <w:shd w:fill="FFFFFF" w:val="clear"/>
              </w:rPr>
              <w:t>ОКЦ № 1 СибГУ Банка России//УФК по Новосибирской области, г. Новосибирск</w:t>
            </w:r>
          </w:p>
          <w:p>
            <w:pPr>
              <w:pStyle w:val="Normal"/>
              <w:spacing w:lineRule="auto" w:line="288"/>
              <w:ind w:end="540"/>
              <w:rPr>
                <w:sz w:val="20"/>
                <w:szCs w:val="20"/>
                <w:shd w:fill="FFFFFF" w:val="clear"/>
              </w:rPr>
            </w:pPr>
            <w:r>
              <w:rPr>
                <w:sz w:val="20"/>
                <w:szCs w:val="20"/>
                <w:shd w:fill="FFFFFF" w:val="clear"/>
              </w:rPr>
              <w:t>БИК 015004950</w:t>
            </w:r>
          </w:p>
          <w:p>
            <w:pPr>
              <w:pStyle w:val="Normal"/>
              <w:spacing w:lineRule="auto" w:line="288"/>
              <w:ind w:end="540"/>
              <w:rPr>
                <w:sz w:val="20"/>
                <w:szCs w:val="20"/>
                <w:shd w:fill="FFFFFF" w:val="clear"/>
              </w:rPr>
            </w:pPr>
            <w:r>
              <w:rPr>
                <w:sz w:val="20"/>
                <w:szCs w:val="20"/>
                <w:shd w:fill="FFFFFF" w:val="clear"/>
              </w:rPr>
              <w:t>ЕКС 40102810445370000043</w:t>
            </w:r>
          </w:p>
          <w:p>
            <w:pPr>
              <w:pStyle w:val="Normal"/>
              <w:spacing w:lineRule="auto" w:line="288"/>
              <w:ind w:end="540"/>
              <w:rPr>
                <w:sz w:val="20"/>
                <w:szCs w:val="20"/>
                <w:shd w:fill="FFFFFF" w:val="clear"/>
              </w:rPr>
            </w:pPr>
            <w:r>
              <w:rPr>
                <w:sz w:val="20"/>
                <w:szCs w:val="20"/>
                <w:shd w:fill="FFFFFF" w:val="clear"/>
              </w:rPr>
              <w:t>КБК 00000000000000000130</w:t>
            </w:r>
          </w:p>
          <w:p>
            <w:pPr>
              <w:pStyle w:val="Normal"/>
              <w:spacing w:lineRule="auto" w:line="288"/>
              <w:ind w:end="540"/>
              <w:rPr>
                <w:sz w:val="20"/>
                <w:szCs w:val="20"/>
                <w:shd w:fill="FFFFFF" w:val="clear"/>
              </w:rPr>
            </w:pPr>
            <w:r>
              <w:rPr>
                <w:sz w:val="20"/>
                <w:szCs w:val="20"/>
                <w:shd w:fill="FFFFFF" w:val="clear"/>
              </w:rPr>
              <w:t>ОГРН 1034205024479</w:t>
            </w:r>
          </w:p>
          <w:p>
            <w:pPr>
              <w:pStyle w:val="Normal"/>
              <w:spacing w:lineRule="auto" w:line="288"/>
              <w:ind w:end="540"/>
              <w:rPr>
                <w:sz w:val="20"/>
                <w:szCs w:val="20"/>
                <w:shd w:fill="FFFFFF" w:val="clear"/>
              </w:rPr>
            </w:pPr>
            <w:r>
              <w:rPr>
                <w:sz w:val="20"/>
                <w:szCs w:val="20"/>
                <w:shd w:fill="FFFFFF" w:val="clear"/>
              </w:rPr>
              <w:t>ОКПО 55608705</w:t>
            </w:r>
          </w:p>
          <w:p>
            <w:pPr>
              <w:pStyle w:val="Normal"/>
              <w:spacing w:lineRule="auto" w:line="288"/>
              <w:ind w:end="540"/>
              <w:rPr>
                <w:sz w:val="20"/>
                <w:szCs w:val="20"/>
                <w:shd w:fill="FFFFFF" w:val="clear"/>
              </w:rPr>
            </w:pPr>
            <w:r>
              <w:rPr>
                <w:sz w:val="20"/>
                <w:szCs w:val="20"/>
                <w:shd w:fill="FFFFFF" w:val="clear"/>
              </w:rPr>
              <w:t>ОКАТО 32401000000</w:t>
            </w:r>
          </w:p>
          <w:p>
            <w:pPr>
              <w:pStyle w:val="Normal"/>
              <w:spacing w:lineRule="auto" w:line="288"/>
              <w:ind w:end="540"/>
              <w:rPr>
                <w:sz w:val="20"/>
                <w:szCs w:val="20"/>
                <w:shd w:fill="FFFFFF" w:val="clear"/>
              </w:rPr>
            </w:pPr>
            <w:r>
              <w:rPr>
                <w:sz w:val="20"/>
                <w:szCs w:val="20"/>
                <w:shd w:fill="FFFFFF" w:val="clear"/>
              </w:rPr>
              <w:t>ОКТМО 32701000</w:t>
            </w:r>
          </w:p>
          <w:p>
            <w:pPr>
              <w:pStyle w:val="Normal"/>
              <w:spacing w:lineRule="auto" w:line="288"/>
              <w:ind w:end="540"/>
              <w:rPr>
                <w:sz w:val="20"/>
                <w:szCs w:val="20"/>
                <w:shd w:fill="FFFFFF" w:val="clear"/>
              </w:rPr>
            </w:pPr>
            <w:r>
              <w:rPr>
                <w:sz w:val="20"/>
                <w:szCs w:val="20"/>
                <w:shd w:fill="FFFFFF" w:val="clear"/>
              </w:rPr>
              <w:t>ОКОГУ 1330612</w:t>
            </w:r>
          </w:p>
          <w:p>
            <w:pPr>
              <w:pStyle w:val="Normal"/>
              <w:spacing w:lineRule="auto" w:line="288"/>
              <w:ind w:end="540"/>
              <w:rPr>
                <w:sz w:val="20"/>
                <w:szCs w:val="20"/>
                <w:shd w:fill="FFFFFF" w:val="clear"/>
              </w:rPr>
            </w:pPr>
            <w:r>
              <w:rPr>
                <w:sz w:val="20"/>
                <w:szCs w:val="20"/>
                <w:shd w:fill="FFFFFF" w:val="clear"/>
              </w:rPr>
              <w:t>ОКФС 12</w:t>
            </w:r>
          </w:p>
          <w:p>
            <w:pPr>
              <w:pStyle w:val="Normal"/>
              <w:spacing w:lineRule="auto" w:line="288"/>
              <w:ind w:end="540"/>
              <w:rPr>
                <w:sz w:val="20"/>
                <w:szCs w:val="20"/>
                <w:shd w:fill="FFFFFF" w:val="clear"/>
              </w:rPr>
            </w:pPr>
            <w:r>
              <w:rPr>
                <w:sz w:val="20"/>
                <w:szCs w:val="20"/>
                <w:shd w:fill="FFFFFF" w:val="clear"/>
              </w:rPr>
              <w:t>ОКОПФ 75103</w:t>
            </w:r>
          </w:p>
          <w:p>
            <w:pPr>
              <w:pStyle w:val="Normal"/>
              <w:spacing w:lineRule="auto" w:line="288"/>
              <w:ind w:end="540"/>
              <w:rPr>
                <w:sz w:val="20"/>
                <w:szCs w:val="20"/>
                <w:shd w:fill="FFFFFF" w:val="clear"/>
              </w:rPr>
            </w:pPr>
            <w:r>
              <w:rPr>
                <w:sz w:val="20"/>
                <w:szCs w:val="20"/>
                <w:shd w:fill="FFFFFF" w:val="clear"/>
              </w:rPr>
              <w:t>ОКВЭД 72.19</w:t>
            </w:r>
          </w:p>
          <w:p>
            <w:pPr>
              <w:pStyle w:val="Normal"/>
              <w:spacing w:lineRule="auto" w:line="288"/>
              <w:ind w:end="540"/>
              <w:rPr>
                <w:sz w:val="20"/>
                <w:szCs w:val="20"/>
                <w:shd w:fill="FFFFFF" w:val="clear"/>
              </w:rPr>
            </w:pPr>
            <w:r>
              <w:rPr>
                <w:sz w:val="20"/>
                <w:szCs w:val="20"/>
                <w:shd w:fill="FFFFFF" w:val="clear"/>
              </w:rPr>
              <w:t>Тел/факс: +7 (3842) 64-33-08</w:t>
            </w:r>
          </w:p>
          <w:p>
            <w:pPr>
              <w:pStyle w:val="Normal"/>
              <w:spacing w:lineRule="auto" w:line="288"/>
              <w:ind w:end="540"/>
              <w:rPr>
                <w:sz w:val="20"/>
                <w:szCs w:val="20"/>
                <w:shd w:fill="FFFFFF" w:val="clear"/>
              </w:rPr>
            </w:pPr>
            <w:r>
              <w:rPr>
                <w:sz w:val="20"/>
                <w:szCs w:val="20"/>
                <w:shd w:fill="FFFFFF" w:val="clear"/>
              </w:rPr>
              <w:t>E-mail:  reception@kemcardio.ru</w:t>
            </w:r>
          </w:p>
          <w:p>
            <w:pPr>
              <w:pStyle w:val="11"/>
              <w:rPr>
                <w:rFonts w:ascii="Times New Roman" w:hAnsi="Times New Roman" w:cs="Times New Roman"/>
                <w:sz w:val="20"/>
                <w:szCs w:val="20"/>
              </w:rPr>
            </w:pPr>
            <w:r>
              <w:rPr>
                <w:rFonts w:cs="Times New Roman" w:ascii="Times New Roman" w:hAnsi="Times New Roman"/>
                <w:sz w:val="20"/>
                <w:szCs w:val="20"/>
              </w:rPr>
            </w:r>
          </w:p>
          <w:p>
            <w:pPr>
              <w:pStyle w:val="11"/>
              <w:rPr>
                <w:rFonts w:ascii="Times New Roman" w:hAnsi="Times New Roman" w:cs="Times New Roman"/>
                <w:sz w:val="20"/>
                <w:szCs w:val="20"/>
              </w:rPr>
            </w:pPr>
            <w:r>
              <w:rPr>
                <w:rFonts w:cs="Times New Roman" w:ascii="Times New Roman" w:hAnsi="Times New Roman"/>
                <w:sz w:val="20"/>
                <w:szCs w:val="20"/>
              </w:rPr>
              <w:t>Заказчик</w:t>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А.Е.Кузнецова</w:t>
            </w:r>
          </w:p>
          <w:p>
            <w:pPr>
              <w:pStyle w:val="Normal"/>
              <w:rPr/>
            </w:pPr>
            <w:r>
              <w:rPr/>
              <w:t>м.п.</w:t>
            </w:r>
          </w:p>
        </w:tc>
        <w:tc>
          <w:tcPr>
            <w:tcW w:w="4825"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8" w:name="_Hlk180496427"/>
      <w:r>
        <w:rPr/>
        <w:t xml:space="preserve">к Контракту </w:t>
      </w:r>
      <w:r>
        <w:rPr>
          <w:b/>
          <w:bCs/>
        </w:rPr>
        <w:t>№ ________</w:t>
      </w:r>
    </w:p>
    <w:p>
      <w:pPr>
        <w:pStyle w:val="Normal"/>
        <w:spacing w:before="0" w:after="60"/>
        <w:jc w:val="end"/>
        <w:rPr>
          <w:b/>
          <w:bCs/>
        </w:rPr>
      </w:pPr>
      <w:r>
        <w:rPr/>
        <w:t xml:space="preserve">                                                                                                                                </w:t>
      </w:r>
      <w:r>
        <w:rPr>
          <w:rFonts w:eastAsia="Calibri"/>
          <w:lang w:eastAsia="en-US"/>
        </w:rPr>
        <w:t>«______» _________ 2026г.</w:t>
      </w:r>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5000" w:type="pct"/>
        <w:jc w:val="start"/>
        <w:tblInd w:w="0" w:type="dxa"/>
        <w:tblLayout w:type="fixed"/>
        <w:tblCellMar>
          <w:top w:w="0" w:type="dxa"/>
          <w:start w:w="0" w:type="dxa"/>
          <w:bottom w:w="0" w:type="dxa"/>
          <w:end w:w="0" w:type="dxa"/>
        </w:tblCellMar>
      </w:tblPr>
      <w:tblGrid>
        <w:gridCol w:w="788"/>
        <w:gridCol w:w="5962"/>
        <w:gridCol w:w="1529"/>
        <w:gridCol w:w="1301"/>
        <w:gridCol w:w="1309"/>
        <w:gridCol w:w="1409"/>
        <w:gridCol w:w="1421"/>
        <w:gridCol w:w="1679"/>
      </w:tblGrid>
      <w:tr>
        <w:trPr/>
        <w:tc>
          <w:tcPr>
            <w:tcW w:w="788" w:type="dxa"/>
            <w:tcBorders/>
          </w:tcPr>
          <w:p>
            <w:pPr>
              <w:pStyle w:val="Normal"/>
              <w:widowControl w:val="false"/>
              <w:bidi w:val="0"/>
              <w:spacing w:before="0" w:after="0"/>
              <w:ind w:hanging="0" w:start="170" w:end="0"/>
              <w:jc w:val="start"/>
              <w:rPr/>
            </w:pPr>
            <w:r>
              <w:rPr/>
              <w:t>№</w:t>
            </w:r>
          </w:p>
          <w:p>
            <w:pPr>
              <w:pStyle w:val="Normal"/>
              <w:widowControl w:val="false"/>
              <w:bidi w:val="0"/>
              <w:spacing w:before="0" w:after="0"/>
              <w:ind w:hanging="0" w:start="170" w:end="0"/>
              <w:jc w:val="start"/>
              <w:rPr/>
            </w:pPr>
            <w:r>
              <w:rPr/>
              <w:t>п/п</w:t>
            </w:r>
          </w:p>
        </w:tc>
        <w:tc>
          <w:tcPr>
            <w:tcW w:w="5962" w:type="dxa"/>
            <w:tcBorders/>
          </w:tcPr>
          <w:p>
            <w:pPr>
              <w:pStyle w:val="Normal"/>
              <w:widowControl w:val="false"/>
              <w:bidi w:val="0"/>
              <w:spacing w:before="0" w:after="0"/>
              <w:ind w:hanging="0" w:start="0" w:end="0"/>
              <w:jc w:val="center"/>
              <w:rPr/>
            </w:pPr>
            <w:r>
              <w:rPr/>
              <w:t>Наименование, минимальные технические (качественные) характеристики  товара</w:t>
            </w:r>
          </w:p>
        </w:tc>
        <w:tc>
          <w:tcPr>
            <w:tcW w:w="1529" w:type="dxa"/>
            <w:tcBorders/>
          </w:tcPr>
          <w:p>
            <w:pPr>
              <w:pStyle w:val="Normal"/>
              <w:widowControl w:val="false"/>
              <w:bidi w:val="0"/>
              <w:spacing w:before="0" w:after="0"/>
              <w:ind w:hanging="0" w:start="0" w:end="0"/>
              <w:jc w:val="center"/>
              <w:rPr/>
            </w:pPr>
            <w:r>
              <w:rPr/>
              <w:t>Страна происхождения товара</w:t>
            </w:r>
          </w:p>
        </w:tc>
        <w:tc>
          <w:tcPr>
            <w:tcW w:w="1301" w:type="dxa"/>
            <w:tcBorders/>
          </w:tcPr>
          <w:p>
            <w:pPr>
              <w:pStyle w:val="Normal"/>
              <w:widowControl w:val="false"/>
              <w:bidi w:val="0"/>
              <w:spacing w:before="0" w:after="0"/>
              <w:ind w:hanging="0" w:start="57" w:end="0"/>
              <w:jc w:val="center"/>
              <w:rPr/>
            </w:pPr>
            <w:r>
              <w:rPr/>
              <w:t>Кол-во</w:t>
            </w:r>
          </w:p>
        </w:tc>
        <w:tc>
          <w:tcPr>
            <w:tcW w:w="1309" w:type="dxa"/>
            <w:tcBorders/>
          </w:tcPr>
          <w:p>
            <w:pPr>
              <w:pStyle w:val="Normal"/>
              <w:widowControl w:val="false"/>
              <w:bidi w:val="0"/>
              <w:spacing w:before="0" w:after="0"/>
              <w:ind w:hanging="0" w:start="0" w:end="0"/>
              <w:jc w:val="center"/>
              <w:rPr/>
            </w:pPr>
            <w:r>
              <w:rPr/>
              <w:t>Ед. изм.</w:t>
            </w:r>
          </w:p>
        </w:tc>
        <w:tc>
          <w:tcPr>
            <w:tcW w:w="1409" w:type="dxa"/>
            <w:tcBorders/>
          </w:tcPr>
          <w:p>
            <w:pPr>
              <w:pStyle w:val="Normal"/>
              <w:widowControl w:val="false"/>
              <w:shd w:val="clear" w:color="auto" w:fill="FFFFFF"/>
              <w:bidi w:val="0"/>
              <w:spacing w:before="0" w:after="0"/>
              <w:ind w:hanging="0" w:start="0" w:end="0"/>
              <w:jc w:val="center"/>
              <w:rPr/>
            </w:pPr>
            <w:r>
              <w:rPr>
                <w:color w:val="000000"/>
                <w:spacing w:val="-11"/>
              </w:rPr>
              <w:t xml:space="preserve">Стоимость единицы без НДС, рублей </w:t>
            </w:r>
          </w:p>
        </w:tc>
        <w:tc>
          <w:tcPr>
            <w:tcW w:w="1421" w:type="dxa"/>
            <w:tcBorders/>
          </w:tcPr>
          <w:p>
            <w:pPr>
              <w:pStyle w:val="Normal"/>
              <w:widowControl w:val="false"/>
              <w:shd w:val="clear" w:color="auto" w:fill="FFFFFF"/>
              <w:bidi w:val="0"/>
              <w:spacing w:before="0" w:after="0"/>
              <w:ind w:hanging="0" w:start="0" w:end="0"/>
              <w:jc w:val="center"/>
              <w:rPr/>
            </w:pPr>
            <w:r>
              <w:rPr>
                <w:color w:val="000000"/>
                <w:spacing w:val="-11"/>
              </w:rPr>
              <w:t>НДС, рублей</w:t>
            </w:r>
          </w:p>
        </w:tc>
        <w:tc>
          <w:tcPr>
            <w:tcW w:w="1679" w:type="dxa"/>
            <w:tcBorders/>
          </w:tcPr>
          <w:p>
            <w:pPr>
              <w:pStyle w:val="Normal"/>
              <w:widowControl w:val="false"/>
              <w:shd w:val="clear" w:color="auto" w:fill="FFFFFF"/>
              <w:bidi w:val="0"/>
              <w:spacing w:before="0" w:after="0"/>
              <w:ind w:hanging="0" w:start="0" w:end="0"/>
              <w:jc w:val="center"/>
              <w:rPr/>
            </w:pPr>
            <w:r>
              <w:rPr>
                <w:color w:val="000000"/>
                <w:spacing w:val="-11"/>
              </w:rPr>
              <w:t>Общая стоимость с НДС, рублей</w:t>
            </w:r>
          </w:p>
        </w:tc>
      </w:tr>
      <w:tr>
        <w:trPr>
          <w:trHeight w:val="217" w:hRule="atLeast"/>
        </w:trPr>
        <w:tc>
          <w:tcPr>
            <w:tcW w:w="788" w:type="dxa"/>
            <w:tcBorders/>
          </w:tcPr>
          <w:p>
            <w:pPr>
              <w:pStyle w:val="Normal"/>
              <w:bidi w:val="0"/>
              <w:spacing w:before="0" w:after="0"/>
              <w:ind w:hanging="0" w:start="170" w:end="0"/>
              <w:jc w:val="start"/>
              <w:rPr/>
            </w:pPr>
            <w:r>
              <w:rPr/>
              <w:t>1</w:t>
            </w:r>
          </w:p>
        </w:tc>
        <w:tc>
          <w:tcPr>
            <w:tcW w:w="5962" w:type="dxa"/>
            <w:tcBorders/>
          </w:tcPr>
          <w:p>
            <w:pPr>
              <w:pStyle w:val="Normal"/>
              <w:rPr>
                <w:b/>
                <w:bCs/>
              </w:rPr>
            </w:pPr>
            <w:r>
              <w:rPr>
                <w:b/>
                <w:bCs/>
              </w:rPr>
              <w:t>Полиэтилен высокого давления (ПВД), термопластичный</w:t>
            </w:r>
          </w:p>
          <w:p>
            <w:pPr>
              <w:pStyle w:val="Normal"/>
              <w:rPr/>
            </w:pPr>
            <w:r>
              <w:rPr/>
              <w:t>Тип – ПВД для экструзии/литья</w:t>
            </w:r>
          </w:p>
          <w:p>
            <w:pPr>
              <w:pStyle w:val="Normal"/>
              <w:rPr/>
            </w:pPr>
            <w:r>
              <w:rPr/>
              <w:t>Плотность, г/см куб., не менее – 0,9170</w:t>
            </w:r>
          </w:p>
          <w:p>
            <w:pPr>
              <w:pStyle w:val="Normal"/>
              <w:rPr/>
            </w:pPr>
            <w:r>
              <w:rPr/>
              <w:t>Показатель текучести расплава, г/10мин., не менее – 1,7</w:t>
            </w:r>
          </w:p>
          <w:p>
            <w:pPr>
              <w:pStyle w:val="Normal"/>
              <w:rPr/>
            </w:pPr>
            <w:r>
              <w:rPr/>
              <w:t>Предел текучести при растяжении, МПа, не менее – 9,3</w:t>
            </w:r>
          </w:p>
          <w:p>
            <w:pPr>
              <w:pStyle w:val="Normal"/>
              <w:rPr/>
            </w:pPr>
            <w:r>
              <w:rPr/>
              <w:t>Прочность при разрыве, МПа, не менее – 12,2</w:t>
            </w:r>
          </w:p>
          <w:p>
            <w:pPr>
              <w:pStyle w:val="Normal"/>
              <w:rPr/>
            </w:pPr>
            <w:r>
              <w:rPr/>
              <w:t>Относительное удлинение при разрыве, %, не менее – 550</w:t>
            </w:r>
          </w:p>
          <w:p>
            <w:pPr>
              <w:pStyle w:val="Normal"/>
              <w:rPr/>
            </w:pPr>
            <w:r>
              <w:rPr/>
              <w:t>Форма – гранулы</w:t>
            </w:r>
          </w:p>
        </w:tc>
        <w:tc>
          <w:tcPr>
            <w:tcW w:w="1529" w:type="dxa"/>
            <w:tcBorders/>
          </w:tcPr>
          <w:p>
            <w:pPr>
              <w:pStyle w:val="Normal"/>
              <w:bidi w:val="0"/>
              <w:spacing w:before="0" w:after="0"/>
              <w:ind w:hanging="0" w:start="510" w:end="0"/>
              <w:jc w:val="center"/>
              <w:rPr>
                <w:lang w:val="en-US"/>
              </w:rPr>
            </w:pPr>
            <w:r>
              <w:rPr>
                <w:lang w:val="en-US"/>
              </w:rPr>
            </w:r>
          </w:p>
        </w:tc>
        <w:tc>
          <w:tcPr>
            <w:tcW w:w="1301" w:type="dxa"/>
            <w:tcBorders/>
          </w:tcPr>
          <w:p>
            <w:pPr>
              <w:pStyle w:val="Normal"/>
              <w:bidi w:val="0"/>
              <w:spacing w:before="0" w:after="0"/>
              <w:ind w:hanging="0" w:start="57" w:end="0"/>
              <w:jc w:val="center"/>
              <w:rPr>
                <w:lang w:val="en-US"/>
              </w:rPr>
            </w:pPr>
            <w:r>
              <w:rPr>
                <w:lang w:val="en-US"/>
              </w:rPr>
              <w:t>25</w:t>
            </w:r>
          </w:p>
        </w:tc>
        <w:tc>
          <w:tcPr>
            <w:tcW w:w="1309" w:type="dxa"/>
            <w:tcBorders/>
          </w:tcPr>
          <w:p>
            <w:pPr>
              <w:pStyle w:val="Normal"/>
              <w:bidi w:val="0"/>
              <w:spacing w:before="0" w:after="0"/>
              <w:ind w:hanging="0" w:start="0" w:end="0"/>
              <w:jc w:val="center"/>
              <w:rPr/>
            </w:pPr>
            <w:r>
              <w:rPr/>
              <w:t>кг</w:t>
            </w:r>
          </w:p>
        </w:tc>
        <w:tc>
          <w:tcPr>
            <w:tcW w:w="1409" w:type="dxa"/>
            <w:tcBorders/>
          </w:tcPr>
          <w:p>
            <w:pPr>
              <w:pStyle w:val="Normal"/>
              <w:bidi w:val="0"/>
              <w:spacing w:before="0" w:after="0"/>
              <w:ind w:hanging="0" w:start="0" w:end="0"/>
              <w:jc w:val="center"/>
              <w:rPr/>
            </w:pPr>
            <w:r>
              <w:rPr/>
            </w:r>
          </w:p>
        </w:tc>
        <w:tc>
          <w:tcPr>
            <w:tcW w:w="1421" w:type="dxa"/>
            <w:tcBorders/>
          </w:tcPr>
          <w:p>
            <w:pPr>
              <w:pStyle w:val="Normal"/>
              <w:bidi w:val="0"/>
              <w:spacing w:lineRule="atLeast" w:line="57" w:before="0" w:after="0"/>
              <w:ind w:hanging="0" w:start="0" w:end="0"/>
              <w:jc w:val="center"/>
              <w:rPr>
                <w:highlight w:val="yellow"/>
              </w:rPr>
            </w:pPr>
            <w:r>
              <w:rPr>
                <w:highlight w:val="yellow"/>
              </w:rPr>
            </w:r>
          </w:p>
        </w:tc>
        <w:tc>
          <w:tcPr>
            <w:tcW w:w="1679" w:type="dxa"/>
            <w:tcBorders/>
          </w:tcPr>
          <w:p>
            <w:pPr>
              <w:pStyle w:val="Normal"/>
              <w:bidi w:val="0"/>
              <w:spacing w:lineRule="atLeast" w:line="57" w:before="0" w:after="0"/>
              <w:ind w:hanging="0" w:start="0" w:end="0"/>
              <w:jc w:val="center"/>
              <w:rPr>
                <w:b/>
                <w:bCs/>
                <w:highlight w:val="yellow"/>
              </w:rPr>
            </w:pPr>
            <w:r>
              <w:rPr>
                <w:b/>
                <w:bCs/>
                <w:highlight w:val="yellow"/>
              </w:rPr>
            </w:r>
          </w:p>
        </w:tc>
      </w:tr>
      <w:tr>
        <w:trPr>
          <w:trHeight w:val="217" w:hRule="atLeast"/>
        </w:trPr>
        <w:tc>
          <w:tcPr>
            <w:tcW w:w="788" w:type="dxa"/>
            <w:tcBorders/>
          </w:tcPr>
          <w:p>
            <w:pPr>
              <w:pStyle w:val="Normal"/>
              <w:bidi w:val="0"/>
              <w:spacing w:before="0" w:after="0"/>
              <w:ind w:hanging="0" w:start="170" w:end="0"/>
              <w:jc w:val="start"/>
              <w:rPr/>
            </w:pPr>
            <w:r>
              <w:rPr/>
              <w:t>2</w:t>
            </w:r>
          </w:p>
        </w:tc>
        <w:tc>
          <w:tcPr>
            <w:tcW w:w="5962" w:type="dxa"/>
            <w:tcBorders/>
          </w:tcPr>
          <w:p>
            <w:pPr>
              <w:pStyle w:val="Normal"/>
              <w:jc w:val="start"/>
              <w:rPr>
                <w:b/>
                <w:bCs/>
                <w:sz w:val="22"/>
                <w:szCs w:val="22"/>
              </w:rPr>
            </w:pPr>
            <w:r>
              <w:rPr>
                <w:b/>
                <w:bCs/>
                <w:sz w:val="22"/>
                <w:szCs w:val="22"/>
              </w:rPr>
              <w:t>Полипропилен гомополимер, литьевой</w:t>
            </w:r>
          </w:p>
          <w:p>
            <w:pPr>
              <w:pStyle w:val="Normal"/>
              <w:rPr/>
            </w:pPr>
            <w:r>
              <w:rPr/>
              <w:t>Тип: PP гомополимер для литья</w:t>
            </w:r>
          </w:p>
          <w:p>
            <w:pPr>
              <w:pStyle w:val="Normal"/>
              <w:rPr/>
            </w:pPr>
            <w:r>
              <w:rPr/>
              <w:t>Цвет – белый</w:t>
            </w:r>
          </w:p>
          <w:p>
            <w:pPr>
              <w:pStyle w:val="Normal"/>
              <w:rPr/>
            </w:pPr>
            <w:r>
              <w:rPr/>
              <w:t>Плотность, г/см куб., не менее – 0,9</w:t>
            </w:r>
          </w:p>
          <w:p>
            <w:pPr>
              <w:pStyle w:val="Normal"/>
              <w:rPr/>
            </w:pPr>
            <w:r>
              <w:rPr/>
              <w:t>Показатель текучести расплава, 230 град Цельсия./2,1, не менее – 0,2</w:t>
            </w:r>
          </w:p>
          <w:p>
            <w:pPr>
              <w:pStyle w:val="Normal"/>
              <w:rPr/>
            </w:pPr>
            <w:r>
              <w:rPr/>
              <w:t>Индекс желтизны, ед., не более – 2</w:t>
            </w:r>
          </w:p>
          <w:p>
            <w:pPr>
              <w:pStyle w:val="Normal"/>
              <w:rPr>
                <w:sz w:val="22"/>
                <w:szCs w:val="22"/>
              </w:rPr>
            </w:pPr>
            <w:r>
              <w:rPr/>
              <w:t>Форма – гранулы</w:t>
            </w:r>
          </w:p>
        </w:tc>
        <w:tc>
          <w:tcPr>
            <w:tcW w:w="1529" w:type="dxa"/>
            <w:tcBorders/>
          </w:tcPr>
          <w:p>
            <w:pPr>
              <w:pStyle w:val="Normal"/>
              <w:bidi w:val="0"/>
              <w:spacing w:before="0" w:after="0"/>
              <w:ind w:hanging="0" w:start="510" w:end="0"/>
              <w:jc w:val="center"/>
              <w:rPr>
                <w:lang w:val="en-US"/>
              </w:rPr>
            </w:pPr>
            <w:r>
              <w:rPr>
                <w:lang w:val="en-US"/>
              </w:rPr>
            </w:r>
          </w:p>
        </w:tc>
        <w:tc>
          <w:tcPr>
            <w:tcW w:w="1301" w:type="dxa"/>
            <w:tcBorders/>
          </w:tcPr>
          <w:p>
            <w:pPr>
              <w:pStyle w:val="Normal"/>
              <w:bidi w:val="0"/>
              <w:spacing w:before="0" w:after="0"/>
              <w:ind w:hanging="0" w:start="57" w:end="0"/>
              <w:jc w:val="center"/>
              <w:rPr>
                <w:lang w:val="en-US"/>
              </w:rPr>
            </w:pPr>
            <w:r>
              <w:rPr>
                <w:lang w:val="en-US"/>
              </w:rPr>
              <w:t>25</w:t>
            </w:r>
          </w:p>
        </w:tc>
        <w:tc>
          <w:tcPr>
            <w:tcW w:w="1309" w:type="dxa"/>
            <w:tcBorders/>
          </w:tcPr>
          <w:p>
            <w:pPr>
              <w:pStyle w:val="Normal"/>
              <w:bidi w:val="0"/>
              <w:spacing w:before="0" w:after="0"/>
              <w:ind w:hanging="0" w:start="0" w:end="0"/>
              <w:jc w:val="center"/>
              <w:rPr/>
            </w:pPr>
            <w:r>
              <w:rPr/>
              <w:t>кг</w:t>
            </w:r>
          </w:p>
        </w:tc>
        <w:tc>
          <w:tcPr>
            <w:tcW w:w="1409" w:type="dxa"/>
            <w:tcBorders/>
          </w:tcPr>
          <w:p>
            <w:pPr>
              <w:pStyle w:val="Normal"/>
              <w:bidi w:val="0"/>
              <w:spacing w:before="0" w:after="0"/>
              <w:ind w:hanging="0" w:start="0" w:end="0"/>
              <w:jc w:val="center"/>
              <w:rPr/>
            </w:pPr>
            <w:r>
              <w:rPr/>
            </w:r>
          </w:p>
        </w:tc>
        <w:tc>
          <w:tcPr>
            <w:tcW w:w="1421" w:type="dxa"/>
            <w:tcBorders/>
          </w:tcPr>
          <w:p>
            <w:pPr>
              <w:pStyle w:val="Normal"/>
              <w:bidi w:val="0"/>
              <w:spacing w:lineRule="atLeast" w:line="57" w:before="0" w:after="0"/>
              <w:ind w:hanging="0" w:start="0" w:end="0"/>
              <w:jc w:val="center"/>
              <w:rPr>
                <w:highlight w:val="yellow"/>
              </w:rPr>
            </w:pPr>
            <w:r>
              <w:rPr>
                <w:highlight w:val="yellow"/>
              </w:rPr>
            </w:r>
          </w:p>
        </w:tc>
        <w:tc>
          <w:tcPr>
            <w:tcW w:w="1679" w:type="dxa"/>
            <w:tcBorders/>
          </w:tcPr>
          <w:p>
            <w:pPr>
              <w:pStyle w:val="Normal"/>
              <w:bidi w:val="0"/>
              <w:spacing w:lineRule="atLeast" w:line="57" w:before="0" w:after="0"/>
              <w:ind w:hanging="0" w:start="0" w:end="0"/>
              <w:jc w:val="center"/>
              <w:rPr>
                <w:b/>
                <w:bCs/>
                <w:highlight w:val="yellow"/>
              </w:rPr>
            </w:pPr>
            <w:r>
              <w:rPr>
                <w:b/>
                <w:bCs/>
                <w:highlight w:val="yellow"/>
              </w:rPr>
            </w:r>
          </w:p>
        </w:tc>
      </w:tr>
      <w:tr>
        <w:trPr>
          <w:trHeight w:val="217" w:hRule="atLeast"/>
        </w:trPr>
        <w:tc>
          <w:tcPr>
            <w:tcW w:w="788" w:type="dxa"/>
            <w:tcBorders/>
          </w:tcPr>
          <w:p>
            <w:pPr>
              <w:pStyle w:val="Normal"/>
              <w:bidi w:val="0"/>
              <w:spacing w:before="0" w:after="0"/>
              <w:ind w:hanging="0" w:start="170" w:end="0"/>
              <w:jc w:val="start"/>
              <w:rPr/>
            </w:pPr>
            <w:r>
              <w:rPr/>
              <w:t>3</w:t>
            </w:r>
          </w:p>
        </w:tc>
        <w:tc>
          <w:tcPr>
            <w:tcW w:w="5962" w:type="dxa"/>
            <w:tcBorders/>
          </w:tcPr>
          <w:p>
            <w:pPr>
              <w:pStyle w:val="Normal"/>
              <w:jc w:val="start"/>
              <w:rPr>
                <w:b/>
                <w:bCs/>
                <w:sz w:val="22"/>
                <w:szCs w:val="22"/>
              </w:rPr>
            </w:pPr>
            <w:r>
              <w:rPr>
                <w:b/>
                <w:bCs/>
                <w:sz w:val="22"/>
                <w:szCs w:val="22"/>
              </w:rPr>
              <w:t>Полипропилен гомополимер общего назначения, термопластичный</w:t>
            </w:r>
          </w:p>
          <w:p>
            <w:pPr>
              <w:pStyle w:val="Normal"/>
              <w:rPr>
                <w:sz w:val="22"/>
                <w:szCs w:val="22"/>
              </w:rPr>
            </w:pPr>
            <w:r>
              <w:rPr>
                <w:sz w:val="22"/>
                <w:szCs w:val="22"/>
              </w:rPr>
              <w:t>Тип – PP гомополимер для литья</w:t>
            </w:r>
          </w:p>
          <w:p>
            <w:pPr>
              <w:pStyle w:val="Normal"/>
              <w:rPr>
                <w:sz w:val="22"/>
                <w:szCs w:val="22"/>
              </w:rPr>
            </w:pPr>
            <w:r>
              <w:rPr>
                <w:sz w:val="22"/>
                <w:szCs w:val="22"/>
              </w:rPr>
              <w:t>Показатель текучести расплава, 230 град Цельсия./2,16 кг., г/10мин., не менее – 10</w:t>
            </w:r>
          </w:p>
          <w:p>
            <w:pPr>
              <w:pStyle w:val="Normal"/>
              <w:rPr>
                <w:sz w:val="22"/>
                <w:szCs w:val="22"/>
              </w:rPr>
            </w:pPr>
            <w:r>
              <w:rPr>
                <w:sz w:val="22"/>
                <w:szCs w:val="22"/>
              </w:rPr>
              <w:t>Разброс значения показателей текучести расплава в пределах партии, %, не более – 10</w:t>
            </w:r>
          </w:p>
          <w:p>
            <w:pPr>
              <w:pStyle w:val="Normal"/>
              <w:rPr>
                <w:sz w:val="22"/>
                <w:szCs w:val="22"/>
              </w:rPr>
            </w:pPr>
            <w:r>
              <w:rPr>
                <w:sz w:val="22"/>
                <w:szCs w:val="22"/>
              </w:rPr>
              <w:t>Массовая доля гранул размером свыше 5 до 8 мм и менее 2 мм, а также слипшиеся при условии хранения не более трех гранул, %, не более – 3</w:t>
            </w:r>
          </w:p>
          <w:p>
            <w:pPr>
              <w:pStyle w:val="Normal"/>
              <w:rPr>
                <w:sz w:val="22"/>
                <w:szCs w:val="22"/>
              </w:rPr>
            </w:pPr>
            <w:r>
              <w:rPr>
                <w:sz w:val="22"/>
                <w:szCs w:val="22"/>
              </w:rPr>
              <w:t>Массовая доля летучих веществ, %, не более – 0,09</w:t>
            </w:r>
          </w:p>
          <w:p>
            <w:pPr>
              <w:pStyle w:val="Normal"/>
              <w:rPr>
                <w:sz w:val="22"/>
                <w:szCs w:val="22"/>
              </w:rPr>
            </w:pPr>
            <w:r>
              <w:rPr>
                <w:sz w:val="22"/>
                <w:szCs w:val="22"/>
              </w:rPr>
              <w:t>Массовая доля изотактической фракции, %, не более – 94</w:t>
            </w:r>
          </w:p>
          <w:p>
            <w:pPr>
              <w:pStyle w:val="Normal"/>
              <w:rPr>
                <w:sz w:val="22"/>
                <w:szCs w:val="22"/>
              </w:rPr>
            </w:pPr>
            <w:r>
              <w:rPr/>
              <w:t>Форма – гранулы</w:t>
            </w:r>
          </w:p>
        </w:tc>
        <w:tc>
          <w:tcPr>
            <w:tcW w:w="1529" w:type="dxa"/>
            <w:tcBorders/>
          </w:tcPr>
          <w:p>
            <w:pPr>
              <w:pStyle w:val="Normal"/>
              <w:bidi w:val="0"/>
              <w:spacing w:before="0" w:after="0"/>
              <w:ind w:hanging="0" w:start="510" w:end="0"/>
              <w:jc w:val="center"/>
              <w:rPr>
                <w:lang w:val="en-US"/>
              </w:rPr>
            </w:pPr>
            <w:r>
              <w:rPr>
                <w:lang w:val="en-US"/>
              </w:rPr>
            </w:r>
          </w:p>
        </w:tc>
        <w:tc>
          <w:tcPr>
            <w:tcW w:w="1301" w:type="dxa"/>
            <w:tcBorders/>
          </w:tcPr>
          <w:p>
            <w:pPr>
              <w:pStyle w:val="Normal"/>
              <w:bidi w:val="0"/>
              <w:spacing w:before="0" w:after="0"/>
              <w:ind w:hanging="0" w:start="57" w:end="0"/>
              <w:jc w:val="center"/>
              <w:rPr>
                <w:lang w:val="en-US"/>
              </w:rPr>
            </w:pPr>
            <w:r>
              <w:rPr>
                <w:lang w:val="en-US"/>
              </w:rPr>
              <w:t>25</w:t>
            </w:r>
          </w:p>
        </w:tc>
        <w:tc>
          <w:tcPr>
            <w:tcW w:w="1309" w:type="dxa"/>
            <w:tcBorders/>
          </w:tcPr>
          <w:p>
            <w:pPr>
              <w:pStyle w:val="Normal"/>
              <w:bidi w:val="0"/>
              <w:spacing w:before="0" w:after="0"/>
              <w:ind w:hanging="0" w:start="0" w:end="0"/>
              <w:jc w:val="center"/>
              <w:rPr/>
            </w:pPr>
            <w:r>
              <w:rPr/>
              <w:t>кг</w:t>
            </w:r>
          </w:p>
        </w:tc>
        <w:tc>
          <w:tcPr>
            <w:tcW w:w="1409" w:type="dxa"/>
            <w:tcBorders/>
          </w:tcPr>
          <w:p>
            <w:pPr>
              <w:pStyle w:val="Normal"/>
              <w:bidi w:val="0"/>
              <w:spacing w:before="0" w:after="0"/>
              <w:ind w:hanging="0" w:start="0" w:end="0"/>
              <w:jc w:val="center"/>
              <w:rPr/>
            </w:pPr>
            <w:r>
              <w:rPr/>
            </w:r>
          </w:p>
        </w:tc>
        <w:tc>
          <w:tcPr>
            <w:tcW w:w="1421" w:type="dxa"/>
            <w:tcBorders/>
          </w:tcPr>
          <w:p>
            <w:pPr>
              <w:pStyle w:val="Normal"/>
              <w:bidi w:val="0"/>
              <w:spacing w:lineRule="atLeast" w:line="57" w:before="0" w:after="0"/>
              <w:ind w:hanging="0" w:start="0" w:end="0"/>
              <w:jc w:val="center"/>
              <w:rPr>
                <w:highlight w:val="yellow"/>
              </w:rPr>
            </w:pPr>
            <w:r>
              <w:rPr>
                <w:highlight w:val="yellow"/>
              </w:rPr>
            </w:r>
          </w:p>
        </w:tc>
        <w:tc>
          <w:tcPr>
            <w:tcW w:w="1679" w:type="dxa"/>
            <w:tcBorders/>
          </w:tcPr>
          <w:p>
            <w:pPr>
              <w:pStyle w:val="Normal"/>
              <w:bidi w:val="0"/>
              <w:spacing w:lineRule="atLeast" w:line="57" w:before="0" w:after="0"/>
              <w:ind w:hanging="0" w:start="0" w:end="0"/>
              <w:jc w:val="center"/>
              <w:rPr>
                <w:b/>
                <w:bCs/>
                <w:highlight w:val="yellow"/>
              </w:rPr>
            </w:pPr>
            <w:r>
              <w:rPr>
                <w:b/>
                <w:bCs/>
                <w:highlight w:val="yellow"/>
              </w:rPr>
            </w:r>
          </w:p>
        </w:tc>
      </w:tr>
      <w:tr>
        <w:trPr>
          <w:trHeight w:val="217" w:hRule="atLeast"/>
        </w:trPr>
        <w:tc>
          <w:tcPr>
            <w:tcW w:w="788" w:type="dxa"/>
            <w:tcBorders/>
          </w:tcPr>
          <w:p>
            <w:pPr>
              <w:pStyle w:val="Normal"/>
              <w:bidi w:val="0"/>
              <w:spacing w:before="0" w:after="0"/>
              <w:ind w:hanging="0" w:start="170" w:end="0"/>
              <w:jc w:val="start"/>
              <w:rPr/>
            </w:pPr>
            <w:r>
              <w:rPr/>
              <w:t>4</w:t>
            </w:r>
          </w:p>
        </w:tc>
        <w:tc>
          <w:tcPr>
            <w:tcW w:w="5962" w:type="dxa"/>
            <w:tcBorders/>
          </w:tcPr>
          <w:p>
            <w:pPr>
              <w:pStyle w:val="Normal"/>
              <w:jc w:val="start"/>
              <w:rPr>
                <w:b/>
                <w:bCs/>
                <w:sz w:val="22"/>
                <w:szCs w:val="22"/>
              </w:rPr>
            </w:pPr>
            <w:r>
              <w:rPr>
                <w:b/>
                <w:bCs/>
                <w:sz w:val="22"/>
                <w:szCs w:val="22"/>
              </w:rPr>
              <w:t>Полиамид-6 (ПА-6) термопластичный</w:t>
            </w:r>
          </w:p>
          <w:p>
            <w:pPr>
              <w:pStyle w:val="Normal"/>
              <w:rPr>
                <w:sz w:val="22"/>
                <w:szCs w:val="22"/>
              </w:rPr>
            </w:pPr>
            <w:r>
              <w:rPr>
                <w:sz w:val="22"/>
                <w:szCs w:val="22"/>
              </w:rPr>
              <w:t>Тип – конструкционный ПА-6</w:t>
            </w:r>
          </w:p>
          <w:p>
            <w:pPr>
              <w:pStyle w:val="Normal"/>
              <w:rPr>
                <w:sz w:val="22"/>
                <w:szCs w:val="22"/>
              </w:rPr>
            </w:pPr>
            <w:r>
              <w:rPr>
                <w:sz w:val="22"/>
                <w:szCs w:val="22"/>
              </w:rPr>
              <w:t>Относительная вязкость, ед., не менее – 2,30</w:t>
            </w:r>
          </w:p>
          <w:p>
            <w:pPr>
              <w:pStyle w:val="Normal"/>
              <w:rPr>
                <w:sz w:val="22"/>
                <w:szCs w:val="22"/>
              </w:rPr>
            </w:pPr>
            <w:r>
              <w:rPr>
                <w:sz w:val="22"/>
                <w:szCs w:val="22"/>
              </w:rPr>
              <w:t>Температура плавления, град. Цельсия, не менее – 215</w:t>
            </w:r>
          </w:p>
          <w:p>
            <w:pPr>
              <w:pStyle w:val="Normal"/>
              <w:rPr>
                <w:sz w:val="22"/>
                <w:szCs w:val="22"/>
              </w:rPr>
            </w:pPr>
            <w:r>
              <w:rPr>
                <w:sz w:val="22"/>
                <w:szCs w:val="22"/>
              </w:rPr>
              <w:t>Ударная вязкость на образцах с надрезом, кДж/м кв., не менее – 5,0</w:t>
            </w:r>
          </w:p>
          <w:p>
            <w:pPr>
              <w:pStyle w:val="Normal"/>
              <w:rPr>
                <w:sz w:val="22"/>
                <w:szCs w:val="22"/>
              </w:rPr>
            </w:pPr>
            <w:r>
              <w:rPr>
                <w:sz w:val="22"/>
                <w:szCs w:val="22"/>
              </w:rPr>
              <w:t>Массовая доля влаги, %, не более – 0,2</w:t>
            </w:r>
          </w:p>
          <w:p>
            <w:pPr>
              <w:pStyle w:val="Normal"/>
              <w:rPr>
                <w:sz w:val="22"/>
                <w:szCs w:val="22"/>
              </w:rPr>
            </w:pPr>
            <w:r>
              <w:rPr/>
              <w:t>Форма – гранулы</w:t>
            </w:r>
          </w:p>
        </w:tc>
        <w:tc>
          <w:tcPr>
            <w:tcW w:w="1529" w:type="dxa"/>
            <w:tcBorders/>
          </w:tcPr>
          <w:p>
            <w:pPr>
              <w:pStyle w:val="Normal"/>
              <w:bidi w:val="0"/>
              <w:spacing w:before="0" w:after="0"/>
              <w:ind w:hanging="0" w:start="510" w:end="0"/>
              <w:jc w:val="center"/>
              <w:rPr>
                <w:lang w:val="en-US"/>
              </w:rPr>
            </w:pPr>
            <w:r>
              <w:rPr>
                <w:lang w:val="en-US"/>
              </w:rPr>
            </w:r>
          </w:p>
        </w:tc>
        <w:tc>
          <w:tcPr>
            <w:tcW w:w="1301" w:type="dxa"/>
            <w:tcBorders/>
          </w:tcPr>
          <w:p>
            <w:pPr>
              <w:pStyle w:val="Normal"/>
              <w:bidi w:val="0"/>
              <w:spacing w:before="0" w:after="0"/>
              <w:ind w:hanging="0" w:start="57" w:end="0"/>
              <w:jc w:val="center"/>
              <w:rPr>
                <w:lang w:val="en-US"/>
              </w:rPr>
            </w:pPr>
            <w:r>
              <w:rPr>
                <w:lang w:val="en-US"/>
              </w:rPr>
              <w:t>25</w:t>
            </w:r>
          </w:p>
        </w:tc>
        <w:tc>
          <w:tcPr>
            <w:tcW w:w="1309" w:type="dxa"/>
            <w:tcBorders/>
          </w:tcPr>
          <w:p>
            <w:pPr>
              <w:pStyle w:val="Normal"/>
              <w:bidi w:val="0"/>
              <w:spacing w:before="0" w:after="0"/>
              <w:ind w:hanging="0" w:start="0" w:end="0"/>
              <w:jc w:val="center"/>
              <w:rPr/>
            </w:pPr>
            <w:r>
              <w:rPr/>
              <w:t>кг</w:t>
            </w:r>
          </w:p>
        </w:tc>
        <w:tc>
          <w:tcPr>
            <w:tcW w:w="1409" w:type="dxa"/>
            <w:tcBorders/>
          </w:tcPr>
          <w:p>
            <w:pPr>
              <w:pStyle w:val="Normal"/>
              <w:bidi w:val="0"/>
              <w:spacing w:before="0" w:after="0"/>
              <w:ind w:hanging="0" w:start="0" w:end="0"/>
              <w:jc w:val="center"/>
              <w:rPr/>
            </w:pPr>
            <w:r>
              <w:rPr/>
            </w:r>
          </w:p>
        </w:tc>
        <w:tc>
          <w:tcPr>
            <w:tcW w:w="1421" w:type="dxa"/>
            <w:tcBorders/>
          </w:tcPr>
          <w:p>
            <w:pPr>
              <w:pStyle w:val="Normal"/>
              <w:bidi w:val="0"/>
              <w:spacing w:lineRule="atLeast" w:line="57" w:before="0" w:after="0"/>
              <w:ind w:hanging="0" w:start="0" w:end="0"/>
              <w:jc w:val="center"/>
              <w:rPr>
                <w:highlight w:val="yellow"/>
              </w:rPr>
            </w:pPr>
            <w:r>
              <w:rPr>
                <w:highlight w:val="yellow"/>
              </w:rPr>
            </w:r>
          </w:p>
        </w:tc>
        <w:tc>
          <w:tcPr>
            <w:tcW w:w="1679" w:type="dxa"/>
            <w:tcBorders/>
          </w:tcPr>
          <w:p>
            <w:pPr>
              <w:pStyle w:val="Normal"/>
              <w:bidi w:val="0"/>
              <w:spacing w:lineRule="atLeast" w:line="57" w:before="0" w:after="0"/>
              <w:ind w:hanging="0" w:start="0" w:end="0"/>
              <w:jc w:val="center"/>
              <w:rPr>
                <w:b/>
                <w:bCs/>
                <w:highlight w:val="yellow"/>
              </w:rPr>
            </w:pPr>
            <w:r>
              <w:rPr>
                <w:b/>
                <w:bCs/>
                <w:highlight w:val="yellow"/>
              </w:rPr>
            </w:r>
          </w:p>
        </w:tc>
      </w:tr>
      <w:tr>
        <w:trPr>
          <w:trHeight w:val="217" w:hRule="atLeast"/>
        </w:trPr>
        <w:tc>
          <w:tcPr>
            <w:tcW w:w="788" w:type="dxa"/>
            <w:tcBorders/>
          </w:tcPr>
          <w:p>
            <w:pPr>
              <w:pStyle w:val="Normal"/>
              <w:bidi w:val="0"/>
              <w:spacing w:before="0" w:after="0"/>
              <w:ind w:hanging="0" w:start="170" w:end="0"/>
              <w:jc w:val="start"/>
              <w:rPr/>
            </w:pPr>
            <w:r>
              <w:rPr/>
              <w:t>5</w:t>
            </w:r>
          </w:p>
        </w:tc>
        <w:tc>
          <w:tcPr>
            <w:tcW w:w="5962" w:type="dxa"/>
            <w:tcBorders/>
          </w:tcPr>
          <w:p>
            <w:pPr>
              <w:pStyle w:val="Normal"/>
              <w:jc w:val="start"/>
              <w:rPr>
                <w:b/>
                <w:bCs/>
                <w:sz w:val="22"/>
                <w:szCs w:val="22"/>
              </w:rPr>
            </w:pPr>
            <w:r>
              <w:rPr>
                <w:b/>
                <w:bCs/>
                <w:sz w:val="22"/>
                <w:szCs w:val="22"/>
              </w:rPr>
              <w:t>Поликарбонат (ПК) термопластичный, черный</w:t>
            </w:r>
          </w:p>
          <w:p>
            <w:pPr>
              <w:pStyle w:val="Normal"/>
              <w:rPr>
                <w:sz w:val="22"/>
                <w:szCs w:val="22"/>
              </w:rPr>
            </w:pPr>
            <w:r>
              <w:rPr>
                <w:sz w:val="22"/>
                <w:szCs w:val="22"/>
              </w:rPr>
              <w:t>Тип – термопластичный поликарбонат</w:t>
            </w:r>
          </w:p>
          <w:p>
            <w:pPr>
              <w:pStyle w:val="Normal"/>
              <w:rPr>
                <w:sz w:val="22"/>
                <w:szCs w:val="22"/>
              </w:rPr>
            </w:pPr>
            <w:r>
              <w:rPr>
                <w:sz w:val="22"/>
                <w:szCs w:val="22"/>
              </w:rPr>
              <w:t>Цвет – черный</w:t>
            </w:r>
          </w:p>
          <w:p>
            <w:pPr>
              <w:pStyle w:val="Normal"/>
              <w:rPr>
                <w:sz w:val="22"/>
                <w:szCs w:val="22"/>
              </w:rPr>
            </w:pPr>
            <w:r>
              <w:rPr>
                <w:sz w:val="22"/>
                <w:szCs w:val="22"/>
              </w:rPr>
              <w:t>Массовая доля гранул размером 2-8 мм по длине и ширине, %, не менее – 84,5</w:t>
            </w:r>
          </w:p>
          <w:p>
            <w:pPr>
              <w:pStyle w:val="Normal"/>
              <w:rPr>
                <w:sz w:val="22"/>
                <w:szCs w:val="22"/>
              </w:rPr>
            </w:pPr>
            <w:r>
              <w:rPr>
                <w:sz w:val="22"/>
                <w:szCs w:val="22"/>
              </w:rPr>
              <w:t>Показатель текучести расплава, г/10 мин. – 5,5-12</w:t>
            </w:r>
          </w:p>
          <w:p>
            <w:pPr>
              <w:pStyle w:val="Normal"/>
              <w:rPr>
                <w:sz w:val="22"/>
                <w:szCs w:val="22"/>
              </w:rPr>
            </w:pPr>
            <w:r>
              <w:rPr>
                <w:sz w:val="22"/>
                <w:szCs w:val="22"/>
              </w:rPr>
              <w:t>Предел текучести при растяжении, МПа, не менее – 62</w:t>
            </w:r>
          </w:p>
          <w:p>
            <w:pPr>
              <w:pStyle w:val="Normal"/>
              <w:rPr>
                <w:sz w:val="22"/>
                <w:szCs w:val="22"/>
              </w:rPr>
            </w:pPr>
            <w:r>
              <w:rPr>
                <w:sz w:val="22"/>
                <w:szCs w:val="22"/>
              </w:rPr>
              <w:t>Массовая доля летучих, не более – 0,2</w:t>
            </w:r>
          </w:p>
          <w:p>
            <w:pPr>
              <w:pStyle w:val="Normal"/>
              <w:rPr>
                <w:sz w:val="22"/>
                <w:szCs w:val="22"/>
              </w:rPr>
            </w:pPr>
            <w:r>
              <w:rPr>
                <w:sz w:val="22"/>
                <w:szCs w:val="22"/>
              </w:rPr>
              <w:t>Ударная вязкость по Шарпи образца с надрезом, кДж/м2, не менее – 17</w:t>
            </w:r>
          </w:p>
          <w:p>
            <w:pPr>
              <w:pStyle w:val="Normal"/>
              <w:rPr>
                <w:sz w:val="22"/>
                <w:szCs w:val="22"/>
              </w:rPr>
            </w:pPr>
            <w:r>
              <w:rPr/>
              <w:t>Форма – гранулы</w:t>
            </w:r>
          </w:p>
        </w:tc>
        <w:tc>
          <w:tcPr>
            <w:tcW w:w="1529" w:type="dxa"/>
            <w:tcBorders/>
          </w:tcPr>
          <w:p>
            <w:pPr>
              <w:pStyle w:val="Normal"/>
              <w:bidi w:val="0"/>
              <w:spacing w:before="0" w:after="0"/>
              <w:ind w:hanging="0" w:start="510" w:end="0"/>
              <w:jc w:val="center"/>
              <w:rPr>
                <w:lang w:val="en-US"/>
              </w:rPr>
            </w:pPr>
            <w:r>
              <w:rPr>
                <w:lang w:val="en-US"/>
              </w:rPr>
            </w:r>
          </w:p>
        </w:tc>
        <w:tc>
          <w:tcPr>
            <w:tcW w:w="1301" w:type="dxa"/>
            <w:tcBorders/>
          </w:tcPr>
          <w:p>
            <w:pPr>
              <w:pStyle w:val="Normal"/>
              <w:bidi w:val="0"/>
              <w:spacing w:before="0" w:after="0"/>
              <w:ind w:hanging="0" w:start="57" w:end="0"/>
              <w:jc w:val="center"/>
              <w:rPr>
                <w:lang w:val="en-US"/>
              </w:rPr>
            </w:pPr>
            <w:r>
              <w:rPr>
                <w:lang w:val="en-US"/>
              </w:rPr>
              <w:t>25</w:t>
            </w:r>
          </w:p>
        </w:tc>
        <w:tc>
          <w:tcPr>
            <w:tcW w:w="1309" w:type="dxa"/>
            <w:tcBorders/>
          </w:tcPr>
          <w:p>
            <w:pPr>
              <w:pStyle w:val="Normal"/>
              <w:bidi w:val="0"/>
              <w:spacing w:before="0" w:after="0"/>
              <w:ind w:hanging="0" w:start="0" w:end="0"/>
              <w:jc w:val="center"/>
              <w:rPr/>
            </w:pPr>
            <w:r>
              <w:rPr/>
              <w:t>кг</w:t>
            </w:r>
          </w:p>
        </w:tc>
        <w:tc>
          <w:tcPr>
            <w:tcW w:w="1409" w:type="dxa"/>
            <w:tcBorders/>
          </w:tcPr>
          <w:p>
            <w:pPr>
              <w:pStyle w:val="Normal"/>
              <w:bidi w:val="0"/>
              <w:spacing w:before="0" w:after="0"/>
              <w:ind w:hanging="0" w:start="0" w:end="0"/>
              <w:jc w:val="center"/>
              <w:rPr/>
            </w:pPr>
            <w:r>
              <w:rPr/>
            </w:r>
          </w:p>
        </w:tc>
        <w:tc>
          <w:tcPr>
            <w:tcW w:w="1421" w:type="dxa"/>
            <w:tcBorders/>
          </w:tcPr>
          <w:p>
            <w:pPr>
              <w:pStyle w:val="Normal"/>
              <w:bidi w:val="0"/>
              <w:spacing w:lineRule="atLeast" w:line="57" w:before="0" w:after="0"/>
              <w:ind w:hanging="0" w:start="0" w:end="0"/>
              <w:jc w:val="center"/>
              <w:rPr>
                <w:highlight w:val="yellow"/>
              </w:rPr>
            </w:pPr>
            <w:r>
              <w:rPr>
                <w:highlight w:val="yellow"/>
              </w:rPr>
            </w:r>
          </w:p>
        </w:tc>
        <w:tc>
          <w:tcPr>
            <w:tcW w:w="1679" w:type="dxa"/>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788" w:type="dxa"/>
            <w:tcBorders/>
          </w:tcPr>
          <w:p>
            <w:pPr>
              <w:pStyle w:val="user6"/>
              <w:rPr/>
            </w:pPr>
            <w:r>
              <w:rPr/>
            </w:r>
          </w:p>
        </w:tc>
        <w:tc>
          <w:tcPr>
            <w:tcW w:w="5962" w:type="dxa"/>
            <w:tcBorders/>
          </w:tcPr>
          <w:p>
            <w:pPr>
              <w:pStyle w:val="user6"/>
              <w:rPr/>
            </w:pPr>
            <w:r>
              <w:rPr/>
            </w:r>
          </w:p>
        </w:tc>
        <w:tc>
          <w:tcPr>
            <w:tcW w:w="1529" w:type="dxa"/>
            <w:tcBorders/>
          </w:tcPr>
          <w:p>
            <w:pPr>
              <w:pStyle w:val="user6"/>
              <w:rPr/>
            </w:pPr>
            <w:r>
              <w:rPr/>
            </w:r>
          </w:p>
        </w:tc>
        <w:tc>
          <w:tcPr>
            <w:tcW w:w="1301" w:type="dxa"/>
            <w:tcBorders/>
          </w:tcPr>
          <w:p>
            <w:pPr>
              <w:pStyle w:val="user6"/>
              <w:rPr/>
            </w:pPr>
            <w:r>
              <w:rPr/>
            </w:r>
          </w:p>
        </w:tc>
        <w:tc>
          <w:tcPr>
            <w:tcW w:w="1309" w:type="dxa"/>
            <w:tcBorders/>
          </w:tcPr>
          <w:p>
            <w:pPr>
              <w:pStyle w:val="user6"/>
              <w:rPr/>
            </w:pPr>
            <w:r>
              <w:rPr/>
            </w:r>
          </w:p>
        </w:tc>
        <w:tc>
          <w:tcPr>
            <w:tcW w:w="1409" w:type="dxa"/>
            <w:tcBorders/>
          </w:tcPr>
          <w:p>
            <w:pPr>
              <w:pStyle w:val="user6"/>
              <w:rPr/>
            </w:pPr>
            <w:r>
              <w:rPr/>
            </w:r>
          </w:p>
        </w:tc>
        <w:tc>
          <w:tcPr>
            <w:tcW w:w="1421" w:type="dxa"/>
            <w:tcBorders/>
          </w:tcPr>
          <w:p>
            <w:pPr>
              <w:pStyle w:val="user6"/>
              <w:jc w:val="end"/>
              <w:rPr/>
            </w:pPr>
            <w:r>
              <w:rPr/>
              <w:t>ИТОГО</w:t>
            </w:r>
          </w:p>
        </w:tc>
        <w:tc>
          <w:tcPr>
            <w:tcW w:w="1679" w:type="dxa"/>
            <w:tcBorders/>
          </w:tcPr>
          <w:p>
            <w:pPr>
              <w:pStyle w:val="user6"/>
              <w:rPr/>
            </w:pPr>
            <w:r>
              <w:rPr/>
            </w:r>
          </w:p>
        </w:tc>
      </w:tr>
    </w:tbl>
    <w:p>
      <w:pPr>
        <w:pStyle w:val="Normal"/>
        <w:spacing w:before="0" w:after="60"/>
        <w:jc w:val="center"/>
        <w:rPr>
          <w:b/>
          <w:bCs/>
        </w:rPr>
      </w:pPr>
      <w:r>
        <w:rPr>
          <w:b/>
          <w:bCs/>
        </w:rPr>
        <mc:AlternateContent>
          <mc:Choice Requires="wps">
            <w:drawing>
              <wp:anchor behindDoc="0" distT="0" distB="635" distL="114300" distR="114300" simplePos="0" locked="0" layoutInCell="0" allowOverlap="1" relativeHeight="2">
                <wp:simplePos x="0" y="0"/>
                <wp:positionH relativeFrom="page">
                  <wp:posOffset>426085</wp:posOffset>
                </wp:positionH>
                <wp:positionV relativeFrom="paragraph">
                  <wp:posOffset>603250</wp:posOffset>
                </wp:positionV>
                <wp:extent cx="10692130" cy="1560830"/>
                <wp:effectExtent l="0" t="0" r="0" b="0"/>
                <wp:wrapSquare wrapText="bothSides"/>
                <wp:docPr id="1" name="Врезка1"/>
                <a:graphic xmlns:a="http://schemas.openxmlformats.org/drawingml/2006/main">
                  <a:graphicData uri="http://schemas.microsoft.com/office/word/2010/wordprocessingShape">
                    <wps:wsp>
                      <wps:cNvSpPr/>
                      <wps:spPr>
                        <a:xfrm>
                          <a:off x="0" y="0"/>
                          <a:ext cx="10692000" cy="1560960"/>
                        </a:xfrm>
                        <a:prstGeom prst="rect">
                          <a:avLst/>
                        </a:prstGeom>
                        <a:noFill/>
                        <a:ln w="0">
                          <a:noFill/>
                        </a:ln>
                      </wps:spPr>
                      <wps:style>
                        <a:lnRef idx="0"/>
                        <a:fillRef idx="0"/>
                        <a:effectRef idx="0"/>
                        <a:fontRef idx="minor"/>
                      </wps:style>
                      <wps:txbx>
                        <w:txbxContent>
                          <w:p>
                            <w:pPr>
                              <w:pStyle w:val="BodyText"/>
                              <w:rPr>
                                <w:color w:val="000000"/>
                              </w:rPr>
                            </w:pPr>
                            <w:r>
                              <w:rPr>
                                <w:color w:val="000000"/>
                              </w:rPr>
                            </w:r>
                          </w:p>
                          <w:tbl>
                            <w:tblPr>
                              <w:tblW w:w="17190" w:type="dxa"/>
                              <w:jc w:val="start"/>
                              <w:tblInd w:w="921" w:type="dxa"/>
                              <w:tblLayout w:type="fixed"/>
                              <w:tblCellMar>
                                <w:top w:w="0" w:type="dxa"/>
                                <w:start w:w="108" w:type="dxa"/>
                                <w:bottom w:w="0" w:type="dxa"/>
                                <w:end w:w="108" w:type="dxa"/>
                              </w:tblCellMar>
                              <w:tblLook w:val="01e0" w:noHBand="0" w:noVBand="0" w:firstColumn="1" w:lastRow="1" w:lastColumn="1" w:firstRow="1"/>
                            </w:tblPr>
                            <w:tblGrid>
                              <w:gridCol w:w="5849"/>
                              <w:gridCol w:w="1137"/>
                              <w:gridCol w:w="235"/>
                              <w:gridCol w:w="1619"/>
                              <w:gridCol w:w="8350"/>
                            </w:tblGrid>
                            <w:tr>
                              <w:trPr>
                                <w:trHeight w:val="1824" w:hRule="atLeast"/>
                              </w:trPr>
                              <w:tc>
                                <w:tcPr>
                                  <w:tcW w:w="5849" w:type="dxa"/>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1137" w:type="dxa"/>
                                  <w:tcBorders/>
                                </w:tcPr>
                                <w:p>
                                  <w:pPr>
                                    <w:pStyle w:val="Normal"/>
                                    <w:tabs>
                                      <w:tab w:val="clear" w:pos="708"/>
                                      <w:tab w:val="left" w:pos="7680" w:leader="none"/>
                                    </w:tabs>
                                    <w:rPr>
                                      <w:b/>
                                      <w:color w:val="000000"/>
                                    </w:rPr>
                                  </w:pPr>
                                  <w:r>
                                    <w:rPr>
                                      <w:b/>
                                      <w:color w:val="000000"/>
                                    </w:rPr>
                                  </w:r>
                                </w:p>
                              </w:tc>
                              <w:tc>
                                <w:tcPr>
                                  <w:tcW w:w="235" w:type="dxa"/>
                                  <w:tcBorders/>
                                </w:tcPr>
                                <w:p>
                                  <w:pPr>
                                    <w:pStyle w:val="Normal"/>
                                    <w:tabs>
                                      <w:tab w:val="clear" w:pos="708"/>
                                      <w:tab w:val="left" w:pos="7680" w:leader="none"/>
                                    </w:tabs>
                                    <w:rPr>
                                      <w:b/>
                                      <w:color w:val="000000"/>
                                    </w:rPr>
                                  </w:pPr>
                                  <w:r>
                                    <w:rPr>
                                      <w:b/>
                                      <w:color w:val="000000"/>
                                    </w:rPr>
                                  </w:r>
                                </w:p>
                              </w:tc>
                              <w:tc>
                                <w:tcPr>
                                  <w:tcW w:w="1619" w:type="dxa"/>
                                  <w:tcBorders/>
                                </w:tcPr>
                                <w:p>
                                  <w:pPr>
                                    <w:pStyle w:val="Normal"/>
                                    <w:tabs>
                                      <w:tab w:val="clear" w:pos="708"/>
                                      <w:tab w:val="left" w:pos="7680" w:leader="none"/>
                                    </w:tabs>
                                    <w:rPr>
                                      <w:b/>
                                      <w:color w:val="000000"/>
                                    </w:rPr>
                                  </w:pPr>
                                  <w:r>
                                    <w:rPr>
                                      <w:b/>
                                      <w:color w:val="000000"/>
                                    </w:rPr>
                                  </w:r>
                                </w:p>
                              </w:tc>
                              <w:tc>
                                <w:tcPr>
                                  <w:tcW w:w="8350" w:type="dxa"/>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user5"/>
                              <w:rPr>
                                <w:color w:val="000000"/>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33.55pt;margin-top:47.5pt;width:841.85pt;height:122.85pt;mso-wrap-style:square;v-text-anchor:top;mso-position-horizontal-relative:page">
                <v:fill o:detectmouseclick="t" on="false"/>
                <v:stroke color="#3465a4" joinstyle="round" endcap="flat"/>
                <v:textbox>
                  <w:txbxContent>
                    <w:p>
                      <w:pPr>
                        <w:pStyle w:val="BodyText"/>
                        <w:rPr>
                          <w:color w:val="000000"/>
                        </w:rPr>
                      </w:pPr>
                      <w:r>
                        <w:rPr>
                          <w:color w:val="000000"/>
                        </w:rPr>
                      </w:r>
                    </w:p>
                    <w:tbl>
                      <w:tblPr>
                        <w:tblW w:w="17190" w:type="dxa"/>
                        <w:jc w:val="start"/>
                        <w:tblInd w:w="921" w:type="dxa"/>
                        <w:tblLayout w:type="fixed"/>
                        <w:tblCellMar>
                          <w:top w:w="0" w:type="dxa"/>
                          <w:start w:w="108" w:type="dxa"/>
                          <w:bottom w:w="0" w:type="dxa"/>
                          <w:end w:w="108" w:type="dxa"/>
                        </w:tblCellMar>
                        <w:tblLook w:val="01e0" w:noHBand="0" w:noVBand="0" w:firstColumn="1" w:lastRow="1" w:lastColumn="1" w:firstRow="1"/>
                      </w:tblPr>
                      <w:tblGrid>
                        <w:gridCol w:w="5849"/>
                        <w:gridCol w:w="1137"/>
                        <w:gridCol w:w="235"/>
                        <w:gridCol w:w="1619"/>
                        <w:gridCol w:w="8350"/>
                      </w:tblGrid>
                      <w:tr>
                        <w:trPr>
                          <w:trHeight w:val="1824" w:hRule="atLeast"/>
                        </w:trPr>
                        <w:tc>
                          <w:tcPr>
                            <w:tcW w:w="5849" w:type="dxa"/>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1137" w:type="dxa"/>
                            <w:tcBorders/>
                          </w:tcPr>
                          <w:p>
                            <w:pPr>
                              <w:pStyle w:val="Normal"/>
                              <w:tabs>
                                <w:tab w:val="clear" w:pos="708"/>
                                <w:tab w:val="left" w:pos="7680" w:leader="none"/>
                              </w:tabs>
                              <w:rPr>
                                <w:b/>
                                <w:color w:val="000000"/>
                              </w:rPr>
                            </w:pPr>
                            <w:r>
                              <w:rPr>
                                <w:b/>
                                <w:color w:val="000000"/>
                              </w:rPr>
                            </w:r>
                          </w:p>
                        </w:tc>
                        <w:tc>
                          <w:tcPr>
                            <w:tcW w:w="235" w:type="dxa"/>
                            <w:tcBorders/>
                          </w:tcPr>
                          <w:p>
                            <w:pPr>
                              <w:pStyle w:val="Normal"/>
                              <w:tabs>
                                <w:tab w:val="clear" w:pos="708"/>
                                <w:tab w:val="left" w:pos="7680" w:leader="none"/>
                              </w:tabs>
                              <w:rPr>
                                <w:b/>
                                <w:color w:val="000000"/>
                              </w:rPr>
                            </w:pPr>
                            <w:r>
                              <w:rPr>
                                <w:b/>
                                <w:color w:val="000000"/>
                              </w:rPr>
                            </w:r>
                          </w:p>
                        </w:tc>
                        <w:tc>
                          <w:tcPr>
                            <w:tcW w:w="1619" w:type="dxa"/>
                            <w:tcBorders/>
                          </w:tcPr>
                          <w:p>
                            <w:pPr>
                              <w:pStyle w:val="Normal"/>
                              <w:tabs>
                                <w:tab w:val="clear" w:pos="708"/>
                                <w:tab w:val="left" w:pos="7680" w:leader="none"/>
                              </w:tabs>
                              <w:rPr>
                                <w:b/>
                                <w:color w:val="000000"/>
                              </w:rPr>
                            </w:pPr>
                            <w:r>
                              <w:rPr>
                                <w:b/>
                                <w:color w:val="000000"/>
                              </w:rPr>
                            </w:r>
                          </w:p>
                        </w:tc>
                        <w:tc>
                          <w:tcPr>
                            <w:tcW w:w="8350" w:type="dxa"/>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user5"/>
                        <w:rPr>
                          <w:color w:val="000000"/>
                        </w:rPr>
                      </w:pPr>
                      <w:r>
                        <w:rPr>
                          <w:color w:val="000000"/>
                        </w:rPr>
                      </w:r>
                    </w:p>
                  </w:txbxContent>
                </v:textbox>
                <w10:wrap type="square"/>
              </v:rect>
            </w:pict>
          </mc:Fallback>
        </mc:AlternateConten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settings.xml><?xml version="1.0" encoding="utf-8"?>
<w:settings xmlns:w="http://schemas.openxmlformats.org/wordprocessingml/2006/main">
  <w:zoom w:percent="15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uiPriority w:val="99"/>
    <w:unhideWhenUsed/>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uiPriority w:val="99"/>
    <w:semiHidden/>
    <w:unhideWhenUsed/>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user2"/>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4">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user5">
    <w:name w:val="Содержимое врезки (user)"/>
    <w:basedOn w:val="Normal"/>
    <w:qFormat/>
    <w:pPr/>
    <w:rPr/>
  </w:style>
  <w:style w:type="paragraph" w:styleId="western">
    <w:name w:val="western"/>
    <w:basedOn w:val="Normal"/>
    <w:qFormat/>
    <w:pPr>
      <w:suppressAutoHyphens w:val="false"/>
      <w:spacing w:before="280" w:after="142"/>
    </w:pPr>
    <w:rPr>
      <w:rFonts w:ascii="Times New Roman" w:hAnsi="Times New Roman" w:cs="Times New Roman"/>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paragraph" w:styleId="Style22">
    <w:name w:val="Содержимое врезки"/>
    <w:basedOn w:val="Normal"/>
    <w:qFormat/>
    <w:pPr/>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numbering" w:styleId="user8"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51</TotalTime>
  <Application>LibreOffice/25.8.3.2$Linux_X86_64 LibreOffice_project/580$Build-2</Application>
  <AppVersion>15.0000</AppVersion>
  <Pages>7</Pages>
  <Words>3240</Words>
  <Characters>23068</Characters>
  <CharactersWithSpaces>26960</CharactersWithSpaces>
  <Paragraphs>216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2026-08-12T12:51:37Z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