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spacing w:before="0"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Обоснование начальной (максимальной) цены контракта,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p>
      <w:pPr>
        <w:pStyle w:val="617"/>
        <w:jc w:val="center"/>
        <w:spacing w:before="0"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цены контракта,заключаемого с единственным поставщиком (подрядчиком, исполнителем)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p>
      <w:pPr>
        <w:pStyle w:val="617"/>
        <w:jc w:val="center"/>
        <w:spacing w:before="0"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tbl>
      <w:tblPr>
        <w:tblStyle w:val="628"/>
        <w:tblW w:w="156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49"/>
        <w:gridCol w:w="12571"/>
      </w:tblGrid>
      <w:tr>
        <w:tblPrEx/>
        <w:trPr/>
        <w:tc>
          <w:tcPr>
            <w:tcW w:w="304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 w:bidi="ar-SA"/>
              </w:rPr>
              <w:t xml:space="preserve">Характеристики объекта закупки</w:t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1257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ru-RU" w:eastAsia="zh-CN" w:bidi="ar-SA"/>
              </w:rPr>
              <w:t xml:space="preserve">Характеристики объекта закупки указаны в описании объекта закупки</w:t>
            </w:r>
            <w:r>
              <w:rPr>
                <w:sz w:val="18"/>
                <w:szCs w:val="18"/>
                <w:lang w:eastAsia="zh-CN"/>
              </w:rPr>
            </w:r>
          </w:p>
        </w:tc>
      </w:tr>
      <w:tr>
        <w:tblPrEx/>
        <w:trPr/>
        <w:tc>
          <w:tcPr>
            <w:tcW w:w="3049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ru-RU" w:eastAsia="zh-CN" w:bidi="ar-SA"/>
              </w:rPr>
              <w:t xml:space="preserve">Используемый метод определения НМЦК: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257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ru-RU" w:eastAsia="zh-CN" w:bidi="ar-SA"/>
              </w:rPr>
      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      </w:r>
            <w:r>
              <w:rPr>
                <w:sz w:val="18"/>
                <w:szCs w:val="18"/>
                <w:lang w:eastAsia="zh-CN"/>
              </w:rPr>
            </w:r>
          </w:p>
        </w:tc>
      </w:tr>
    </w:tbl>
    <w:p>
      <w:pPr>
        <w:pStyle w:val="617"/>
        <w:jc w:val="center"/>
        <w:spacing w:before="0"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pStyle w:val="617"/>
        <w:jc w:val="center"/>
        <w:spacing w:before="0"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/>
      <w:sdt>
        <w:sdtPr>
          <w:alias w:val="calc-name"/>
          <w15:appearance w15:val="boundingBox"/>
          <w:id w:val="-1778556588"/>
          <w:placeholder>
            <w:docPart w:val="EB3CC122DC90480BAA917F70BAF74C92"/>
          </w:placeholder>
          <w:tag w:val="calc-name"/>
          <w:rPr/>
        </w:sdtPr>
        <w:sdtContent>
          <w:r>
            <w:rPr>
              <w:rFonts w:ascii="Times New Roman" w:hAnsi="Times New Roman" w:eastAsia="SimSun" w:cs="Times New Roman"/>
              <w:sz w:val="24"/>
              <w:szCs w:val="24"/>
              <w:lang w:eastAsia="zh-CN"/>
            </w:rPr>
          </w:r>
          <w:r>
            <w:rPr>
              <w:rFonts w:ascii="Times New Roman" w:hAnsi="Times New Roman" w:eastAsia="SimSun" w:cs="Times New Roman"/>
              <w:sz w:val="24"/>
              <w:szCs w:val="24"/>
              <w:lang w:eastAsia="zh-CN"/>
            </w:rPr>
            <w:t xml:space="preserve">Расчет НМЦК</w:t>
          </w:r>
        </w:sdtContent>
      </w:sdt>
      <w:r/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p>
      <w:pPr>
        <w:pStyle w:val="617"/>
        <w:spacing w:before="0"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Расчет НМЦК (рын) произведен по формуле: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pStyle w:val="617"/>
        <w:spacing w:before="0"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12900" cy="619760"/>
                <wp:effectExtent l="0" t="0" r="0" b="0"/>
                <wp:docPr id="1" name="Изображение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12900" cy="619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7.00pt;height:48.8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pStyle w:val="617"/>
        <w:spacing w:before="0"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V - количество (объем) закупаемого товара;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pStyle w:val="617"/>
        <w:spacing w:before="0"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n - количество значений, используемых в расчете;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pStyle w:val="617"/>
        <w:spacing w:before="0"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i - номер источника ценовой информации;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pStyle w:val="617"/>
        <w:spacing w:before="0"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  <w:t xml:space="preserve">Цi - цена единицы товара</w:t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pStyle w:val="617"/>
        <w:spacing w:before="0"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tbl>
      <w:tblPr>
        <w:tblStyle w:val="628"/>
        <w:tblW w:w="1538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blPrEx/>
        <w:trPr>
          <w:cantSplit/>
        </w:trPr>
        <w:tc>
          <w:tcPr>
            <w:tcW w:w="406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№</w:t>
            </w:r>
            <w:r>
              <w:rPr>
                <w:lang w:val="en-US" w:eastAsia="zh-CN"/>
              </w:rPr>
            </w:r>
          </w:p>
        </w:tc>
        <w:tc>
          <w:tcPr>
            <w:tcW w:w="153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Наименование товара, услуги (работы)</w:t>
            </w:r>
            <w:r>
              <w:rPr>
                <w:lang w:val="en-US" w:eastAsia="zh-CN"/>
              </w:rPr>
            </w:r>
          </w:p>
        </w:tc>
        <w:tc>
          <w:tcPr>
            <w:tcW w:w="1942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ОКПД2/КТРУ</w:t>
            </w:r>
            <w:r>
              <w:rPr>
                <w:lang w:val="en-US" w:eastAsia="zh-CN"/>
              </w:rPr>
            </w:r>
          </w:p>
        </w:tc>
        <w:tc>
          <w:tcPr>
            <w:tcW w:w="79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Кол-во</w:t>
            </w:r>
            <w:r>
              <w:rPr>
                <w:lang w:val="en-US" w:eastAsia="zh-CN"/>
              </w:rPr>
            </w:r>
          </w:p>
        </w:tc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Ед. изм.</w:t>
            </w:r>
            <w:r>
              <w:rPr>
                <w:lang w:val="en-US"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Источники</w:t>
            </w:r>
            <w:r>
              <w:rPr>
                <w:lang w:val="en-US" w:eastAsia="zh-CN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Цена, руб</w:t>
            </w:r>
            <w:r>
              <w:rPr>
                <w:lang w:val="en-US" w:eastAsia="zh-CN"/>
              </w:rPr>
            </w:r>
          </w:p>
        </w:tc>
        <w:tc>
          <w:tcPr>
            <w:tcW w:w="120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lang w:val="en-US" w:eastAsia="zh-CN"/>
              </w:rPr>
            </w:pPr>
            <w:r/>
            <w:sdt>
              <w:sdtPr>
                <w:alias w:val="price-type"/>
                <w15:appearance w15:val="boundingBox"/>
                <w:id w:val="-1340460000"/>
                <w:placeholder>
                  <w:docPart w:val="EB3CC122DC90480BAA917F70BAF74C92"/>
                </w:placeholder>
                <w:tag w:val="price-type"/>
                <w:rPr/>
              </w:sdtPr>
              <w:sdtContent>
                <w:r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-SA"/>
                  </w:rPr>
                  <w:t xml:space="preserve">Минимальная цена</w:t>
                </w:r>
              </w:sdtContent>
            </w:sdt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руб.)</w:t>
            </w:r>
            <w:r>
              <w:rPr>
                <w:lang w:val="en-US" w:eastAsia="zh-CN"/>
              </w:rPr>
            </w:r>
          </w:p>
        </w:tc>
        <w:tc>
          <w:tcPr>
            <w:tcW w:w="16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Среднее квадратичное отклонение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15035" cy="440055"/>
                      <wp:effectExtent l="0" t="0" r="0" b="0"/>
                      <wp:docPr id="2" name="Picture 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035" cy="4400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2.05pt;height:34.65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lang w:val="en-US" w:eastAsia="zh-CN"/>
              </w:rPr>
            </w:r>
          </w:p>
        </w:tc>
        <w:tc>
          <w:tcPr>
            <w:tcW w:w="1911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Коэффициент вариации (%)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ru-RU" w:eastAsia="ru-RU" w:bidi="ar-S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76325" cy="389890"/>
                      <wp:effectExtent l="0" t="0" r="0" b="0"/>
                      <wp:docPr id="3" name="Picture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76325" cy="38989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84.75pt;height:30.7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lang w:eastAsia="zh-CN"/>
              </w:rPr>
            </w:r>
          </w:p>
        </w:tc>
        <w:tc>
          <w:tcPr>
            <w:tcW w:w="2016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-SA"/>
              </w:rPr>
              <w:t xml:space="preserve">НМЦК (рын)</w:t>
            </w:r>
            <w:r>
              <w:rPr>
                <w:lang w:val="en-US" w:eastAsia="zh-CN" w:bidi="ar-SA"/>
              </w:rPr>
            </w:r>
          </w:p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44270" cy="461645"/>
                      <wp:effectExtent l="0" t="0" r="0" b="0"/>
                      <wp:docPr id="4" name="Изображение 2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Изображение 2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44270" cy="46164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90.10pt;height:36.35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lang w:val="en-US" w:eastAsia="zh-CN" w:bidi="ar-SA"/>
              </w:rPr>
            </w:r>
          </w:p>
        </w:tc>
      </w:tr>
      <w:tr>
        <w:tblPrEx/>
        <w:trPr/>
        <w:tc>
          <w:tcPr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Программный продукт "Астрал-ЭТ" на 12 мес</w:t>
            </w:r>
            <w:r/>
          </w:p>
        </w:tc>
        <w:tc>
          <w:tcPr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62.09.20.190</w:t>
            </w:r>
            <w:r/>
          </w:p>
        </w:tc>
        <w:tc>
          <w:tcPr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шт</w:t>
            </w:r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t xml:space="preserve">Поставщик 1</w:t>
              <w:br/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</w:pPr>
            <w:r>
              <w:t xml:space="preserve">3100.00</w:t>
            </w:r>
            <w:r/>
          </w:p>
        </w:tc>
        <w:tc>
          <w:tcPr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2900.00</w:t>
            </w:r>
            <w:r/>
          </w:p>
        </w:tc>
        <w:tc>
          <w:tcPr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152.75</w:t>
            </w:r>
            <w:r/>
          </w:p>
        </w:tc>
        <w:tc>
          <w:tcPr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4.98</w:t>
            </w:r>
            <w:r/>
          </w:p>
        </w:tc>
        <w:tc>
          <w:tcPr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2900.00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t xml:space="preserve">Поставщик 2</w:t>
              <w:br/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</w:pPr>
            <w:r>
              <w:t xml:space="preserve">3200.00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jc w:val="left"/>
            </w:pPr>
            <w:r>
              <w:t xml:space="preserve">Поставщик 3</w:t>
              <w:br/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</w:pPr>
            <w:r>
              <w:t xml:space="preserve">2900.00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jc w:val="center"/>
            </w:pPr>
            <w:r>
              <w:t xml:space="preserve">Итого:</w:t>
            </w:r>
            <w:r/>
          </w:p>
        </w:tc>
        <w:tc>
          <w:tcPr>
            <w:textDirection w:val="lrTb"/>
            <w:noWrap w:val="false"/>
          </w:tcPr>
          <w:p>
            <w:pPr>
              <w:jc w:val="center"/>
            </w:pPr>
            <w:r>
              <w:t xml:space="preserve">2900.00</w:t>
            </w:r>
            <w:r/>
          </w:p>
        </w:tc>
      </w:tr>
      <w:tr>
        <w:tblPrEx/>
        <w:trPr/>
        <w:tc>
          <w:tcPr>
            <w:gridSpan w:val="11"/>
            <w:textDirection w:val="lrTb"/>
            <w:noWrap w:val="false"/>
          </w:tcPr>
          <w:p>
            <w:pPr>
              <w:jc w:val="left"/>
              <w:spacing w:before="0" w:after="0"/>
            </w:pPr>
            <w:r>
              <w:t xml:space="preserve">На основании проведенного анализа рынка и расчетов, НМЦК составляет: 2 900,00 ₽.</w:t>
            </w:r>
            <w:r/>
          </w:p>
        </w:tc>
      </w:tr>
    </w:tbl>
    <w:p>
      <w:pPr>
        <w:pStyle w:val="617"/>
        <w:spacing w:before="0" w:after="0" w:line="240" w:lineRule="auto"/>
        <w:widowControl w:val="off"/>
        <w:rPr>
          <w:rFonts w:ascii="Times New Roman" w:hAnsi="Times New Roman" w:eastAsia="SimSun" w:cs="Times New Roman"/>
          <w:sz w:val="18"/>
          <w:szCs w:val="18"/>
          <w:lang w:eastAsia="zh-CN"/>
        </w:rPr>
      </w:pP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  <w:r>
        <w:rPr>
          <w:rFonts w:ascii="Times New Roman" w:hAnsi="Times New Roman" w:eastAsia="SimSun" w:cs="Times New Roman"/>
          <w:sz w:val="18"/>
          <w:szCs w:val="18"/>
          <w:lang w:eastAsia="zh-CN"/>
        </w:rPr>
      </w:r>
    </w:p>
    <w:p>
      <w:pPr>
        <w:pStyle w:val="617"/>
        <w:jc w:val="both"/>
        <w:spacing w:before="0"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tbl>
      <w:tblPr>
        <w:tblW w:w="8175" w:type="dxa"/>
        <w:jc w:val="righ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5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  <w:t xml:space="preserve">Контрактный управляющий: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5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pStyle w:val="617"/>
        <w:jc w:val="center"/>
        <w:spacing w:before="0" w:after="0" w:line="240" w:lineRule="auto"/>
        <w:rPr>
          <w:rFonts w:ascii="Times New Roman" w:hAnsi="Times New Roman" w:eastAsia="SimSun" w:cs="Times New Roman"/>
          <w:sz w:val="20"/>
          <w:szCs w:val="20"/>
          <w:lang w:val="en-US" w:eastAsia="zh-CN" w:bidi="ar-SA"/>
        </w:rPr>
      </w:pPr>
      <w:r>
        <w:rPr>
          <w:rFonts w:ascii="Times New Roman" w:hAnsi="Times New Roman" w:eastAsia="SimSun" w:cs="Times New Roman"/>
          <w:sz w:val="20"/>
          <w:szCs w:val="20"/>
          <w:lang w:val="en-US" w:eastAsia="zh-CN" w:bidi="ar-SA"/>
        </w:rPr>
      </w:r>
      <w:r>
        <w:rPr>
          <w:rFonts w:ascii="Times New Roman" w:hAnsi="Times New Roman" w:eastAsia="SimSun" w:cs="Times New Roman"/>
          <w:sz w:val="20"/>
          <w:szCs w:val="20"/>
          <w:lang w:val="en-US" w:eastAsia="zh-CN" w:bidi="ar-SA"/>
        </w:rPr>
      </w:r>
    </w:p>
    <w:p>
      <w:pPr>
        <w:pStyle w:val="617"/>
        <w:spacing w:before="0" w:after="160"/>
      </w:pPr>
      <w:r/>
      <w:r/>
    </w:p>
    <w:sectPr>
      <w:footnotePr/>
      <w:endnotePr/>
      <w:type w:val="nextPage"/>
      <w:pgSz w:w="16838" w:h="11906" w:orient="landscape"/>
      <w:pgMar w:top="720" w:right="720" w:bottom="720" w:left="72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Noto Sans CJK SC">
    <w:panose1 w:val="020B0502040504020204"/>
  </w:font>
  <w:font w:name="Noto Sans Devanagari">
    <w:panose1 w:val="020B05020405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18"/>
    <w:link w:val="622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18" w:default="1">
    <w:name w:val="Default Paragraph Font"/>
    <w:uiPriority w:val="1"/>
    <w:semiHidden/>
    <w:unhideWhenUsed/>
    <w:qFormat/>
  </w:style>
  <w:style w:type="paragraph" w:styleId="619">
    <w:name w:val="Заголовок"/>
    <w:basedOn w:val="617"/>
    <w:next w:val="620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620">
    <w:name w:val="Body Text"/>
    <w:basedOn w:val="617"/>
    <w:pPr>
      <w:spacing w:before="0" w:after="140" w:line="276" w:lineRule="auto"/>
    </w:pPr>
  </w:style>
  <w:style w:type="paragraph" w:styleId="621">
    <w:name w:val="List"/>
    <w:basedOn w:val="620"/>
    <w:rPr>
      <w:rFonts w:cs="Noto Sans Devanagari"/>
    </w:rPr>
  </w:style>
  <w:style w:type="paragraph" w:styleId="622">
    <w:name w:val="Caption"/>
    <w:basedOn w:val="617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623">
    <w:name w:val="Указатель"/>
    <w:basedOn w:val="617"/>
    <w:qFormat/>
    <w:pPr>
      <w:suppressLineNumbers/>
    </w:pPr>
    <w:rPr>
      <w:rFonts w:cs="Noto Sans Devanagari"/>
    </w:rPr>
  </w:style>
  <w:style w:type="paragraph" w:styleId="624">
    <w:name w:val="Содержимое таблицы"/>
    <w:basedOn w:val="617"/>
    <w:qFormat/>
    <w:pPr>
      <w:widowControl w:val="off"/>
      <w:suppressLineNumbers/>
    </w:pPr>
  </w:style>
  <w:style w:type="paragraph" w:styleId="625">
    <w:name w:val="Заголовок таблицы"/>
    <w:basedOn w:val="624"/>
    <w:qFormat/>
    <w:pPr>
      <w:jc w:val="center"/>
      <w:suppressLineNumbers/>
    </w:pPr>
    <w:rPr>
      <w:b/>
      <w:bCs/>
    </w:rPr>
  </w:style>
  <w:style w:type="numbering" w:styleId="626" w:default="1">
    <w:name w:val="Без списка"/>
    <w:uiPriority w:val="99"/>
    <w:semiHidden/>
    <w:unhideWhenUsed/>
    <w:qFormat/>
  </w:style>
  <w:style w:type="table" w:styleId="62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28">
    <w:name w:val="Table Grid"/>
    <w:basedOn w:val="627"/>
    <w:pPr>
      <w:jc w:val="both"/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wmf"/><Relationship Id="rId11" Type="http://schemas.openxmlformats.org/officeDocument/2006/relationships/image" Target="media/media1.svg"/><Relationship Id="rId12" Type="http://schemas.openxmlformats.org/officeDocument/2006/relationships/image" Target="media/image3.wmf"/><Relationship Id="rId13" Type="http://schemas.openxmlformats.org/officeDocument/2006/relationships/image" Target="media/media2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>
          <w:pPr>
            <w:pStyle w:val="1065"/>
          </w:pPr>
          <w:r>
            <w:rPr>
              <w:rStyle w:val="1064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0">
    <w:name w:val="Heading 1"/>
    <w:basedOn w:val="1060"/>
    <w:next w:val="1060"/>
    <w:link w:val="2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1061"/>
    <w:link w:val="250"/>
    <w:uiPriority w:val="9"/>
    <w:rPr>
      <w:rFonts w:ascii="Arial" w:hAnsi="Arial" w:eastAsia="Arial" w:cs="Arial"/>
      <w:sz w:val="40"/>
      <w:szCs w:val="40"/>
    </w:rPr>
  </w:style>
  <w:style w:type="paragraph" w:styleId="252">
    <w:name w:val="Heading 2"/>
    <w:basedOn w:val="1060"/>
    <w:next w:val="1060"/>
    <w:link w:val="2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1061"/>
    <w:link w:val="252"/>
    <w:uiPriority w:val="9"/>
    <w:rPr>
      <w:rFonts w:ascii="Arial" w:hAnsi="Arial" w:eastAsia="Arial" w:cs="Arial"/>
      <w:sz w:val="34"/>
    </w:rPr>
  </w:style>
  <w:style w:type="paragraph" w:styleId="254">
    <w:name w:val="Heading 3"/>
    <w:basedOn w:val="1060"/>
    <w:next w:val="1060"/>
    <w:link w:val="2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1061"/>
    <w:link w:val="254"/>
    <w:uiPriority w:val="9"/>
    <w:rPr>
      <w:rFonts w:ascii="Arial" w:hAnsi="Arial" w:eastAsia="Arial" w:cs="Arial"/>
      <w:sz w:val="30"/>
      <w:szCs w:val="30"/>
    </w:rPr>
  </w:style>
  <w:style w:type="paragraph" w:styleId="256">
    <w:name w:val="Heading 4"/>
    <w:basedOn w:val="1060"/>
    <w:next w:val="1060"/>
    <w:link w:val="2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1061"/>
    <w:link w:val="256"/>
    <w:uiPriority w:val="9"/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1060"/>
    <w:next w:val="1060"/>
    <w:link w:val="2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1061"/>
    <w:link w:val="258"/>
    <w:uiPriority w:val="9"/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1060"/>
    <w:next w:val="1060"/>
    <w:link w:val="2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1061"/>
    <w:link w:val="260"/>
    <w:uiPriority w:val="9"/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1060"/>
    <w:next w:val="1060"/>
    <w:link w:val="2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1061"/>
    <w:link w:val="2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1060"/>
    <w:next w:val="1060"/>
    <w:link w:val="2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1061"/>
    <w:link w:val="264"/>
    <w:uiPriority w:val="9"/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1060"/>
    <w:next w:val="1060"/>
    <w:link w:val="2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1061"/>
    <w:link w:val="266"/>
    <w:uiPriority w:val="9"/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1060"/>
    <w:uiPriority w:val="34"/>
    <w:qFormat/>
    <w:pPr>
      <w:contextualSpacing/>
      <w:ind w:left="720"/>
    </w:pPr>
  </w:style>
  <w:style w:type="paragraph" w:styleId="270">
    <w:name w:val="No Spacing"/>
    <w:uiPriority w:val="1"/>
    <w:qFormat/>
    <w:pPr>
      <w:spacing w:before="0" w:after="0" w:line="240" w:lineRule="auto"/>
    </w:pPr>
  </w:style>
  <w:style w:type="paragraph" w:styleId="271">
    <w:name w:val="Title"/>
    <w:basedOn w:val="1060"/>
    <w:next w:val="1060"/>
    <w:link w:val="2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2">
    <w:name w:val="Title Char"/>
    <w:basedOn w:val="1061"/>
    <w:link w:val="271"/>
    <w:uiPriority w:val="10"/>
    <w:rPr>
      <w:sz w:val="48"/>
      <w:szCs w:val="48"/>
    </w:rPr>
  </w:style>
  <w:style w:type="paragraph" w:styleId="273">
    <w:name w:val="Subtitle"/>
    <w:basedOn w:val="1060"/>
    <w:next w:val="1060"/>
    <w:link w:val="274"/>
    <w:uiPriority w:val="11"/>
    <w:qFormat/>
    <w:pPr>
      <w:spacing w:before="200" w:after="200"/>
    </w:pPr>
    <w:rPr>
      <w:sz w:val="24"/>
      <w:szCs w:val="24"/>
    </w:rPr>
  </w:style>
  <w:style w:type="character" w:styleId="274">
    <w:name w:val="Subtitle Char"/>
    <w:basedOn w:val="1061"/>
    <w:link w:val="273"/>
    <w:uiPriority w:val="11"/>
    <w:rPr>
      <w:sz w:val="24"/>
      <w:szCs w:val="24"/>
    </w:rPr>
  </w:style>
  <w:style w:type="paragraph" w:styleId="275">
    <w:name w:val="Quote"/>
    <w:basedOn w:val="1060"/>
    <w:next w:val="1060"/>
    <w:link w:val="276"/>
    <w:uiPriority w:val="29"/>
    <w:qFormat/>
    <w:pPr>
      <w:ind w:left="720" w:right="720"/>
    </w:pPr>
    <w:rPr>
      <w:i/>
    </w:rPr>
  </w:style>
  <w:style w:type="character" w:styleId="276">
    <w:name w:val="Quote Char"/>
    <w:link w:val="275"/>
    <w:uiPriority w:val="29"/>
    <w:rPr>
      <w:i/>
    </w:rPr>
  </w:style>
  <w:style w:type="paragraph" w:styleId="277">
    <w:name w:val="Intense Quote"/>
    <w:basedOn w:val="1060"/>
    <w:next w:val="1060"/>
    <w:link w:val="2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8">
    <w:name w:val="Intense Quote Char"/>
    <w:link w:val="277"/>
    <w:uiPriority w:val="30"/>
    <w:rPr>
      <w:i/>
    </w:rPr>
  </w:style>
  <w:style w:type="paragraph" w:styleId="279">
    <w:name w:val="Header"/>
    <w:basedOn w:val="1060"/>
    <w:link w:val="2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0">
    <w:name w:val="Header Char"/>
    <w:basedOn w:val="1061"/>
    <w:link w:val="279"/>
    <w:uiPriority w:val="99"/>
  </w:style>
  <w:style w:type="paragraph" w:styleId="281">
    <w:name w:val="Footer"/>
    <w:basedOn w:val="1060"/>
    <w:link w:val="2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2">
    <w:name w:val="Footer Char"/>
    <w:basedOn w:val="1061"/>
    <w:link w:val="281"/>
    <w:uiPriority w:val="99"/>
  </w:style>
  <w:style w:type="paragraph" w:styleId="283">
    <w:name w:val="Caption"/>
    <w:basedOn w:val="1060"/>
    <w:next w:val="1060"/>
    <w:link w:val="2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1061"/>
    <w:link w:val="283"/>
    <w:uiPriority w:val="35"/>
    <w:rPr>
      <w:b/>
      <w:bCs/>
      <w:color w:val="4f81bd" w:themeColor="accent1"/>
      <w:sz w:val="18"/>
      <w:szCs w:val="18"/>
    </w:rPr>
  </w:style>
  <w:style w:type="table" w:styleId="285">
    <w:name w:val="Table Grid"/>
    <w:basedOn w:val="10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6">
    <w:name w:val="Table Grid Light"/>
    <w:basedOn w:val="10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Plain Table 1"/>
    <w:basedOn w:val="10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88">
    <w:name w:val="Plain Table 2"/>
    <w:basedOn w:val="10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89">
    <w:name w:val="Plain Table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0">
    <w:name w:val="Plain Table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1">
    <w:name w:val="Plain Table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2">
    <w:name w:val="Grid Table 1 Light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3">
    <w:name w:val="Grid Table 1 Light 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0">
    <w:name w:val="Grid Table 2 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 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4"/>
    <w:basedOn w:val="10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4">
    <w:name w:val="Grid Table 4 - Accent 1"/>
    <w:basedOn w:val="10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5">
    <w:name w:val="Grid Table 4 - Accent 2"/>
    <w:basedOn w:val="10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6">
    <w:name w:val="Grid Table 4 - Accent 3"/>
    <w:basedOn w:val="10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7">
    <w:name w:val="Grid Table 4 - Accent 4"/>
    <w:basedOn w:val="10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8">
    <w:name w:val="Grid Table 4 - Accent 5"/>
    <w:basedOn w:val="10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19">
    <w:name w:val="Grid Table 4 - Accent 6"/>
    <w:basedOn w:val="10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0">
    <w:name w:val="Grid Table 5 Dark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1">
    <w:name w:val="Grid Table 5 Dark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22">
    <w:name w:val="Grid Table 5 Dark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24">
    <w:name w:val="Grid Table 5 Dark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25">
    <w:name w:val="Grid Table 5 Dark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27">
    <w:name w:val="Grid Table 6 Colorful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28">
    <w:name w:val="Grid Table 6 Colorful 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29">
    <w:name w:val="Grid Table 6 Colorful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30">
    <w:name w:val="Grid Table 6 Colorful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31">
    <w:name w:val="Grid Table 6 Colorful 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32">
    <w:name w:val="Grid Table 6 Colorful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33">
    <w:name w:val="Grid Table 6 Colorful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34">
    <w:name w:val="Grid Table 7 Colorful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5">
    <w:name w:val="Grid Table 7 Colorful 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1">
    <w:name w:val="List Table 1 Light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2">
    <w:name w:val="List Table 1 Light 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49">
    <w:name w:val="List Table 2 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0">
    <w:name w:val="List Table 2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1">
    <w:name w:val="List Table 2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2">
    <w:name w:val="List Table 2 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3">
    <w:name w:val="List Table 2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4">
    <w:name w:val="List Table 2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5">
    <w:name w:val="List Table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6">
    <w:name w:val="List Table 3 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 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5 Dark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0">
    <w:name w:val="List Table 5 Dark 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1">
    <w:name w:val="List Table 5 Dark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2">
    <w:name w:val="List Table 5 Dark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3">
    <w:name w:val="List Table 5 Dark 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4">
    <w:name w:val="List Table 5 Dark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5">
    <w:name w:val="List Table 5 Dark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76">
    <w:name w:val="List Table 6 Colorful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7">
    <w:name w:val="List Table 6 Colorful 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8">
    <w:name w:val="List Table 6 Colorful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79">
    <w:name w:val="List Table 6 Colorful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0">
    <w:name w:val="List Table 6 Colorful 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1">
    <w:name w:val="List Table 6 Colorful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2">
    <w:name w:val="List Table 6 Colorful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3">
    <w:name w:val="List Table 7 Colorful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84">
    <w:name w:val="List Table 7 Colorful 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385">
    <w:name w:val="List Table 7 Colorful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386">
    <w:name w:val="List Table 7 Colorful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387">
    <w:name w:val="List Table 7 Colorful 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388">
    <w:name w:val="List Table 7 Colorful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389">
    <w:name w:val="List Table 7 Colorful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390">
    <w:name w:val="Lined - Accent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1">
    <w:name w:val="Lined - Accent 1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2">
    <w:name w:val="Lined - Accent 2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93">
    <w:name w:val="Lined - Accent 3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94">
    <w:name w:val="Lined - Accent 4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95">
    <w:name w:val="Lined - Accent 5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96">
    <w:name w:val="Lined - Accent 6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97">
    <w:name w:val="Bordered &amp; Lined - Accent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8">
    <w:name w:val="Bordered &amp; Lined - Accent 1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9">
    <w:name w:val="Bordered &amp; Lined - Accent 2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400">
    <w:name w:val="Bordered &amp; Lined - Accent 3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401">
    <w:name w:val="Bordered &amp; Lined - Accent 4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402">
    <w:name w:val="Bordered &amp; Lined - Accent 5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403">
    <w:name w:val="Bordered &amp; Lined - Accent 6"/>
    <w:basedOn w:val="10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404">
    <w:name w:val="Bordered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5">
    <w:name w:val="Bordered - Accent 1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6">
    <w:name w:val="Bordered - Accent 2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7">
    <w:name w:val="Bordered - Accent 3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8">
    <w:name w:val="Bordered - Accent 4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09">
    <w:name w:val="Bordered - Accent 5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0">
    <w:name w:val="Bordered - Accent 6"/>
    <w:basedOn w:val="10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1">
    <w:name w:val="Hyperlink"/>
    <w:uiPriority w:val="99"/>
    <w:unhideWhenUsed/>
    <w:rPr>
      <w:color w:val="0000ff" w:themeColor="hyperlink"/>
      <w:u w:val="single"/>
    </w:rPr>
  </w:style>
  <w:style w:type="paragraph" w:styleId="412">
    <w:name w:val="footnote text"/>
    <w:basedOn w:val="1060"/>
    <w:link w:val="413"/>
    <w:uiPriority w:val="99"/>
    <w:semiHidden/>
    <w:unhideWhenUsed/>
    <w:pPr>
      <w:spacing w:after="40" w:line="240" w:lineRule="auto"/>
    </w:pPr>
    <w:rPr>
      <w:sz w:val="18"/>
    </w:rPr>
  </w:style>
  <w:style w:type="character" w:styleId="413">
    <w:name w:val="Footnote Text Char"/>
    <w:link w:val="412"/>
    <w:uiPriority w:val="99"/>
    <w:rPr>
      <w:sz w:val="18"/>
    </w:rPr>
  </w:style>
  <w:style w:type="character" w:styleId="414">
    <w:name w:val="footnote reference"/>
    <w:basedOn w:val="1061"/>
    <w:uiPriority w:val="99"/>
    <w:unhideWhenUsed/>
    <w:rPr>
      <w:vertAlign w:val="superscript"/>
    </w:rPr>
  </w:style>
  <w:style w:type="paragraph" w:styleId="415">
    <w:name w:val="endnote text"/>
    <w:basedOn w:val="1060"/>
    <w:link w:val="416"/>
    <w:uiPriority w:val="99"/>
    <w:semiHidden/>
    <w:unhideWhenUsed/>
    <w:pPr>
      <w:spacing w:after="0" w:line="240" w:lineRule="auto"/>
    </w:pPr>
    <w:rPr>
      <w:sz w:val="20"/>
    </w:rPr>
  </w:style>
  <w:style w:type="character" w:styleId="416">
    <w:name w:val="Endnote Text Char"/>
    <w:link w:val="415"/>
    <w:uiPriority w:val="99"/>
    <w:rPr>
      <w:sz w:val="20"/>
    </w:rPr>
  </w:style>
  <w:style w:type="character" w:styleId="417">
    <w:name w:val="endnote reference"/>
    <w:basedOn w:val="1061"/>
    <w:uiPriority w:val="99"/>
    <w:semiHidden/>
    <w:unhideWhenUsed/>
    <w:rPr>
      <w:vertAlign w:val="superscript"/>
    </w:rPr>
  </w:style>
  <w:style w:type="paragraph" w:styleId="418">
    <w:name w:val="toc 1"/>
    <w:basedOn w:val="1060"/>
    <w:next w:val="1060"/>
    <w:uiPriority w:val="39"/>
    <w:unhideWhenUsed/>
    <w:pPr>
      <w:ind w:left="0" w:right="0" w:firstLine="0"/>
      <w:spacing w:after="57"/>
    </w:pPr>
  </w:style>
  <w:style w:type="paragraph" w:styleId="419">
    <w:name w:val="toc 2"/>
    <w:basedOn w:val="1060"/>
    <w:next w:val="1060"/>
    <w:uiPriority w:val="39"/>
    <w:unhideWhenUsed/>
    <w:pPr>
      <w:ind w:left="283" w:right="0" w:firstLine="0"/>
      <w:spacing w:after="57"/>
    </w:pPr>
  </w:style>
  <w:style w:type="paragraph" w:styleId="420">
    <w:name w:val="toc 3"/>
    <w:basedOn w:val="1060"/>
    <w:next w:val="1060"/>
    <w:uiPriority w:val="39"/>
    <w:unhideWhenUsed/>
    <w:pPr>
      <w:ind w:left="567" w:right="0" w:firstLine="0"/>
      <w:spacing w:after="57"/>
    </w:pPr>
  </w:style>
  <w:style w:type="paragraph" w:styleId="421">
    <w:name w:val="toc 4"/>
    <w:basedOn w:val="1060"/>
    <w:next w:val="1060"/>
    <w:uiPriority w:val="39"/>
    <w:unhideWhenUsed/>
    <w:pPr>
      <w:ind w:left="850" w:right="0" w:firstLine="0"/>
      <w:spacing w:after="57"/>
    </w:pPr>
  </w:style>
  <w:style w:type="paragraph" w:styleId="422">
    <w:name w:val="toc 5"/>
    <w:basedOn w:val="1060"/>
    <w:next w:val="1060"/>
    <w:uiPriority w:val="39"/>
    <w:unhideWhenUsed/>
    <w:pPr>
      <w:ind w:left="1134" w:right="0" w:firstLine="0"/>
      <w:spacing w:after="57"/>
    </w:pPr>
  </w:style>
  <w:style w:type="paragraph" w:styleId="423">
    <w:name w:val="toc 6"/>
    <w:basedOn w:val="1060"/>
    <w:next w:val="1060"/>
    <w:uiPriority w:val="39"/>
    <w:unhideWhenUsed/>
    <w:pPr>
      <w:ind w:left="1417" w:right="0" w:firstLine="0"/>
      <w:spacing w:after="57"/>
    </w:pPr>
  </w:style>
  <w:style w:type="paragraph" w:styleId="424">
    <w:name w:val="toc 7"/>
    <w:basedOn w:val="1060"/>
    <w:next w:val="1060"/>
    <w:uiPriority w:val="39"/>
    <w:unhideWhenUsed/>
    <w:pPr>
      <w:ind w:left="1701" w:right="0" w:firstLine="0"/>
      <w:spacing w:after="57"/>
    </w:pPr>
  </w:style>
  <w:style w:type="paragraph" w:styleId="425">
    <w:name w:val="toc 8"/>
    <w:basedOn w:val="1060"/>
    <w:next w:val="1060"/>
    <w:uiPriority w:val="39"/>
    <w:unhideWhenUsed/>
    <w:pPr>
      <w:ind w:left="1984" w:right="0" w:firstLine="0"/>
      <w:spacing w:after="57"/>
    </w:pPr>
  </w:style>
  <w:style w:type="paragraph" w:styleId="426">
    <w:name w:val="toc 9"/>
    <w:basedOn w:val="1060"/>
    <w:next w:val="1060"/>
    <w:uiPriority w:val="39"/>
    <w:unhideWhenUsed/>
    <w:pPr>
      <w:ind w:left="2268" w:right="0" w:firstLine="0"/>
      <w:spacing w:after="57"/>
    </w:pPr>
  </w:style>
  <w:style w:type="paragraph" w:styleId="427">
    <w:name w:val="TOC Heading"/>
    <w:uiPriority w:val="39"/>
    <w:unhideWhenUsed/>
  </w:style>
  <w:style w:type="paragraph" w:styleId="428">
    <w:name w:val="table of figures"/>
    <w:basedOn w:val="1060"/>
    <w:next w:val="1060"/>
    <w:uiPriority w:val="99"/>
    <w:unhideWhenUsed/>
    <w:pPr>
      <w:spacing w:after="0" w:afterAutospacing="0"/>
    </w:pPr>
  </w:style>
  <w:style w:type="paragraph" w:styleId="1060" w:default="1">
    <w:name w:val="Normal"/>
    <w:qFormat/>
  </w:style>
  <w:style w:type="character" w:styleId="1061" w:default="1">
    <w:name w:val="Default Paragraph Font"/>
    <w:uiPriority w:val="1"/>
    <w:semiHidden/>
    <w:unhideWhenUsed/>
  </w:style>
  <w:style w:type="table" w:styleId="10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3" w:default="1">
    <w:name w:val="No List"/>
    <w:uiPriority w:val="99"/>
    <w:semiHidden/>
    <w:unhideWhenUsed/>
  </w:style>
  <w:style w:type="character" w:styleId="1064">
    <w:name w:val="Placeholder Text"/>
    <w:basedOn w:val="1061"/>
    <w:uiPriority w:val="99"/>
    <w:semiHidden/>
    <w:rPr>
      <w:color w:val="808080"/>
    </w:rPr>
  </w:style>
  <w:style w:type="paragraph" w:styleId="1065" w:customStyle="1">
    <w:name w:val="EB3CC122DC90480BAA917F70BAF74C92"/>
  </w:style>
  <w:style w:type="paragraph" w:styleId="1066" w:customStyle="1">
    <w:name w:val="2F86957B7B0F4305A3AC837449CBDC65"/>
  </w:style>
  <w:style w:type="paragraph" w:styleId="1067" w:customStyle="1">
    <w:name w:val="17E5B824549F4A32A8F546BFF091D168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SPecialiST RePack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dc:language>ru-RU</dc:language>
  <cp:lastModifiedBy>User</cp:lastModifiedBy>
  <cp:revision>7</cp:revision>
  <dcterms:created xsi:type="dcterms:W3CDTF">2024-05-21T07:43:00Z</dcterms:created>
  <dcterms:modified xsi:type="dcterms:W3CDTF">2026-06-01T11:08:45Z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