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618" w:rsidRPr="0016676D" w:rsidRDefault="002C7618" w:rsidP="002C7618">
      <w:pPr>
        <w:pStyle w:val="112"/>
        <w:rPr>
          <w:szCs w:val="24"/>
          <w:lang w:val="en-US"/>
        </w:rPr>
      </w:pPr>
      <w:r w:rsidRPr="0016676D">
        <w:rPr>
          <w:szCs w:val="24"/>
        </w:rPr>
        <w:t xml:space="preserve">ДОГОВОР № </w:t>
      </w:r>
      <w:r w:rsidRPr="00492C51">
        <w:rPr>
          <w:szCs w:val="24"/>
        </w:rPr>
        <w:t>_____</w:t>
      </w:r>
    </w:p>
    <w:tbl>
      <w:tblPr>
        <w:tblW w:w="10665" w:type="dxa"/>
        <w:tblInd w:w="108" w:type="dxa"/>
        <w:tblLook w:val="04A0" w:firstRow="1" w:lastRow="0" w:firstColumn="1" w:lastColumn="0" w:noHBand="0" w:noVBand="1"/>
      </w:tblPr>
      <w:tblGrid>
        <w:gridCol w:w="4677"/>
        <w:gridCol w:w="5988"/>
      </w:tblGrid>
      <w:tr w:rsidR="002C7618" w:rsidRPr="0016676D" w:rsidTr="00744211">
        <w:tc>
          <w:tcPr>
            <w:tcW w:w="4677" w:type="dxa"/>
            <w:shd w:val="clear" w:color="auto" w:fill="auto"/>
          </w:tcPr>
          <w:p w:rsidR="002C7618" w:rsidRPr="00544782" w:rsidRDefault="002C7618" w:rsidP="00744211">
            <w:pPr>
              <w:spacing w:line="240" w:lineRule="atLeast"/>
              <w:ind w:firstLine="0"/>
              <w:rPr>
                <w:lang w:val="en-US"/>
              </w:rPr>
            </w:pPr>
            <w:r w:rsidRPr="0016676D">
              <w:t>г</w:t>
            </w:r>
            <w:r w:rsidRPr="00544782">
              <w:rPr>
                <w:lang w:val="en-US"/>
              </w:rPr>
              <w:t xml:space="preserve">. </w:t>
            </w:r>
            <w:r w:rsidRPr="0016676D">
              <w:t>Москва</w:t>
            </w:r>
          </w:p>
        </w:tc>
        <w:tc>
          <w:tcPr>
            <w:tcW w:w="5988" w:type="dxa"/>
            <w:shd w:val="clear" w:color="auto" w:fill="auto"/>
          </w:tcPr>
          <w:p w:rsidR="002C7618" w:rsidRPr="00544782" w:rsidRDefault="002C7618" w:rsidP="00744211">
            <w:pPr>
              <w:spacing w:line="240" w:lineRule="atLeast"/>
              <w:jc w:val="right"/>
              <w:rPr>
                <w:lang w:val="en-US"/>
              </w:rPr>
            </w:pPr>
            <w:r w:rsidRPr="00544782">
              <w:rPr>
                <w:lang w:val="en-US"/>
              </w:rPr>
              <w:t>«__»________20</w:t>
            </w:r>
            <w:r w:rsidRPr="0016676D">
              <w:t xml:space="preserve">2_ </w:t>
            </w:r>
            <w:r w:rsidRPr="00544782">
              <w:rPr>
                <w:lang w:val="en-US"/>
              </w:rPr>
              <w:t>г.</w:t>
            </w:r>
          </w:p>
        </w:tc>
      </w:tr>
    </w:tbl>
    <w:p w:rsidR="002C7618" w:rsidRPr="0016676D" w:rsidRDefault="002C7618" w:rsidP="002C7618">
      <w:pPr>
        <w:spacing w:line="240" w:lineRule="atLeast"/>
      </w:pPr>
    </w:p>
    <w:p w:rsidR="002C7618" w:rsidRPr="0016676D" w:rsidRDefault="002C7618" w:rsidP="002C7618">
      <w:r w:rsidRPr="0016676D">
        <w:t xml:space="preserve">Федеральное казенное учреждение здравоохранения «Ставропольский научно-исследовательский противочумный институт» Федеральной службы по надзору в сфере защиты прав потребителей и благополучия человека (ФКУЗ Ставропольский противочумный институт </w:t>
      </w:r>
      <w:proofErr w:type="spellStart"/>
      <w:r w:rsidRPr="0016676D">
        <w:t>Роспотребнадзора</w:t>
      </w:r>
      <w:proofErr w:type="spellEnd"/>
      <w:r w:rsidRPr="0016676D">
        <w:t>), именуемое в дальнейшем «Заказчик», в лице временно исполняющего обязанности директора Куличенко Александра Николаевича, действующего на основании Устава и приказа Федеральной службы по надзору в сфере защиты прав потребителей и благополучия человека от 19.09.2025 г. № 431-л/о</w:t>
      </w:r>
      <w:r w:rsidR="001C4D65">
        <w:t>,</w:t>
      </w:r>
      <w:r w:rsidRPr="0016676D">
        <w:t xml:space="preserve">  с одной стороны, и </w:t>
      </w:r>
      <w:r w:rsidR="00502E5E">
        <w:t>______________</w:t>
      </w:r>
      <w:r w:rsidRPr="0016676D">
        <w:t xml:space="preserve">, именуемое в дальнейшем «Исполнитель», в лице </w:t>
      </w:r>
      <w:r w:rsidR="00502E5E">
        <w:t>______________</w:t>
      </w:r>
      <w:r w:rsidRPr="0016676D">
        <w:t xml:space="preserve">, действующего на основании </w:t>
      </w:r>
      <w:r w:rsidR="00502E5E">
        <w:t>__________________</w:t>
      </w:r>
      <w:r w:rsidRPr="0016676D">
        <w:t>, с другой стороны, именуемые совместно «Стороны», заключили настоящий Договор о нижеследующем</w:t>
      </w:r>
    </w:p>
    <w:p w:rsidR="002C7618" w:rsidRPr="0016676D" w:rsidRDefault="002C7618" w:rsidP="002C7618">
      <w:pPr>
        <w:pStyle w:val="1"/>
        <w:rPr>
          <w:color w:val="auto"/>
          <w:szCs w:val="24"/>
        </w:rPr>
      </w:pPr>
      <w:r w:rsidRPr="0016676D">
        <w:rPr>
          <w:color w:val="auto"/>
          <w:szCs w:val="24"/>
        </w:rPr>
        <w:t>ПРЕДМЕТ ДОГОВОРА</w:t>
      </w:r>
    </w:p>
    <w:p w:rsidR="002C7618" w:rsidRPr="0016676D" w:rsidRDefault="002C7618" w:rsidP="002C7618">
      <w:pPr>
        <w:pStyle w:val="2"/>
        <w:rPr>
          <w:color w:val="auto"/>
          <w:szCs w:val="24"/>
        </w:rPr>
      </w:pPr>
      <w:r w:rsidRPr="0016676D">
        <w:rPr>
          <w:color w:val="auto"/>
          <w:szCs w:val="24"/>
        </w:rPr>
        <w:t xml:space="preserve">Исполнитель обязуется оказать услуги по проведению испытаний серии или партии иммунобиологического лекарственного препарата Вакцина чумная живая, </w:t>
      </w:r>
      <w:proofErr w:type="spellStart"/>
      <w:r w:rsidRPr="0016676D">
        <w:rPr>
          <w:color w:val="auto"/>
          <w:szCs w:val="24"/>
        </w:rPr>
        <w:t>лиофилизат</w:t>
      </w:r>
      <w:proofErr w:type="spellEnd"/>
      <w:r w:rsidRPr="0016676D">
        <w:rPr>
          <w:color w:val="auto"/>
          <w:szCs w:val="24"/>
        </w:rPr>
        <w:t xml:space="preserve"> для приготовления суспензии для инъекций, накожного и </w:t>
      </w:r>
      <w:proofErr w:type="spellStart"/>
      <w:r w:rsidRPr="0016676D">
        <w:rPr>
          <w:color w:val="auto"/>
          <w:szCs w:val="24"/>
        </w:rPr>
        <w:t>скарификационного</w:t>
      </w:r>
      <w:proofErr w:type="spellEnd"/>
      <w:r w:rsidRPr="0016676D">
        <w:rPr>
          <w:color w:val="auto"/>
          <w:szCs w:val="24"/>
        </w:rPr>
        <w:t xml:space="preserve"> нанесения и ингаляций, серии 3-26 (далее – ИЛП), произведенного в Российской Федерации или ввозимого в Российскую Федерацию, требованиям, установленным при его государственной регистрации или регистрации, согласно Спецификации (Приложение №1 к Договору), а </w:t>
      </w:r>
      <w:r w:rsidRPr="0016676D">
        <w:rPr>
          <w:color w:val="auto"/>
          <w:szCs w:val="24"/>
          <w:lang w:bidi="ru-RU"/>
        </w:rPr>
        <w:t>Заказчик обязуется принять и оплатить оказанные услуги</w:t>
      </w:r>
      <w:r w:rsidRPr="0016676D">
        <w:rPr>
          <w:color w:val="auto"/>
          <w:szCs w:val="24"/>
        </w:rPr>
        <w:t>.</w:t>
      </w:r>
    </w:p>
    <w:p w:rsidR="002C7618" w:rsidRPr="0016676D" w:rsidRDefault="002C7618" w:rsidP="002C7618">
      <w:pPr>
        <w:pStyle w:val="2"/>
        <w:rPr>
          <w:color w:val="auto"/>
          <w:szCs w:val="24"/>
        </w:rPr>
      </w:pPr>
      <w:r w:rsidRPr="0016676D">
        <w:rPr>
          <w:color w:val="auto"/>
          <w:szCs w:val="24"/>
        </w:rPr>
        <w:t>Допускается проведение испытаний с использованием средств дистанционного взаимодействия в порядке, установленном Правилами выдачи разрешения на ввод в гражданский оборот серии или партии иммунобиологического лекарственного препарата, а также выдачи федеральными государственными бюджетными учреждениями, указанными в части 4 статьи 52.1 Федерального закона «Об обращении лекарственных средств»,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или регистрации (далее – Правила выдачи заключения), утвержденными постановлением Правительства РФ от 31.05.2025 № 815 (далее – Постановление).</w:t>
      </w:r>
    </w:p>
    <w:p w:rsidR="002C7618" w:rsidRPr="0016676D" w:rsidRDefault="002C7618" w:rsidP="002C7618">
      <w:pPr>
        <w:pStyle w:val="2"/>
        <w:rPr>
          <w:color w:val="auto"/>
          <w:szCs w:val="24"/>
        </w:rPr>
      </w:pPr>
      <w:r w:rsidRPr="0016676D">
        <w:rPr>
          <w:color w:val="auto"/>
          <w:szCs w:val="24"/>
        </w:rPr>
        <w:t>Исполнител</w:t>
      </w:r>
      <w:r w:rsidRPr="0016676D">
        <w:rPr>
          <w:rFonts w:eastAsia="Courier New"/>
          <w:color w:val="auto"/>
          <w:szCs w:val="24"/>
        </w:rPr>
        <w:t>ь</w:t>
      </w:r>
      <w:r w:rsidRPr="0016676D">
        <w:rPr>
          <w:color w:val="auto"/>
          <w:szCs w:val="24"/>
        </w:rPr>
        <w:t xml:space="preserve"> вправе привлекать к оказанию услуг третьих лиц, при этом Исполнитель несет ответственность перед Заказчиком за действия или бездействия третьих лиц в соответствии с законодательством Российской Федерации.</w:t>
      </w:r>
    </w:p>
    <w:p w:rsidR="002C7618" w:rsidRPr="0016676D" w:rsidRDefault="002C7618" w:rsidP="002C7618">
      <w:pPr>
        <w:pStyle w:val="2"/>
        <w:rPr>
          <w:color w:val="auto"/>
          <w:szCs w:val="24"/>
        </w:rPr>
      </w:pPr>
      <w:r w:rsidRPr="0016676D">
        <w:rPr>
          <w:color w:val="auto"/>
          <w:szCs w:val="24"/>
        </w:rPr>
        <w:t>Результатом оказанных услуг по Договору является:</w:t>
      </w:r>
    </w:p>
    <w:p w:rsidR="002C7618" w:rsidRPr="0016676D" w:rsidRDefault="002C7618" w:rsidP="002C7618">
      <w:r w:rsidRPr="0016676D">
        <w:t>- заключение о соответствии серии или партии иммунобиологического лекарственного препарата требованиям, установленным при его государственной регистрации или регистрации, либо</w:t>
      </w:r>
      <w:r w:rsidRPr="0016676D">
        <w:rPr>
          <w:shd w:val="clear" w:color="auto" w:fill="FFFFFF"/>
        </w:rPr>
        <w:t xml:space="preserve"> заключение </w:t>
      </w:r>
      <w:r w:rsidRPr="0016676D">
        <w:t>о несоответствии серии или партии иммунобиологического лекарственного препарата требованиям, установленным при его государственной регистрации или регистрации (далее – заключение).</w:t>
      </w:r>
    </w:p>
    <w:p w:rsidR="002C7618" w:rsidRPr="0016676D" w:rsidRDefault="002C7618" w:rsidP="002C7618">
      <w:pPr>
        <w:pStyle w:val="2"/>
        <w:rPr>
          <w:color w:val="auto"/>
          <w:szCs w:val="24"/>
        </w:rPr>
      </w:pPr>
      <w:r w:rsidRPr="0016676D">
        <w:rPr>
          <w:color w:val="auto"/>
          <w:szCs w:val="24"/>
        </w:rPr>
        <w:t>Объем проводимых испытаний для иммунобиологических лекарственных препаратов определяется Исполнителем в соответствии с требованиями нормативной документации или нормативного документа по качеству на ИЛП (далее – НД) с учетом решения по определению объема проводимых испытаний качества иммунобиологического лекарственного препарата, принятого комиссией, созданной Федеральной службой по надзору в сфере здравоохранения.</w:t>
      </w:r>
    </w:p>
    <w:p w:rsidR="002C7618" w:rsidRPr="0016676D" w:rsidRDefault="002C7618" w:rsidP="002C7618">
      <w:pPr>
        <w:pStyle w:val="1"/>
        <w:rPr>
          <w:color w:val="auto"/>
          <w:szCs w:val="24"/>
        </w:rPr>
      </w:pPr>
      <w:r w:rsidRPr="0016676D">
        <w:rPr>
          <w:color w:val="auto"/>
          <w:szCs w:val="24"/>
        </w:rPr>
        <w:t>ОБЯЗАТЕЛЬСТВА СТОРОН И ПОРЯДОК ОКАЗАНИЯ УСЛУГ</w:t>
      </w:r>
    </w:p>
    <w:p w:rsidR="002C7618" w:rsidRPr="0016676D" w:rsidRDefault="002C7618" w:rsidP="002C7618">
      <w:pPr>
        <w:pStyle w:val="2"/>
        <w:rPr>
          <w:color w:val="auto"/>
          <w:szCs w:val="24"/>
        </w:rPr>
      </w:pPr>
      <w:r w:rsidRPr="0016676D">
        <w:rPr>
          <w:color w:val="auto"/>
          <w:szCs w:val="24"/>
        </w:rPr>
        <w:t>Исполнитель обязуется:</w:t>
      </w:r>
    </w:p>
    <w:p w:rsidR="002C7618" w:rsidRPr="0016676D" w:rsidRDefault="002C7618" w:rsidP="002C7618">
      <w:pPr>
        <w:pStyle w:val="3"/>
      </w:pPr>
      <w:r w:rsidRPr="0016676D">
        <w:t xml:space="preserve">В течение 3 рабочих дней со дня получения заявления о выдаче заключения и прилагаемых к нему материалов, проверить полноту и комплектность представленного заявления  и прилагаемых к нему материалов, определить количество образцов ИЛП, количество образцов фармацевтической субстанции, </w:t>
      </w:r>
      <w:r w:rsidRPr="0016676D">
        <w:rPr>
          <w:bCs/>
          <w:iCs/>
        </w:rPr>
        <w:t xml:space="preserve">тест-штаммов микроорганизмов, культур клеток, образцов веществ, применяемых для контроля качества ИЛП путем сравнения с ними исследуемого ИЛП, расходных материалов в объеме, необходимом для двукратного воспроизведения методов контроля качества </w:t>
      </w:r>
      <w:r w:rsidRPr="0016676D">
        <w:t>(далее – образцы для воспроизведения методов контроля качества), и запросить их у Заказчика.</w:t>
      </w:r>
    </w:p>
    <w:p w:rsidR="002C7618" w:rsidRPr="0016676D" w:rsidRDefault="002C7618" w:rsidP="002C7618">
      <w:pPr>
        <w:pStyle w:val="3"/>
      </w:pPr>
      <w:r w:rsidRPr="0016676D">
        <w:t xml:space="preserve">Выставить Заказчику счет на оплату с указанием банковских реквизитов для перечисления платежа течение 3 рабочих дней со дня получения в полном объеме заявления и прилагаемых к нему материалов.  </w:t>
      </w:r>
    </w:p>
    <w:p w:rsidR="002C7618" w:rsidRPr="0016676D" w:rsidRDefault="002C7618" w:rsidP="002C7618">
      <w:pPr>
        <w:pStyle w:val="3"/>
        <w:rPr>
          <w:lang w:bidi="ru-RU"/>
        </w:rPr>
      </w:pPr>
      <w:r w:rsidRPr="0016676D">
        <w:lastRenderedPageBreak/>
        <w:t xml:space="preserve">Оказать услуги в срок, не превышающий 30 </w:t>
      </w:r>
      <w:r w:rsidRPr="0016676D">
        <w:rPr>
          <w:lang w:bidi="ru-RU"/>
        </w:rPr>
        <w:t xml:space="preserve">рабочих дней со дня получения образцов ИЛП и </w:t>
      </w:r>
      <w:r w:rsidRPr="0016676D">
        <w:t>образцов для воспроизведения методов контроля качества</w:t>
      </w:r>
      <w:r w:rsidRPr="0016676D">
        <w:rPr>
          <w:lang w:bidi="ru-RU"/>
        </w:rPr>
        <w:t xml:space="preserve"> и представления реквизитов документа, подтверждающего факт оплаты услуги по проведению испытаний качества, за исключением случаев, когда длительность проведения испытаний качества, предусмотренная методиками испытаний, указанными в НД, превышает 30 рабочих дней. </w:t>
      </w:r>
    </w:p>
    <w:p w:rsidR="002C7618" w:rsidRPr="0016676D" w:rsidRDefault="002C7618" w:rsidP="002C7618">
      <w:pPr>
        <w:pStyle w:val="3"/>
      </w:pPr>
      <w:r w:rsidRPr="0016676D">
        <w:t>Отказать в выдаче заключения в случае непредставления Заказчиком:</w:t>
      </w:r>
    </w:p>
    <w:p w:rsidR="002C7618" w:rsidRPr="0016676D" w:rsidRDefault="002C7618" w:rsidP="002C7618">
      <w:pPr>
        <w:autoSpaceDE w:val="0"/>
        <w:autoSpaceDN w:val="0"/>
        <w:adjustRightInd w:val="0"/>
      </w:pPr>
      <w:r w:rsidRPr="0016676D">
        <w:t>- ответа на запрос Исполнителя в срок, установленный в п. 5 Правил выдачи заключения;</w:t>
      </w:r>
    </w:p>
    <w:p w:rsidR="002C7618" w:rsidRPr="0016676D" w:rsidRDefault="002C7618" w:rsidP="002C7618">
      <w:r w:rsidRPr="0016676D">
        <w:t>- требуемого количества образцов ИЛП и образцов для воспроизведения методов контроля качества;</w:t>
      </w:r>
    </w:p>
    <w:p w:rsidR="002C7618" w:rsidRPr="0016676D" w:rsidRDefault="002C7618" w:rsidP="002C7618">
      <w:r w:rsidRPr="0016676D">
        <w:t xml:space="preserve">- реквизитов документа, подтверждающего факт оплаты услуги по проведению испытаний качества и выдачу заключения. </w:t>
      </w:r>
    </w:p>
    <w:p w:rsidR="002C7618" w:rsidRPr="0016676D" w:rsidRDefault="002C7618" w:rsidP="002C7618">
      <w:pPr>
        <w:pStyle w:val="3"/>
      </w:pPr>
      <w:r w:rsidRPr="0016676D">
        <w:t>Направить Заказчику з</w:t>
      </w:r>
      <w:r w:rsidRPr="0016676D">
        <w:rPr>
          <w:bCs/>
        </w:rPr>
        <w:t>аключение</w:t>
      </w:r>
      <w:r w:rsidRPr="0016676D">
        <w:t xml:space="preserve"> и универсальный передаточный документ.</w:t>
      </w:r>
      <w:r w:rsidRPr="0016676D">
        <w:rPr>
          <w:rStyle w:val="a8"/>
          <w:bCs/>
        </w:rPr>
        <w:t xml:space="preserve"> </w:t>
      </w:r>
    </w:p>
    <w:p w:rsidR="002C7618" w:rsidRPr="0016676D" w:rsidRDefault="002C7618" w:rsidP="002C7618">
      <w:pPr>
        <w:pStyle w:val="3"/>
        <w:tabs>
          <w:tab w:val="left" w:pos="6237"/>
        </w:tabs>
      </w:pPr>
      <w:r w:rsidRPr="0016676D">
        <w:t>В случае если при оказании услуг Исполнителем получены отрицательные</w:t>
      </w:r>
      <w:r w:rsidRPr="0016676D">
        <w:rPr>
          <w:rFonts w:eastAsia="Courier New"/>
          <w:lang w:bidi="ru-RU"/>
        </w:rPr>
        <w:t xml:space="preserve"> результаты по одному или нескольким показателям, или противоречивые результаты, включая результаты в отношении альтернативных методов, указанных в НД на ИЛП, по одному и тому же показателю, не позволяющие однозначно судить о соответствии серии или партии ИЛП </w:t>
      </w:r>
      <w:r w:rsidRPr="0016676D">
        <w:t>установленным требованиям</w:t>
      </w:r>
      <w:r w:rsidRPr="0016676D">
        <w:rPr>
          <w:rFonts w:eastAsia="Courier New"/>
          <w:lang w:bidi="ru-RU"/>
        </w:rPr>
        <w:t xml:space="preserve">, Исполнитель вправе повторно запросить у Заказчика образцы, </w:t>
      </w:r>
      <w:r w:rsidRPr="0016676D">
        <w:t xml:space="preserve">которые передаются Заказчиком Исполнителю по акту приема-передачи в соответствии с п. 2.2.2. Договора. При увеличении объема и стоимости услуг, Заказчик соглашается с таким увеличением и обязуется оплатить оказанные услуги путем заключения дополнительного соглашения или отдельного договора. </w:t>
      </w:r>
    </w:p>
    <w:p w:rsidR="002C7618" w:rsidRPr="0016676D" w:rsidRDefault="002C7618" w:rsidP="002C7618">
      <w:pPr>
        <w:pStyle w:val="3"/>
      </w:pPr>
      <w:r w:rsidRPr="0016676D">
        <w:t>Направить Заказчику запрос при выявлении неполноты, и (или) недостоверности, и (или) некомплектности заявления и (или) материалов, указанных в п. 2. и 3 Правил выдачи заключения.</w:t>
      </w:r>
    </w:p>
    <w:p w:rsidR="002C7618" w:rsidRPr="0016676D" w:rsidRDefault="002C7618" w:rsidP="002C7618">
      <w:pPr>
        <w:pStyle w:val="2"/>
        <w:rPr>
          <w:color w:val="auto"/>
          <w:szCs w:val="24"/>
        </w:rPr>
      </w:pPr>
      <w:r w:rsidRPr="0016676D">
        <w:rPr>
          <w:color w:val="auto"/>
          <w:szCs w:val="24"/>
        </w:rPr>
        <w:t xml:space="preserve">Заказчик обязуется: </w:t>
      </w:r>
    </w:p>
    <w:p w:rsidR="002C7618" w:rsidRPr="0016676D" w:rsidRDefault="002C7618" w:rsidP="002C7618">
      <w:pPr>
        <w:pStyle w:val="3"/>
        <w:rPr>
          <w:lang w:bidi="ru-RU"/>
        </w:rPr>
      </w:pPr>
      <w:r w:rsidRPr="0016676D">
        <w:t>П</w:t>
      </w:r>
      <w:r w:rsidRPr="0016676D">
        <w:rPr>
          <w:lang w:bidi="ru-RU"/>
        </w:rPr>
        <w:t>редоставить Исполнителю:</w:t>
      </w:r>
    </w:p>
    <w:p w:rsidR="002C7618" w:rsidRPr="0016676D" w:rsidRDefault="002C7618" w:rsidP="002C7618">
      <w:r w:rsidRPr="0016676D">
        <w:t>- заявление о выдаче заключения в соответствии с п. 2 Правил выдачи заключения;</w:t>
      </w:r>
    </w:p>
    <w:p w:rsidR="002C7618" w:rsidRPr="0016676D" w:rsidRDefault="002C7618" w:rsidP="002C7618">
      <w:pPr>
        <w:rPr>
          <w:bCs/>
          <w:iCs/>
        </w:rPr>
      </w:pPr>
      <w:r w:rsidRPr="0016676D">
        <w:t>- материалы к заявлению, указанные в п. 3 Правил выдачи заключения;</w:t>
      </w:r>
    </w:p>
    <w:p w:rsidR="002C7618" w:rsidRPr="0016676D" w:rsidRDefault="002C7618" w:rsidP="002C7618">
      <w:r w:rsidRPr="0016676D">
        <w:t>- образцы ИЛП и образцы для воспроизведения методов контроля качества;</w:t>
      </w:r>
    </w:p>
    <w:p w:rsidR="002C7618" w:rsidRPr="0016676D" w:rsidRDefault="002C7618" w:rsidP="002C7618">
      <w:r w:rsidRPr="0016676D">
        <w:t>- реквизиты документа, подтверждающего факт оплаты услуги по проведению испытаний качества;</w:t>
      </w:r>
    </w:p>
    <w:p w:rsidR="002C7618" w:rsidRPr="0016676D" w:rsidRDefault="002C7618" w:rsidP="002C7618">
      <w:r w:rsidRPr="0016676D">
        <w:t>- реквизиты документа, подтверждающего факт оплаты платежа за выдачу заключения.</w:t>
      </w:r>
    </w:p>
    <w:p w:rsidR="002C7618" w:rsidRPr="0016676D" w:rsidRDefault="002C7618" w:rsidP="002C7618">
      <w:pPr>
        <w:pStyle w:val="3"/>
        <w:rPr>
          <w:lang w:bidi="ru-RU"/>
        </w:rPr>
      </w:pPr>
      <w:r w:rsidRPr="0016676D">
        <w:rPr>
          <w:lang w:bidi="ru-RU"/>
        </w:rPr>
        <w:t xml:space="preserve">Представить Исполнителю по акту приема-передачи образцы </w:t>
      </w:r>
      <w:r w:rsidRPr="0016676D">
        <w:t>ИЛП и образцы для воспроизведения методов контроля качества</w:t>
      </w:r>
      <w:r w:rsidRPr="0016676D">
        <w:rPr>
          <w:bCs/>
          <w:iCs/>
        </w:rPr>
        <w:t xml:space="preserve">, </w:t>
      </w:r>
      <w:r w:rsidRPr="0016676D">
        <w:t>реквизиты документа, подтверждающего факт оплаты услуги по проведению испытаний качества</w:t>
      </w:r>
      <w:r w:rsidRPr="0016676D">
        <w:rPr>
          <w:lang w:bidi="ru-RU"/>
        </w:rPr>
        <w:t xml:space="preserve"> в срок, не превышающий 90 рабочих дней со дня получения им заявления о выдаче заключения. В случаях и порядке, предусмотренных </w:t>
      </w:r>
      <w:proofErr w:type="spellStart"/>
      <w:r w:rsidRPr="0016676D">
        <w:rPr>
          <w:lang w:bidi="ru-RU"/>
        </w:rPr>
        <w:t>абз</w:t>
      </w:r>
      <w:proofErr w:type="spellEnd"/>
      <w:r w:rsidRPr="0016676D">
        <w:rPr>
          <w:lang w:bidi="ru-RU"/>
        </w:rPr>
        <w:t>. 3 и 4 п. 6 Правил выдачи заключения, срок предоставления образцов может быть продлен, но не более чем на 30 дней.</w:t>
      </w:r>
    </w:p>
    <w:p w:rsidR="002C7618" w:rsidRPr="0016676D" w:rsidRDefault="002C7618" w:rsidP="002C7618">
      <w:pPr>
        <w:pStyle w:val="3"/>
      </w:pPr>
      <w:r w:rsidRPr="0016676D">
        <w:t>Представить ответ на запрос в срок, не превышающий 30 рабочих дней со дня его получения.</w:t>
      </w:r>
    </w:p>
    <w:p w:rsidR="002C7618" w:rsidRPr="0016676D" w:rsidRDefault="002C7618" w:rsidP="002C7618">
      <w:pPr>
        <w:pStyle w:val="3"/>
        <w:rPr>
          <w:lang w:bidi="ru-RU"/>
        </w:rPr>
      </w:pPr>
      <w:r w:rsidRPr="0016676D">
        <w:rPr>
          <w:lang w:bidi="ru-RU"/>
        </w:rPr>
        <w:t>Образцы</w:t>
      </w:r>
      <w:r w:rsidRPr="0016676D">
        <w:t>,</w:t>
      </w:r>
      <w:r w:rsidRPr="0016676D">
        <w:rPr>
          <w:lang w:bidi="ru-RU"/>
        </w:rPr>
        <w:t xml:space="preserve"> подвергшиеся разрушению, возврату не подлежат. Неиспользованные Образцы </w:t>
      </w:r>
      <w:r w:rsidRPr="0016676D">
        <w:t>могут быть возвращены Заказчику</w:t>
      </w:r>
      <w:r w:rsidRPr="0016676D">
        <w:rPr>
          <w:lang w:bidi="ru-RU"/>
        </w:rPr>
        <w:t xml:space="preserve"> по его письменному заявлению.</w:t>
      </w:r>
    </w:p>
    <w:p w:rsidR="002C7618" w:rsidRPr="0016676D" w:rsidRDefault="002C7618" w:rsidP="002C7618">
      <w:r w:rsidRPr="0016676D">
        <w:t xml:space="preserve">Документы, ранее предоставленные Заказчиком, в этом случае хранятся у Исполнителя в течение года с даты предоставления документов и могут быть возвращены Заказчику по его просьбе. По истечении годичного срока в случае </w:t>
      </w:r>
      <w:proofErr w:type="spellStart"/>
      <w:r w:rsidRPr="0016676D">
        <w:t>непоступления</w:t>
      </w:r>
      <w:proofErr w:type="spellEnd"/>
      <w:r w:rsidRPr="0016676D">
        <w:t xml:space="preserve"> от Заказчика просьбы о возврате документов, такие документы уничтожаются.</w:t>
      </w:r>
    </w:p>
    <w:p w:rsidR="002C7618" w:rsidRPr="0016676D" w:rsidRDefault="002C7618" w:rsidP="002C7618">
      <w:pPr>
        <w:pStyle w:val="1"/>
        <w:rPr>
          <w:color w:val="auto"/>
          <w:szCs w:val="24"/>
        </w:rPr>
      </w:pPr>
      <w:r w:rsidRPr="0016676D">
        <w:rPr>
          <w:color w:val="auto"/>
          <w:szCs w:val="24"/>
        </w:rPr>
        <w:t>ПОРЯДОК СДАЧИ-ПРИЕМКИ УСЛУГ</w:t>
      </w:r>
    </w:p>
    <w:p w:rsidR="002C7618" w:rsidRPr="0016676D" w:rsidRDefault="002C7618" w:rsidP="002C7618">
      <w:pPr>
        <w:pStyle w:val="2"/>
        <w:rPr>
          <w:color w:val="auto"/>
          <w:szCs w:val="24"/>
        </w:rPr>
      </w:pPr>
      <w:r w:rsidRPr="0016676D">
        <w:rPr>
          <w:color w:val="auto"/>
          <w:szCs w:val="24"/>
          <w:lang w:bidi="ru-RU"/>
        </w:rPr>
        <w:t>Заключение выдается Заказчику в течение 3 рабочих дней со дня завершения испытаний качества, с приложением к нему протокола испытаний, являющегося неотъемлемой частью заключения и направляется в заказчику в письменной форме на бумажном носителе или в электронной форме посредством информационно-телекоммуникационных технологий.</w:t>
      </w:r>
    </w:p>
    <w:p w:rsidR="002C7618" w:rsidRPr="0016676D" w:rsidRDefault="002C7618" w:rsidP="002C7618">
      <w:r w:rsidRPr="0016676D">
        <w:t xml:space="preserve">Универсальный передаточный документ направляется Заказчику в </w:t>
      </w:r>
      <w:r w:rsidRPr="0016676D">
        <w:rPr>
          <w:lang w:bidi="ru-RU"/>
        </w:rPr>
        <w:t>течение 5 (пяти) рабочих дней со дня завершения испытаний</w:t>
      </w:r>
      <w:r w:rsidRPr="0016676D">
        <w:t>.</w:t>
      </w:r>
    </w:p>
    <w:p w:rsidR="002C7618" w:rsidRPr="0016676D" w:rsidRDefault="002C7618" w:rsidP="002C7618">
      <w:pPr>
        <w:pStyle w:val="2"/>
        <w:rPr>
          <w:color w:val="auto"/>
          <w:szCs w:val="24"/>
          <w:lang w:bidi="ru-RU"/>
        </w:rPr>
      </w:pPr>
      <w:r w:rsidRPr="0016676D">
        <w:rPr>
          <w:color w:val="auto"/>
          <w:szCs w:val="24"/>
          <w:lang w:bidi="ru-RU"/>
        </w:rPr>
        <w:t xml:space="preserve">Заказчик обязуется подписать и передать Исполнителю </w:t>
      </w:r>
      <w:r w:rsidRPr="0016676D">
        <w:rPr>
          <w:color w:val="auto"/>
          <w:szCs w:val="24"/>
        </w:rPr>
        <w:t xml:space="preserve">универсальный передаточный документ </w:t>
      </w:r>
      <w:r w:rsidRPr="0016676D">
        <w:rPr>
          <w:color w:val="auto"/>
          <w:szCs w:val="24"/>
          <w:lang w:bidi="ru-RU"/>
        </w:rPr>
        <w:t xml:space="preserve">или мотивированный отказ от подписания </w:t>
      </w:r>
      <w:r w:rsidRPr="0016676D">
        <w:rPr>
          <w:color w:val="auto"/>
          <w:szCs w:val="24"/>
        </w:rPr>
        <w:t>универсального передаточного документа</w:t>
      </w:r>
      <w:r w:rsidRPr="0016676D">
        <w:rPr>
          <w:color w:val="auto"/>
          <w:szCs w:val="24"/>
          <w:lang w:bidi="ru-RU"/>
        </w:rPr>
        <w:t xml:space="preserve"> в течение 10 (десяти) рабочих дней с даты его получения. В случае если Заказчик не подписывает </w:t>
      </w:r>
      <w:r w:rsidRPr="0016676D">
        <w:rPr>
          <w:color w:val="auto"/>
          <w:szCs w:val="24"/>
        </w:rPr>
        <w:t xml:space="preserve">универсальный передаточный документ </w:t>
      </w:r>
      <w:r w:rsidRPr="0016676D">
        <w:rPr>
          <w:color w:val="auto"/>
          <w:szCs w:val="24"/>
          <w:lang w:bidi="ru-RU"/>
        </w:rPr>
        <w:t xml:space="preserve">или не представляет мотивированный отказ с перечнем несоответствий, по истечении 10 (десяти) рабочих дней с даты получения </w:t>
      </w:r>
      <w:r w:rsidRPr="0016676D">
        <w:rPr>
          <w:color w:val="auto"/>
          <w:szCs w:val="24"/>
        </w:rPr>
        <w:t>универсального передаточного документа</w:t>
      </w:r>
      <w:r w:rsidRPr="0016676D">
        <w:rPr>
          <w:color w:val="auto"/>
          <w:szCs w:val="24"/>
          <w:lang w:bidi="ru-RU"/>
        </w:rPr>
        <w:t xml:space="preserve">, услуги считаются оказанными и принятыми Заказчиком. </w:t>
      </w:r>
    </w:p>
    <w:p w:rsidR="002C7618" w:rsidRPr="0016676D" w:rsidRDefault="002C7618" w:rsidP="002C7618">
      <w:r w:rsidRPr="0016676D">
        <w:lastRenderedPageBreak/>
        <w:t>В случае мотивированного отказа Заказчика от приемки, Сторонами составляется двухсторонний акт с перечнем недостатков и сроков их устранения.</w:t>
      </w:r>
    </w:p>
    <w:p w:rsidR="002C7618" w:rsidRPr="0016676D" w:rsidRDefault="002C7618" w:rsidP="002C7618">
      <w:pPr>
        <w:pStyle w:val="1"/>
        <w:rPr>
          <w:color w:val="auto"/>
          <w:szCs w:val="24"/>
        </w:rPr>
      </w:pPr>
      <w:r w:rsidRPr="0016676D">
        <w:rPr>
          <w:color w:val="auto"/>
          <w:szCs w:val="24"/>
        </w:rPr>
        <w:t>СТОИМОСТЬ УСЛУГ И ПОРЯДОК РАСЧЕТОВ</w:t>
      </w:r>
    </w:p>
    <w:p w:rsidR="002C7618" w:rsidRDefault="002C7618" w:rsidP="002C7618">
      <w:pPr>
        <w:pStyle w:val="2"/>
        <w:rPr>
          <w:color w:val="auto"/>
          <w:szCs w:val="24"/>
        </w:rPr>
      </w:pPr>
      <w:r w:rsidRPr="0016676D">
        <w:rPr>
          <w:color w:val="auto"/>
          <w:szCs w:val="24"/>
        </w:rPr>
        <w:t xml:space="preserve">Стоимость услуг по Договору (цена Договора) составляет </w:t>
      </w:r>
      <w:r w:rsidR="00502E5E">
        <w:rPr>
          <w:color w:val="auto"/>
          <w:szCs w:val="24"/>
        </w:rPr>
        <w:t>___________________</w:t>
      </w:r>
      <w:r w:rsidRPr="0016676D">
        <w:rPr>
          <w:color w:val="auto"/>
          <w:szCs w:val="24"/>
        </w:rPr>
        <w:t xml:space="preserve"> в том числе НДС </w:t>
      </w:r>
      <w:r w:rsidR="00502E5E">
        <w:rPr>
          <w:color w:val="auto"/>
          <w:szCs w:val="24"/>
        </w:rPr>
        <w:t>__________________.</w:t>
      </w:r>
    </w:p>
    <w:p w:rsidR="00502E5E" w:rsidRPr="00502E5E" w:rsidRDefault="00502E5E" w:rsidP="00502E5E">
      <w:r>
        <w:t xml:space="preserve">НМЦК </w:t>
      </w:r>
      <w:r w:rsidRPr="00502E5E">
        <w:t>348 054 (триста сорок восемь тысяч пятьдесят четыре) рубля 36 копеек</w:t>
      </w:r>
    </w:p>
    <w:p w:rsidR="002C7618" w:rsidRPr="0016676D" w:rsidRDefault="002C7618" w:rsidP="002C7618">
      <w:r w:rsidRPr="0016676D">
        <w:t>Размер платы за выдачу заключения не входит в стоимость услуг по проведению испытаний качества ИЛП и оплачивается Заказчиком отдельным платежом в размере, установленном Постановлением.</w:t>
      </w:r>
    </w:p>
    <w:p w:rsidR="002C7618" w:rsidRPr="0016676D" w:rsidRDefault="002C7618" w:rsidP="002C7618">
      <w:pPr>
        <w:pStyle w:val="2"/>
        <w:rPr>
          <w:color w:val="auto"/>
          <w:szCs w:val="24"/>
        </w:rPr>
      </w:pPr>
      <w:r w:rsidRPr="0016676D">
        <w:rPr>
          <w:color w:val="auto"/>
          <w:szCs w:val="24"/>
        </w:rPr>
        <w:t>Оплата услуг производится в форме безналичного перевода денежных средств Заказчиком на счет Исполнителя. Валюта расчета – российский рубль.</w:t>
      </w:r>
    </w:p>
    <w:p w:rsidR="002C7618" w:rsidRPr="0016676D" w:rsidRDefault="002C7618" w:rsidP="002C7618">
      <w:pPr>
        <w:pStyle w:val="2"/>
        <w:rPr>
          <w:color w:val="auto"/>
          <w:szCs w:val="24"/>
        </w:rPr>
      </w:pPr>
      <w:r w:rsidRPr="0016676D">
        <w:rPr>
          <w:szCs w:val="24"/>
        </w:rPr>
        <w:t xml:space="preserve">Заказчик оплачивает авансовый платеж в размере 30 (тридцати) % от цены Договора в течение 30 (тридцати) рабочих дней с даты уведомления Заказчика о размере платы и предоставления Исполнителем счета на оплату. Окончательный расчет в размере 70 (семидесяти) % от цены Договора производится в течение 7 (семи) рабочих дней с даты подписания Заказчиком универсального передаточного документа. </w:t>
      </w:r>
    </w:p>
    <w:p w:rsidR="002C7618" w:rsidRPr="0016676D" w:rsidRDefault="002C7618" w:rsidP="002C7618">
      <w:pPr>
        <w:pStyle w:val="2"/>
        <w:rPr>
          <w:color w:val="auto"/>
          <w:szCs w:val="24"/>
        </w:rPr>
      </w:pPr>
      <w:r w:rsidRPr="0016676D">
        <w:rPr>
          <w:color w:val="auto"/>
          <w:szCs w:val="24"/>
        </w:rPr>
        <w:t>Датой оплаты услуг считается дата поступления денежных средств на счет Исполнителя.</w:t>
      </w:r>
    </w:p>
    <w:p w:rsidR="002C7618" w:rsidRPr="0016676D" w:rsidRDefault="002C7618" w:rsidP="002C7618">
      <w:pPr>
        <w:pStyle w:val="2"/>
        <w:rPr>
          <w:color w:val="auto"/>
          <w:szCs w:val="24"/>
        </w:rPr>
      </w:pPr>
      <w:r w:rsidRPr="0016676D">
        <w:rPr>
          <w:color w:val="auto"/>
          <w:szCs w:val="24"/>
        </w:rPr>
        <w:t xml:space="preserve">Предоставление Заказчиком Образцов, указанных в п. </w:t>
      </w:r>
      <w:proofErr w:type="gramStart"/>
      <w:r w:rsidRPr="0016676D">
        <w:rPr>
          <w:color w:val="auto"/>
          <w:szCs w:val="24"/>
        </w:rPr>
        <w:t>2.1.1.,</w:t>
      </w:r>
      <w:proofErr w:type="gramEnd"/>
      <w:r w:rsidRPr="0016676D">
        <w:rPr>
          <w:color w:val="auto"/>
          <w:szCs w:val="24"/>
        </w:rPr>
        <w:t xml:space="preserve"> п. 2.1.6. Договора, не влияет на стоимость услуг по Договору.</w:t>
      </w:r>
    </w:p>
    <w:p w:rsidR="002C7618" w:rsidRPr="0016676D" w:rsidRDefault="002C7618" w:rsidP="002C7618">
      <w:pPr>
        <w:pStyle w:val="2"/>
        <w:rPr>
          <w:color w:val="auto"/>
          <w:szCs w:val="24"/>
        </w:rPr>
      </w:pPr>
      <w:r w:rsidRPr="0016676D">
        <w:rPr>
          <w:color w:val="auto"/>
          <w:szCs w:val="24"/>
        </w:rPr>
        <w:t>В случае привлечения Исполнителем для оценки отдельных показателей качества при испытаниях ИЛП других аккредитованных лабораторий, стоимость услуг по заявлению</w:t>
      </w:r>
      <w:r w:rsidRPr="0016676D">
        <w:rPr>
          <w:color w:val="auto"/>
          <w:szCs w:val="24"/>
          <w:lang w:bidi="ru-RU"/>
        </w:rPr>
        <w:t xml:space="preserve"> </w:t>
      </w:r>
      <w:r w:rsidRPr="0016676D">
        <w:rPr>
          <w:color w:val="auto"/>
          <w:szCs w:val="24"/>
        </w:rPr>
        <w:t>определяется, в том числе, с учетом расценок на услуги, оказываемые привлеченной лабораторией.</w:t>
      </w:r>
    </w:p>
    <w:p w:rsidR="002C7618" w:rsidRPr="0016676D" w:rsidRDefault="002C7618" w:rsidP="002C7618">
      <w:pPr>
        <w:pStyle w:val="2"/>
        <w:rPr>
          <w:color w:val="auto"/>
          <w:szCs w:val="24"/>
        </w:rPr>
      </w:pPr>
      <w:r w:rsidRPr="0016676D">
        <w:rPr>
          <w:color w:val="auto"/>
          <w:szCs w:val="24"/>
        </w:rPr>
        <w:t>В случае использования Исполнителем средств дистанционного взаимодействия для проведения испытаний по отдельным показателям качества, стоимость услуг по заявлению определяется, в том числе, с учетом расценок на услуги дистанционного испытания.</w:t>
      </w:r>
    </w:p>
    <w:p w:rsidR="002C7618" w:rsidRPr="0016676D" w:rsidRDefault="002C7618" w:rsidP="002C7618">
      <w:pPr>
        <w:pStyle w:val="2"/>
        <w:rPr>
          <w:color w:val="auto"/>
          <w:szCs w:val="24"/>
        </w:rPr>
      </w:pPr>
      <w:r w:rsidRPr="0016676D">
        <w:rPr>
          <w:color w:val="auto"/>
          <w:szCs w:val="24"/>
        </w:rPr>
        <w:t>В случае увеличения объема услуг в соответствии с п. 2.1.6. Договора стоимость услуг по заявлению определяется с учетом такого увеличения.</w:t>
      </w:r>
    </w:p>
    <w:p w:rsidR="002C7618" w:rsidRPr="0016676D" w:rsidRDefault="002C7618" w:rsidP="002C7618">
      <w:pPr>
        <w:pStyle w:val="1"/>
        <w:rPr>
          <w:color w:val="auto"/>
          <w:szCs w:val="24"/>
        </w:rPr>
      </w:pPr>
      <w:bookmarkStart w:id="0" w:name="bookmark7"/>
      <w:bookmarkStart w:id="1" w:name="bookmark6"/>
      <w:r w:rsidRPr="0016676D">
        <w:rPr>
          <w:color w:val="auto"/>
          <w:szCs w:val="24"/>
          <w:lang w:bidi="ru-RU"/>
        </w:rPr>
        <w:t>ПОРЯДОК РАЗРЕШЕНИЯ СПОРОВ</w:t>
      </w:r>
      <w:bookmarkEnd w:id="0"/>
    </w:p>
    <w:p w:rsidR="002C7618" w:rsidRPr="0016676D" w:rsidRDefault="002C7618" w:rsidP="002C7618">
      <w:pPr>
        <w:pStyle w:val="2"/>
        <w:rPr>
          <w:color w:val="auto"/>
          <w:szCs w:val="24"/>
          <w:lang w:bidi="ru-RU"/>
        </w:rPr>
      </w:pPr>
      <w:r w:rsidRPr="0016676D">
        <w:rPr>
          <w:color w:val="auto"/>
          <w:szCs w:val="24"/>
          <w:lang w:bidi="ru-RU"/>
        </w:rPr>
        <w:t>Все споры и разногласия, которые могут возникнуть из настоящего Договора, или в связи с ним, будут разрешаться между Сторонами в претензионном порядке. Ответ на претензию должен быть направлен в течение 20 (двадцати) рабочих дней со дня получения претензии.</w:t>
      </w:r>
    </w:p>
    <w:p w:rsidR="002C7618" w:rsidRPr="0016676D" w:rsidRDefault="002C7618" w:rsidP="002C7618">
      <w:pPr>
        <w:pStyle w:val="2"/>
        <w:rPr>
          <w:color w:val="auto"/>
          <w:szCs w:val="24"/>
          <w:lang w:bidi="ru-RU"/>
        </w:rPr>
      </w:pPr>
      <w:r w:rsidRPr="0016676D">
        <w:rPr>
          <w:color w:val="auto"/>
          <w:szCs w:val="24"/>
          <w:lang w:bidi="ru-RU"/>
        </w:rPr>
        <w:t>В случае невозможности разрешения споров в претензионном порядке, они подлежат разрешению в Арбитражном суде города Москвы в соответствии с законодательством Российской Федерации.</w:t>
      </w:r>
    </w:p>
    <w:p w:rsidR="002C7618" w:rsidRPr="0016676D" w:rsidRDefault="002C7618" w:rsidP="002C7618">
      <w:pPr>
        <w:pStyle w:val="1"/>
        <w:rPr>
          <w:color w:val="auto"/>
          <w:szCs w:val="24"/>
          <w:lang w:bidi="ru-RU"/>
        </w:rPr>
      </w:pPr>
      <w:r w:rsidRPr="0016676D">
        <w:rPr>
          <w:color w:val="auto"/>
          <w:szCs w:val="24"/>
          <w:lang w:bidi="ru-RU"/>
        </w:rPr>
        <w:t>ОТВЕТСТВЕННОСТЬ СТОРОН</w:t>
      </w:r>
      <w:bookmarkEnd w:id="1"/>
    </w:p>
    <w:p w:rsidR="002C7618" w:rsidRPr="0016676D" w:rsidRDefault="002C7618" w:rsidP="002C7618">
      <w:pPr>
        <w:pStyle w:val="2"/>
        <w:rPr>
          <w:color w:val="auto"/>
          <w:szCs w:val="24"/>
          <w:lang w:bidi="ru-RU"/>
        </w:rPr>
      </w:pPr>
      <w:r w:rsidRPr="0016676D">
        <w:rPr>
          <w:color w:val="auto"/>
          <w:szCs w:val="24"/>
          <w:lang w:bidi="ru-RU"/>
        </w:rPr>
        <w:t xml:space="preserve">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w:t>
      </w:r>
    </w:p>
    <w:p w:rsidR="002C7618" w:rsidRPr="0016676D" w:rsidRDefault="002C7618" w:rsidP="002C7618">
      <w:pPr>
        <w:pStyle w:val="2"/>
        <w:rPr>
          <w:color w:val="auto"/>
          <w:szCs w:val="24"/>
        </w:rPr>
      </w:pPr>
      <w:r w:rsidRPr="0016676D">
        <w:rPr>
          <w:color w:val="auto"/>
          <w:szCs w:val="24"/>
        </w:rPr>
        <w:t>В случае неисполнения и (или) ненадлежащего исполнения обязательств по настоящему Договору (за исключением просрочки исполнения обязательств), Исполнитель вправе начислить Заказчику штраф в размере 5 (пяти) процентов от цены Договора, указанной в п. 4.1. Договора.</w:t>
      </w:r>
    </w:p>
    <w:p w:rsidR="002C7618" w:rsidRPr="0016676D" w:rsidRDefault="002C7618" w:rsidP="002C7618">
      <w:pPr>
        <w:pStyle w:val="2"/>
        <w:rPr>
          <w:color w:val="auto"/>
          <w:szCs w:val="24"/>
          <w:lang w:bidi="ru-RU"/>
        </w:rPr>
      </w:pPr>
      <w:r w:rsidRPr="0016676D">
        <w:rPr>
          <w:color w:val="auto"/>
          <w:szCs w:val="24"/>
          <w:lang w:bidi="ru-RU"/>
        </w:rPr>
        <w:t xml:space="preserve">В случае просрочки Заказчиком исполнения обязательств по Договору Исполнитель вправе потребовать от Заказчика уплату пени </w:t>
      </w:r>
      <w:r w:rsidRPr="0016676D">
        <w:rPr>
          <w:color w:val="auto"/>
          <w:szCs w:val="24"/>
        </w:rPr>
        <w:t>в размере 1/300 действующей на дату исполнения обязательства ключевой ставки Центрального банка Российской Федерации</w:t>
      </w:r>
      <w:r w:rsidRPr="0016676D">
        <w:rPr>
          <w:color w:val="auto"/>
          <w:szCs w:val="24"/>
          <w:lang w:bidi="ru-RU"/>
        </w:rPr>
        <w:t xml:space="preserve"> от цены Договора за каждый день такой просрочки.</w:t>
      </w:r>
    </w:p>
    <w:p w:rsidR="002C7618" w:rsidRPr="0016676D" w:rsidRDefault="002C7618" w:rsidP="002C7618">
      <w:pPr>
        <w:pStyle w:val="2"/>
        <w:rPr>
          <w:color w:val="auto"/>
          <w:szCs w:val="24"/>
          <w:lang w:bidi="ru-RU"/>
        </w:rPr>
      </w:pPr>
      <w:r w:rsidRPr="0016676D">
        <w:rPr>
          <w:color w:val="auto"/>
          <w:szCs w:val="24"/>
          <w:lang w:bidi="ru-RU"/>
        </w:rPr>
        <w:t xml:space="preserve">В случае просрочки исполнения обязательств по настоящему Договору, Заказчик вправе потребовать от Исполнителя уплаты пени </w:t>
      </w:r>
      <w:r w:rsidRPr="0016676D">
        <w:rPr>
          <w:color w:val="auto"/>
          <w:szCs w:val="24"/>
        </w:rPr>
        <w:t>в размере 1/300 действующей на дату исполнения обязательства ключевой ставки Центрального банка Российской Федерации от цены Договора за</w:t>
      </w:r>
      <w:r w:rsidRPr="0016676D">
        <w:rPr>
          <w:color w:val="auto"/>
          <w:szCs w:val="24"/>
          <w:lang w:bidi="ru-RU"/>
        </w:rPr>
        <w:t xml:space="preserve"> каждый день просрочки. </w:t>
      </w:r>
    </w:p>
    <w:p w:rsidR="002C7618" w:rsidRPr="0016676D" w:rsidRDefault="002C7618" w:rsidP="002C7618">
      <w:pPr>
        <w:pStyle w:val="2"/>
        <w:rPr>
          <w:color w:val="auto"/>
          <w:szCs w:val="24"/>
          <w:lang w:bidi="ru-RU"/>
        </w:rPr>
      </w:pPr>
      <w:r w:rsidRPr="0016676D">
        <w:rPr>
          <w:color w:val="auto"/>
          <w:szCs w:val="24"/>
          <w:lang w:bidi="ru-RU"/>
        </w:rPr>
        <w:t>Уплата неустоек не освобождает Сторону от исполнения ею предусмотренных настоящим Договором обязательств.</w:t>
      </w:r>
    </w:p>
    <w:p w:rsidR="002C7618" w:rsidRPr="0016676D" w:rsidRDefault="002C7618" w:rsidP="002C7618">
      <w:pPr>
        <w:pStyle w:val="2"/>
        <w:rPr>
          <w:color w:val="auto"/>
          <w:szCs w:val="24"/>
          <w:lang w:bidi="ru-RU"/>
        </w:rPr>
      </w:pPr>
      <w:r w:rsidRPr="0016676D">
        <w:rPr>
          <w:color w:val="auto"/>
          <w:szCs w:val="24"/>
          <w:lang w:bidi="ru-RU"/>
        </w:rPr>
        <w:t xml:space="preserve">Вся ответственность за содержание документов и информации, а также за качество и объем Образцов, предоставленных Заказчиком в связи с исполнением Исполнителем своих обязанностей по настоящему Договору, лежит на Заказчике. Информация, передаваемая Заказчиком, должна быть </w:t>
      </w:r>
      <w:r w:rsidRPr="0016676D">
        <w:rPr>
          <w:color w:val="auto"/>
          <w:szCs w:val="24"/>
          <w:lang w:bidi="ru-RU"/>
        </w:rPr>
        <w:lastRenderedPageBreak/>
        <w:t>достоверной, полной, непротиворечивой и исчерпывающей. Ответственность за предоставление неполной, ложной, противоречивой или недостоверной информации лежит на Заказчике. Заказчик обязуется компенсировать по требованию Исполнителя расходы, возникшие у Исполнителя в результате предъявления к Исполнителю любых претензий, связанных с предоставлением Заказчиком неполной, ложной, противоречивой или недостоверной информации, или документов, а также некачественных или в недостаточном количестве Образцов.</w:t>
      </w:r>
    </w:p>
    <w:p w:rsidR="002C7618" w:rsidRPr="0016676D" w:rsidRDefault="002C7618" w:rsidP="002C7618">
      <w:pPr>
        <w:pStyle w:val="1"/>
        <w:rPr>
          <w:color w:val="auto"/>
          <w:szCs w:val="24"/>
        </w:rPr>
      </w:pPr>
      <w:bookmarkStart w:id="2" w:name="bookmark8"/>
      <w:r w:rsidRPr="0016676D">
        <w:rPr>
          <w:color w:val="auto"/>
          <w:szCs w:val="24"/>
          <w:lang w:bidi="ru-RU"/>
        </w:rPr>
        <w:t>ОБСТОЯТЕЛЬСТВА НЕПРЕОДОЛИМОЙ СИЛЫ</w:t>
      </w:r>
      <w:bookmarkEnd w:id="2"/>
    </w:p>
    <w:p w:rsidR="002C7618" w:rsidRPr="0016676D" w:rsidRDefault="002C7618" w:rsidP="002C7618">
      <w:pPr>
        <w:pStyle w:val="2"/>
        <w:rPr>
          <w:color w:val="auto"/>
          <w:szCs w:val="24"/>
        </w:rPr>
      </w:pPr>
      <w:bookmarkStart w:id="3" w:name="bookmark9"/>
      <w:r w:rsidRPr="0016676D">
        <w:rPr>
          <w:color w:val="auto"/>
          <w:szCs w:val="24"/>
        </w:rPr>
        <w:t>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(форс-мажор). Для целей Договора «форс-мажор» означает событие, находящееся вне разумного контроля Стороны и приводящее к тому, что исполнение Стороной ее обязательств по Договору становится невозможным, и включает, но не ограничивается такими явлениями, как война, общественные беспорядки, землетрясение, пожар, взрыв, наводнение, издание соответствующих актов федеральных органов законодательной власти и федеральных органов исполнительной власти Российской Федерации.</w:t>
      </w:r>
    </w:p>
    <w:p w:rsidR="002C7618" w:rsidRPr="0016676D" w:rsidRDefault="002C7618" w:rsidP="002C7618">
      <w:pPr>
        <w:pStyle w:val="2"/>
        <w:rPr>
          <w:color w:val="auto"/>
          <w:szCs w:val="24"/>
        </w:rPr>
      </w:pPr>
      <w:r w:rsidRPr="0016676D">
        <w:rPr>
          <w:color w:val="auto"/>
          <w:szCs w:val="24"/>
        </w:rPr>
        <w:t xml:space="preserve">В случае наступления обстоятельств непреодолимой силы (форс-мажора)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письменно уведомить об этих обстоятельствах другую Сторону, приложив к указанному уведомлению документ, подтверждающий наличие данных обстоятельств. </w:t>
      </w:r>
    </w:p>
    <w:p w:rsidR="002C7618" w:rsidRPr="0016676D" w:rsidRDefault="002C7618" w:rsidP="002C7618">
      <w:pPr>
        <w:pStyle w:val="2"/>
        <w:rPr>
          <w:color w:val="auto"/>
          <w:szCs w:val="24"/>
        </w:rPr>
      </w:pPr>
      <w:r w:rsidRPr="0016676D">
        <w:rPr>
          <w:color w:val="auto"/>
          <w:szCs w:val="24"/>
        </w:rPr>
        <w:t>При прекращении действия обстоятельств непреодолимой силы, Стороны обязуются исполнить все принятые ими по Договору обязательства. При этом срок исполнения обязательств отодвигается соразмерно времени действия обстоятельств непреодолимой силы.</w:t>
      </w:r>
    </w:p>
    <w:bookmarkEnd w:id="3"/>
    <w:p w:rsidR="002C7618" w:rsidRPr="0016676D" w:rsidRDefault="002C7618" w:rsidP="002C7618">
      <w:pPr>
        <w:pStyle w:val="1"/>
        <w:rPr>
          <w:color w:val="auto"/>
          <w:szCs w:val="24"/>
        </w:rPr>
      </w:pPr>
      <w:r w:rsidRPr="0016676D">
        <w:rPr>
          <w:color w:val="auto"/>
          <w:szCs w:val="24"/>
        </w:rPr>
        <w:t>СРОК ДЕЙСТВИЯ И ПОРЯДОК РАСТОРЖЕНИЯ ДОГОВОРА</w:t>
      </w:r>
    </w:p>
    <w:p w:rsidR="002C7618" w:rsidRPr="0016676D" w:rsidRDefault="002C7618" w:rsidP="002C7618">
      <w:pPr>
        <w:pStyle w:val="2"/>
        <w:rPr>
          <w:color w:val="auto"/>
          <w:szCs w:val="24"/>
        </w:rPr>
      </w:pPr>
      <w:r w:rsidRPr="0016676D">
        <w:rPr>
          <w:color w:val="auto"/>
          <w:szCs w:val="24"/>
        </w:rPr>
        <w:t>Настоящий Договор вступает в силу с даты заключения и действует по «30» декабря 2026 г</w:t>
      </w:r>
      <w:r>
        <w:rPr>
          <w:color w:val="auto"/>
          <w:szCs w:val="24"/>
        </w:rPr>
        <w:t>ода</w:t>
      </w:r>
      <w:r w:rsidRPr="0016676D">
        <w:rPr>
          <w:color w:val="auto"/>
          <w:szCs w:val="24"/>
        </w:rPr>
        <w:t xml:space="preserve"> включительно. Окончание срока действия договора не влечет прекращения неисполненных обязательств Сторон по Договору. </w:t>
      </w:r>
    </w:p>
    <w:p w:rsidR="002C7618" w:rsidRPr="0016676D" w:rsidRDefault="002C7618" w:rsidP="002C7618">
      <w:pPr>
        <w:pStyle w:val="2"/>
        <w:rPr>
          <w:color w:val="auto"/>
          <w:szCs w:val="24"/>
        </w:rPr>
      </w:pPr>
      <w:r w:rsidRPr="0016676D">
        <w:rPr>
          <w:color w:val="auto"/>
          <w:szCs w:val="24"/>
        </w:rPr>
        <w:t>Настоящий Договор может быть расторгнут по соглашению Сторон.</w:t>
      </w:r>
    </w:p>
    <w:p w:rsidR="002C7618" w:rsidRPr="0016676D" w:rsidRDefault="002C7618" w:rsidP="002C7618">
      <w:pPr>
        <w:pStyle w:val="2"/>
        <w:rPr>
          <w:color w:val="auto"/>
          <w:szCs w:val="24"/>
        </w:rPr>
      </w:pPr>
      <w:r w:rsidRPr="0016676D">
        <w:rPr>
          <w:color w:val="auto"/>
          <w:szCs w:val="24"/>
        </w:rPr>
        <w:t>Стороны вправе в одностороннем порядке отказаться от настоящего Договора, при этом настоящий Договор считается прекращенным по истечении 10 календарных дней с даты надлежащего уведомления Стороной об одностороннем отказе от исполнения Договора.</w:t>
      </w:r>
    </w:p>
    <w:p w:rsidR="002C7618" w:rsidRPr="0016676D" w:rsidRDefault="002C7618" w:rsidP="002C7618">
      <w:pPr>
        <w:pStyle w:val="2"/>
        <w:rPr>
          <w:color w:val="auto"/>
          <w:szCs w:val="24"/>
          <w:lang w:bidi="ru-RU"/>
        </w:rPr>
      </w:pPr>
      <w:r w:rsidRPr="0016676D">
        <w:rPr>
          <w:color w:val="auto"/>
          <w:szCs w:val="24"/>
          <w:lang w:bidi="ru-RU"/>
        </w:rPr>
        <w:t xml:space="preserve">В случае одностороннего отказа Заказчика от оказания услуг по </w:t>
      </w:r>
      <w:r w:rsidRPr="0016676D">
        <w:rPr>
          <w:color w:val="auto"/>
          <w:szCs w:val="24"/>
        </w:rPr>
        <w:t>заявлению</w:t>
      </w:r>
      <w:r w:rsidRPr="0016676D">
        <w:rPr>
          <w:color w:val="auto"/>
          <w:szCs w:val="24"/>
          <w:lang w:bidi="ru-RU"/>
        </w:rPr>
        <w:t>, Заказчик возмещает документально подтвержденные фактические расходы, понесенные Исполнителем в связи с оказанием услуг, в случае если такой отказ не связан с действиями или бездействиями Исполнителя.</w:t>
      </w:r>
    </w:p>
    <w:p w:rsidR="002C7618" w:rsidRPr="0016676D" w:rsidRDefault="002C7618" w:rsidP="002C7618">
      <w:pPr>
        <w:pStyle w:val="2"/>
        <w:rPr>
          <w:color w:val="auto"/>
          <w:szCs w:val="24"/>
          <w:lang w:bidi="ru-RU"/>
        </w:rPr>
      </w:pPr>
      <w:r w:rsidRPr="0016676D">
        <w:rPr>
          <w:color w:val="auto"/>
          <w:szCs w:val="24"/>
          <w:lang w:bidi="ru-RU"/>
        </w:rPr>
        <w:t>В случае невозможности оказания услуг, возникшей по вине Заказчика, услуги подлежат оплате в полном объеме.</w:t>
      </w:r>
    </w:p>
    <w:p w:rsidR="002C7618" w:rsidRPr="0016676D" w:rsidRDefault="002C7618" w:rsidP="002C7618">
      <w:pPr>
        <w:pStyle w:val="1"/>
        <w:rPr>
          <w:color w:val="auto"/>
          <w:szCs w:val="24"/>
          <w:lang w:bidi="ru-RU"/>
        </w:rPr>
      </w:pPr>
      <w:r w:rsidRPr="0016676D">
        <w:rPr>
          <w:color w:val="auto"/>
          <w:szCs w:val="24"/>
          <w:lang w:bidi="ru-RU"/>
        </w:rPr>
        <w:t>КОНФИДЕНЦИАЛЬНОСТЬ</w:t>
      </w:r>
    </w:p>
    <w:p w:rsidR="002C7618" w:rsidRPr="0016676D" w:rsidRDefault="002C7618" w:rsidP="002C7618">
      <w:pPr>
        <w:pStyle w:val="2"/>
        <w:rPr>
          <w:color w:val="auto"/>
          <w:szCs w:val="24"/>
        </w:rPr>
      </w:pPr>
      <w:r w:rsidRPr="0016676D">
        <w:rPr>
          <w:color w:val="auto"/>
          <w:szCs w:val="24"/>
        </w:rPr>
        <w:t>Исполнитель несет ответственность за управление всей информацией, поступившей извне или полученной в процессе оказания услуг. Исполнитель обязуется информировать Заказчика об информации, которую он намерен разместить в свободном доступе. За исключением информации, которую Заказчик делает общедоступной, или по согласованию между Исполнителем и Заказчиком (например, с целью реагирования на жалобы (претензии)), вся иная информация считается представляющей коммерческую тайну и должна рассматриваться в качестве конфиденциальной.</w:t>
      </w:r>
    </w:p>
    <w:p w:rsidR="002C7618" w:rsidRPr="0016676D" w:rsidRDefault="002C7618" w:rsidP="002C7618">
      <w:pPr>
        <w:pStyle w:val="2"/>
        <w:rPr>
          <w:color w:val="auto"/>
          <w:szCs w:val="24"/>
        </w:rPr>
      </w:pPr>
      <w:r w:rsidRPr="0016676D">
        <w:rPr>
          <w:color w:val="auto"/>
          <w:szCs w:val="24"/>
          <w:lang w:bidi="ru-RU"/>
        </w:rPr>
        <w:t>Если в соответствии с законодательством или договорными отношениями Исполнитель должен будет раскрыть конфиденциальную информацию, он направляет Заказчику (или его представителю) уведомление о раскрытой информации, в случае если это не запрещено законодательством.</w:t>
      </w:r>
    </w:p>
    <w:p w:rsidR="002C7618" w:rsidRPr="0016676D" w:rsidRDefault="002C7618" w:rsidP="002C7618">
      <w:pPr>
        <w:pStyle w:val="2"/>
        <w:rPr>
          <w:color w:val="auto"/>
          <w:szCs w:val="24"/>
        </w:rPr>
      </w:pPr>
      <w:r w:rsidRPr="0016676D">
        <w:rPr>
          <w:color w:val="auto"/>
          <w:szCs w:val="24"/>
        </w:rPr>
        <w:t xml:space="preserve">Информация о Заказчике, полученная не от самого Заказчика (например, от лица, предъявляющего претензию, или от регулирующих органов), </w:t>
      </w:r>
      <w:r w:rsidRPr="0016676D">
        <w:rPr>
          <w:bCs/>
          <w:color w:val="auto"/>
          <w:szCs w:val="24"/>
        </w:rPr>
        <w:t>и сведения об источнике этой информации являются конфиденциальными для Исполнителя при отношениях с Заказчиком и могут быть переданы Заказчику только по согласованию с источником.</w:t>
      </w:r>
    </w:p>
    <w:p w:rsidR="002C7618" w:rsidRPr="0016676D" w:rsidRDefault="002C7618" w:rsidP="002C7618">
      <w:pPr>
        <w:pStyle w:val="2"/>
        <w:rPr>
          <w:color w:val="auto"/>
          <w:szCs w:val="24"/>
        </w:rPr>
      </w:pPr>
      <w:r w:rsidRPr="0016676D">
        <w:rPr>
          <w:color w:val="auto"/>
          <w:szCs w:val="24"/>
        </w:rPr>
        <w:t>Персонал Исполнителя должен соблюдать конфиденциальность всей информации, полученной или созданной в ходе оказания услуг по Договору, за исключением случаев, предусмотренных законодательством.</w:t>
      </w:r>
    </w:p>
    <w:p w:rsidR="002C7618" w:rsidRPr="0016676D" w:rsidRDefault="002C7618" w:rsidP="002C7618">
      <w:pPr>
        <w:pStyle w:val="1"/>
        <w:rPr>
          <w:color w:val="auto"/>
          <w:szCs w:val="24"/>
        </w:rPr>
      </w:pPr>
      <w:r w:rsidRPr="0016676D">
        <w:rPr>
          <w:color w:val="auto"/>
          <w:szCs w:val="24"/>
        </w:rPr>
        <w:lastRenderedPageBreak/>
        <w:t>АНТИКОРРУПЦИОННАЯ ОГОВОРКА</w:t>
      </w:r>
    </w:p>
    <w:p w:rsidR="002C7618" w:rsidRPr="0016676D" w:rsidRDefault="002C7618" w:rsidP="002C7618">
      <w:pPr>
        <w:pStyle w:val="2"/>
        <w:rPr>
          <w:color w:val="auto"/>
          <w:szCs w:val="24"/>
        </w:rPr>
      </w:pPr>
      <w:r w:rsidRPr="0016676D">
        <w:rPr>
          <w:color w:val="auto"/>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w:t>
      </w:r>
    </w:p>
    <w:p w:rsidR="002C7618" w:rsidRPr="0016676D" w:rsidRDefault="002C7618" w:rsidP="002C7618">
      <w:pPr>
        <w:pStyle w:val="2"/>
        <w:rPr>
          <w:color w:val="auto"/>
          <w:szCs w:val="24"/>
        </w:rPr>
      </w:pPr>
      <w:r w:rsidRPr="0016676D">
        <w:rPr>
          <w:color w:val="auto"/>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2C7618" w:rsidRPr="0016676D" w:rsidRDefault="002C7618" w:rsidP="002C7618">
      <w:pPr>
        <w:pStyle w:val="2"/>
        <w:rPr>
          <w:color w:val="auto"/>
          <w:szCs w:val="24"/>
        </w:rPr>
      </w:pPr>
      <w:r w:rsidRPr="0016676D">
        <w:rPr>
          <w:color w:val="auto"/>
          <w:szCs w:val="24"/>
        </w:rPr>
        <w:t xml:space="preserve">В случае возникновения у Стороны подозрений, что произошло или может произойти нарушение каких-либо положений настоящего раздела, она обязуется уведомить об этом другую Сторону в письменном виде.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2C7618" w:rsidRPr="0016676D" w:rsidRDefault="002C7618" w:rsidP="002C7618">
      <w:pPr>
        <w:pStyle w:val="2"/>
        <w:rPr>
          <w:color w:val="auto"/>
          <w:szCs w:val="24"/>
        </w:rPr>
      </w:pPr>
      <w:r w:rsidRPr="0016676D">
        <w:rPr>
          <w:color w:val="auto"/>
          <w:szCs w:val="24"/>
        </w:rPr>
        <w:t>Нарушение Стороной обязательств воздерживаться от запрещенных в настоящем разделе действий, признанное виновной Стороной или подтвержденное в установленном законом порядке, является существенным нарушением условий настоящего Договора и основанием для другой Стороны отказаться в одностороннем порядке от его исполнения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2C7618" w:rsidRPr="0016676D" w:rsidRDefault="002C7618" w:rsidP="002C7618">
      <w:pPr>
        <w:pStyle w:val="1"/>
        <w:rPr>
          <w:color w:val="auto"/>
          <w:szCs w:val="24"/>
        </w:rPr>
      </w:pPr>
      <w:r w:rsidRPr="0016676D">
        <w:rPr>
          <w:color w:val="auto"/>
          <w:szCs w:val="24"/>
        </w:rPr>
        <w:t>ЗАКЛЮЧИТЕЛЬНЫЕ ПОЛОЖЕНИЯ</w:t>
      </w:r>
    </w:p>
    <w:p w:rsidR="002C7618" w:rsidRPr="0016676D" w:rsidRDefault="002C7618" w:rsidP="002C7618">
      <w:pPr>
        <w:pStyle w:val="2"/>
        <w:rPr>
          <w:color w:val="auto"/>
          <w:szCs w:val="24"/>
        </w:rPr>
      </w:pPr>
      <w:r w:rsidRPr="0016676D">
        <w:rPr>
          <w:color w:val="auto"/>
          <w:szCs w:val="24"/>
        </w:rPr>
        <w:t>Настоящий Договор составлен в двух экземплярах, имеющих равную юридическую силу, по одному для каждой Стороны.</w:t>
      </w:r>
    </w:p>
    <w:p w:rsidR="002C7618" w:rsidRPr="0016676D" w:rsidRDefault="002C7618" w:rsidP="002C7618">
      <w:pPr>
        <w:pStyle w:val="2"/>
        <w:rPr>
          <w:color w:val="auto"/>
          <w:szCs w:val="24"/>
        </w:rPr>
      </w:pPr>
      <w:r w:rsidRPr="0016676D">
        <w:rPr>
          <w:color w:val="auto"/>
          <w:szCs w:val="24"/>
        </w:rPr>
        <w:t>Все изменения, дополнения, приложения к настоящему Договору, кроме реквизитов Сторон, действительны, если они оформлены в письменном виде в том же порядке, что и настоящий Договор и подписаны уполномоченными представителями Сторон.</w:t>
      </w:r>
    </w:p>
    <w:p w:rsidR="002C7618" w:rsidRPr="0016676D" w:rsidRDefault="002C7618" w:rsidP="002C7618">
      <w:pPr>
        <w:pStyle w:val="2"/>
        <w:rPr>
          <w:color w:val="auto"/>
          <w:szCs w:val="24"/>
        </w:rPr>
      </w:pPr>
      <w:r w:rsidRPr="0016676D">
        <w:rPr>
          <w:color w:val="auto"/>
          <w:szCs w:val="24"/>
        </w:rPr>
        <w:t>В настоящем Договоре Стороны обязаны указывать адрес юридического лица и почтовый адрес. В течение 5 (пяти) рабочих дней с даты изменения адресов или иных реквизитов сторон Стороны обязаны письменно уведомить об этом друг друга. Все риски наступления негативных последствий и применения мер ответственности, обусловленные несвоевременным уведомлением об изменении реквизитов либо не уведомлением, несет Сторона, не уведомившая либо несвоевременно уведомившая об изменении реквизитов.</w:t>
      </w:r>
    </w:p>
    <w:p w:rsidR="002C7618" w:rsidRPr="0016676D" w:rsidRDefault="002C7618" w:rsidP="002C7618">
      <w:pPr>
        <w:pStyle w:val="2"/>
        <w:rPr>
          <w:szCs w:val="24"/>
        </w:rPr>
      </w:pPr>
      <w:r w:rsidRPr="0016676D">
        <w:rPr>
          <w:szCs w:val="24"/>
        </w:rPr>
        <w:t xml:space="preserve">Переписка Сторон осуществляется по указанным в разделе 12 Договора адресам электронной почты или с использованием иных средств связи, обеспечивающих фиксирование направления и получения письма. </w:t>
      </w:r>
    </w:p>
    <w:p w:rsidR="002C7618" w:rsidRPr="0016676D" w:rsidRDefault="002C7618" w:rsidP="002C7618">
      <w:r w:rsidRPr="0016676D">
        <w:t>Стороны несут риск последствий неполучения юридически значимых сообщений, а также риск отсутствия в указанном месте своего органа или представителя. Сообщение считается доставленным, если было направлено Стороной по адресам, указанным в разделе 12 Договора, но не было получено или прочитано по причинам, зависящим от адресата.</w:t>
      </w:r>
    </w:p>
    <w:p w:rsidR="002C7618" w:rsidRPr="0016676D" w:rsidRDefault="002C7618" w:rsidP="002C7618">
      <w:pPr>
        <w:pStyle w:val="2"/>
        <w:rPr>
          <w:szCs w:val="24"/>
        </w:rPr>
      </w:pPr>
      <w:r w:rsidRPr="0016676D">
        <w:rPr>
          <w:szCs w:val="24"/>
        </w:rPr>
        <w:t>При направлении корреспонденции нарочным сторона обеспечивает получение отправления уполномоченным представителем организации с проставлением должности, фамилии и инициалов, даты и времени получения документов на копии документов нарочного.</w:t>
      </w:r>
    </w:p>
    <w:p w:rsidR="002C7618" w:rsidRPr="0016676D" w:rsidRDefault="002C7618" w:rsidP="002C7618">
      <w:pPr>
        <w:pStyle w:val="2"/>
        <w:rPr>
          <w:szCs w:val="24"/>
        </w:rPr>
      </w:pPr>
      <w:r w:rsidRPr="0016676D">
        <w:rPr>
          <w:rStyle w:val="a9"/>
          <w:szCs w:val="24"/>
        </w:rPr>
        <w:t xml:space="preserve">Стороны пришли к соглашению, что обмен документами может осуществляться Сторонами в электронной форме. Подписание документов производится усиленной квалифицированной </w:t>
      </w:r>
      <w:r w:rsidRPr="0016676D">
        <w:rPr>
          <w:rStyle w:val="a9"/>
          <w:szCs w:val="24"/>
        </w:rPr>
        <w:lastRenderedPageBreak/>
        <w:t>электронной подписью (далее – ЭП) уполномоченных лиц Сторон. Обмен документами, оформляемыми в электронной форме и подписанными ЭП, осуществляется по телекоммуникационным каналам связи через оператора электронного документооборота, соответствующего требованиям, утверждаемым ФНС России (далее – Оператор ЭДО). Обмен документами, оформляемыми в электронной форме и подписанными ЭП, через Оператора ЭДО осуществляется Сторонами в соответствии с Гражданским кодексом РФ, Налоговым кодексом РФ, Федеральным законом от 06.04.2011 № 63-ФЗ «Об электронной подписи» и иными нормативно-правовыми актами РФ.</w:t>
      </w:r>
    </w:p>
    <w:p w:rsidR="002C7618" w:rsidRPr="0016676D" w:rsidRDefault="002C7618" w:rsidP="002C7618">
      <w:pPr>
        <w:pStyle w:val="2"/>
        <w:rPr>
          <w:szCs w:val="24"/>
        </w:rPr>
      </w:pPr>
      <w:r w:rsidRPr="0016676D">
        <w:rPr>
          <w:szCs w:val="24"/>
        </w:rPr>
        <w:t>Приложение № 1: Спецификация.</w:t>
      </w:r>
    </w:p>
    <w:p w:rsidR="002C7618" w:rsidRPr="0016676D" w:rsidRDefault="002C7618" w:rsidP="002C7618">
      <w:pPr>
        <w:pStyle w:val="1"/>
        <w:rPr>
          <w:color w:val="auto"/>
          <w:szCs w:val="24"/>
        </w:rPr>
      </w:pPr>
      <w:r w:rsidRPr="0016676D">
        <w:rPr>
          <w:color w:val="auto"/>
          <w:szCs w:val="24"/>
        </w:rPr>
        <w:t>АДРЕСА И РЕКВИЗИТЫ СТОРОН</w:t>
      </w:r>
    </w:p>
    <w:tbl>
      <w:tblPr>
        <w:tblW w:w="10660" w:type="dxa"/>
        <w:tblInd w:w="108" w:type="dxa"/>
        <w:tblLook w:val="04A0" w:firstRow="1" w:lastRow="0" w:firstColumn="1" w:lastColumn="0" w:noHBand="0" w:noVBand="1"/>
      </w:tblPr>
      <w:tblGrid>
        <w:gridCol w:w="5103"/>
        <w:gridCol w:w="5557"/>
      </w:tblGrid>
      <w:tr w:rsidR="002C7618" w:rsidRPr="0016676D" w:rsidTr="001C4D65">
        <w:tc>
          <w:tcPr>
            <w:tcW w:w="5103" w:type="dxa"/>
            <w:shd w:val="clear" w:color="auto" w:fill="auto"/>
          </w:tcPr>
          <w:p w:rsidR="002C7618" w:rsidRPr="0016676D" w:rsidRDefault="002C7618" w:rsidP="00744211">
            <w:r w:rsidRPr="0016676D">
              <w:t>Заказчик</w:t>
            </w:r>
          </w:p>
        </w:tc>
        <w:tc>
          <w:tcPr>
            <w:tcW w:w="5557" w:type="dxa"/>
            <w:shd w:val="clear" w:color="auto" w:fill="auto"/>
          </w:tcPr>
          <w:p w:rsidR="002C7618" w:rsidRPr="0016676D" w:rsidRDefault="002C7618" w:rsidP="00744211">
            <w:r w:rsidRPr="0016676D">
              <w:t>Исполнитель</w:t>
            </w:r>
          </w:p>
        </w:tc>
      </w:tr>
      <w:tr w:rsidR="002C7618" w:rsidRPr="00502E5E" w:rsidTr="001C4D65">
        <w:tc>
          <w:tcPr>
            <w:tcW w:w="5103" w:type="dxa"/>
            <w:shd w:val="clear" w:color="auto" w:fill="auto"/>
          </w:tcPr>
          <w:p w:rsidR="001C4D65" w:rsidRPr="001C4D65" w:rsidRDefault="001C4D65" w:rsidP="001C4D65">
            <w:pPr>
              <w:ind w:firstLine="0"/>
              <w:jc w:val="left"/>
              <w:rPr>
                <w:color w:val="000000"/>
              </w:rPr>
            </w:pPr>
            <w:r w:rsidRPr="001C4D65">
              <w:rPr>
                <w:color w:val="000000"/>
              </w:rPr>
              <w:t xml:space="preserve">Федеральное казённое учреждение здравоохранения «Ставропольский научно-исследовательский противочумный институт» Федеральной службы по надзору в сфере защиты прав потребителей и благополучия человека (ФКУЗ Ставропольский противочумный институт </w:t>
            </w:r>
            <w:proofErr w:type="spellStart"/>
            <w:r w:rsidRPr="001C4D65">
              <w:rPr>
                <w:color w:val="000000"/>
              </w:rPr>
              <w:t>Роспотребнадзора</w:t>
            </w:r>
            <w:proofErr w:type="spellEnd"/>
            <w:r w:rsidRPr="001C4D65">
              <w:rPr>
                <w:color w:val="000000"/>
              </w:rPr>
              <w:t>)</w:t>
            </w:r>
          </w:p>
          <w:p w:rsidR="001C4D65" w:rsidRPr="001C4D65" w:rsidRDefault="001C4D65" w:rsidP="001C4D65">
            <w:pPr>
              <w:ind w:firstLine="0"/>
              <w:jc w:val="left"/>
              <w:rPr>
                <w:color w:val="000000"/>
              </w:rPr>
            </w:pPr>
            <w:r w:rsidRPr="001C4D65">
              <w:rPr>
                <w:color w:val="000000"/>
              </w:rPr>
              <w:t xml:space="preserve">355035, г. Ставрополь, ул. Советская, 13-15 </w:t>
            </w:r>
          </w:p>
          <w:p w:rsidR="001C4D65" w:rsidRPr="001C4D65" w:rsidRDefault="001C4D65" w:rsidP="001C4D65">
            <w:pPr>
              <w:ind w:firstLine="0"/>
              <w:jc w:val="left"/>
              <w:rPr>
                <w:color w:val="000000"/>
              </w:rPr>
            </w:pPr>
            <w:r w:rsidRPr="001C4D65">
              <w:rPr>
                <w:color w:val="000000"/>
              </w:rPr>
              <w:t xml:space="preserve">тел. 26-03-12; 26-03-49, </w:t>
            </w:r>
            <w:r w:rsidRPr="001C4D65">
              <w:rPr>
                <w:color w:val="000000"/>
                <w:lang w:val="en-US"/>
              </w:rPr>
              <w:t>e</w:t>
            </w:r>
            <w:r w:rsidRPr="001C4D65">
              <w:rPr>
                <w:color w:val="000000"/>
              </w:rPr>
              <w:t>-</w:t>
            </w:r>
            <w:r w:rsidRPr="001C4D65">
              <w:rPr>
                <w:color w:val="000000"/>
                <w:lang w:val="en-US"/>
              </w:rPr>
              <w:t>mail</w:t>
            </w:r>
            <w:r w:rsidRPr="001C4D65">
              <w:rPr>
                <w:color w:val="000000"/>
              </w:rPr>
              <w:t xml:space="preserve">: </w:t>
            </w:r>
            <w:hyperlink r:id="rId7" w:history="1">
              <w:r w:rsidRPr="001C4D65">
                <w:rPr>
                  <w:rStyle w:val="aa"/>
                  <w:lang w:val="en-US"/>
                </w:rPr>
                <w:t>post</w:t>
              </w:r>
              <w:r w:rsidRPr="001C4D65">
                <w:rPr>
                  <w:rStyle w:val="aa"/>
                </w:rPr>
                <w:t>@</w:t>
              </w:r>
              <w:proofErr w:type="spellStart"/>
              <w:r w:rsidRPr="001C4D65">
                <w:rPr>
                  <w:rStyle w:val="aa"/>
                  <w:lang w:val="en-US"/>
                </w:rPr>
                <w:t>snipchi</w:t>
              </w:r>
              <w:proofErr w:type="spellEnd"/>
              <w:r w:rsidRPr="001C4D65">
                <w:rPr>
                  <w:rStyle w:val="aa"/>
                </w:rPr>
                <w:t>.</w:t>
              </w:r>
              <w:proofErr w:type="spellStart"/>
              <w:r w:rsidRPr="001C4D65">
                <w:rPr>
                  <w:rStyle w:val="aa"/>
                  <w:lang w:val="en-US"/>
                </w:rPr>
                <w:t>ru</w:t>
              </w:r>
              <w:proofErr w:type="spellEnd"/>
            </w:hyperlink>
            <w:r w:rsidRPr="001C4D65">
              <w:rPr>
                <w:color w:val="000000"/>
                <w:u w:val="single"/>
              </w:rPr>
              <w:t xml:space="preserve"> </w:t>
            </w:r>
            <w:r w:rsidRPr="001C4D65">
              <w:rPr>
                <w:color w:val="000000"/>
              </w:rPr>
              <w:t xml:space="preserve"> </w:t>
            </w:r>
          </w:p>
          <w:p w:rsidR="001C4D65" w:rsidRPr="001C4D65" w:rsidRDefault="001C4D65" w:rsidP="001C4D65">
            <w:pPr>
              <w:ind w:firstLine="0"/>
              <w:jc w:val="left"/>
              <w:rPr>
                <w:color w:val="000000"/>
              </w:rPr>
            </w:pPr>
            <w:r w:rsidRPr="001C4D65">
              <w:rPr>
                <w:color w:val="000000"/>
              </w:rPr>
              <w:t xml:space="preserve">ИНН 2636000641/КПП 263601001 </w:t>
            </w:r>
          </w:p>
          <w:p w:rsidR="001C4D65" w:rsidRPr="001C4D65" w:rsidRDefault="001C4D65" w:rsidP="001C4D65">
            <w:pPr>
              <w:ind w:firstLine="0"/>
              <w:jc w:val="left"/>
              <w:rPr>
                <w:color w:val="000000"/>
              </w:rPr>
            </w:pPr>
            <w:r w:rsidRPr="001C4D65">
              <w:rPr>
                <w:color w:val="000000"/>
              </w:rPr>
              <w:t xml:space="preserve">УФК по Нижегородской области (ФКУЗ Ставропольский противочумный институт </w:t>
            </w:r>
            <w:proofErr w:type="spellStart"/>
            <w:r w:rsidRPr="001C4D65">
              <w:rPr>
                <w:color w:val="000000"/>
              </w:rPr>
              <w:t>Роспотребнадзора</w:t>
            </w:r>
            <w:proofErr w:type="spellEnd"/>
            <w:r w:rsidRPr="001C4D65">
              <w:rPr>
                <w:color w:val="000000"/>
              </w:rPr>
              <w:t xml:space="preserve"> л/счёт 03211162550)</w:t>
            </w:r>
          </w:p>
          <w:p w:rsidR="001C4D65" w:rsidRPr="001C4D65" w:rsidRDefault="001C4D65" w:rsidP="001C4D65">
            <w:pPr>
              <w:ind w:firstLine="0"/>
              <w:jc w:val="left"/>
              <w:rPr>
                <w:color w:val="000000"/>
              </w:rPr>
            </w:pPr>
            <w:r w:rsidRPr="001C4D65">
              <w:rPr>
                <w:color w:val="000000"/>
              </w:rPr>
              <w:t xml:space="preserve">единый казначейский счет: 40102810745370000024 </w:t>
            </w:r>
          </w:p>
          <w:p w:rsidR="001C4D65" w:rsidRPr="001C4D65" w:rsidRDefault="001C4D65" w:rsidP="001C4D65">
            <w:pPr>
              <w:ind w:firstLine="0"/>
              <w:jc w:val="left"/>
              <w:rPr>
                <w:color w:val="000000"/>
              </w:rPr>
            </w:pPr>
            <w:r w:rsidRPr="001C4D65">
              <w:rPr>
                <w:color w:val="000000"/>
              </w:rPr>
              <w:t>казначейский счет: 03211643000000013243</w:t>
            </w:r>
          </w:p>
          <w:p w:rsidR="001C4D65" w:rsidRPr="001C4D65" w:rsidRDefault="001C4D65" w:rsidP="001C4D65">
            <w:pPr>
              <w:ind w:firstLine="0"/>
              <w:jc w:val="left"/>
              <w:rPr>
                <w:color w:val="000000"/>
              </w:rPr>
            </w:pPr>
            <w:r w:rsidRPr="001C4D65">
              <w:rPr>
                <w:color w:val="000000"/>
              </w:rPr>
              <w:t xml:space="preserve">ОКЦ № 1 ВВГУ Банка России//УФК по Нижегородской области, г Нижний Новгород </w:t>
            </w:r>
          </w:p>
          <w:p w:rsidR="001C4D65" w:rsidRPr="001C4D65" w:rsidRDefault="001C4D65" w:rsidP="001C4D65">
            <w:pPr>
              <w:ind w:firstLine="0"/>
              <w:jc w:val="left"/>
              <w:rPr>
                <w:color w:val="000000"/>
              </w:rPr>
            </w:pPr>
            <w:r w:rsidRPr="001C4D65">
              <w:rPr>
                <w:color w:val="000000"/>
              </w:rPr>
              <w:t xml:space="preserve">БИК 012202102, ОКПО 01897080 </w:t>
            </w:r>
          </w:p>
          <w:p w:rsidR="001C4D65" w:rsidRPr="001C4D65" w:rsidRDefault="001C4D65" w:rsidP="001C4D65">
            <w:pPr>
              <w:ind w:firstLine="0"/>
              <w:jc w:val="left"/>
              <w:rPr>
                <w:color w:val="000000"/>
              </w:rPr>
            </w:pPr>
            <w:r w:rsidRPr="001C4D65">
              <w:rPr>
                <w:color w:val="000000"/>
              </w:rPr>
              <w:t>Контактный телефон: (8652) 747741 доб.311</w:t>
            </w:r>
          </w:p>
          <w:p w:rsidR="001C4D65" w:rsidRPr="001C4D65" w:rsidRDefault="001C4D65" w:rsidP="001C4D65">
            <w:pPr>
              <w:ind w:firstLine="0"/>
              <w:jc w:val="left"/>
              <w:rPr>
                <w:color w:val="000000"/>
              </w:rPr>
            </w:pPr>
            <w:proofErr w:type="spellStart"/>
            <w:r w:rsidRPr="001C4D65">
              <w:rPr>
                <w:color w:val="000000"/>
              </w:rPr>
              <w:t>Костроминов</w:t>
            </w:r>
            <w:proofErr w:type="spellEnd"/>
            <w:r w:rsidRPr="001C4D65">
              <w:rPr>
                <w:color w:val="000000"/>
              </w:rPr>
              <w:t xml:space="preserve"> Артем Валерьевич</w:t>
            </w:r>
          </w:p>
          <w:p w:rsidR="002C7618" w:rsidRPr="0016676D" w:rsidRDefault="002C7618" w:rsidP="00744211">
            <w:pPr>
              <w:ind w:firstLine="0"/>
            </w:pPr>
          </w:p>
        </w:tc>
        <w:tc>
          <w:tcPr>
            <w:tcW w:w="5557" w:type="dxa"/>
            <w:shd w:val="clear" w:color="auto" w:fill="auto"/>
          </w:tcPr>
          <w:p w:rsidR="002C7618" w:rsidRPr="00544782" w:rsidRDefault="002C7618" w:rsidP="00744211">
            <w:pPr>
              <w:ind w:firstLine="34"/>
              <w:jc w:val="left"/>
              <w:rPr>
                <w:lang w:val="en-US"/>
              </w:rPr>
            </w:pPr>
            <w:r w:rsidRPr="002C7618">
              <w:rPr>
                <w:color w:val="FF0000"/>
                <w:lang w:val="en-US"/>
              </w:rPr>
              <w:t xml:space="preserve"> </w:t>
            </w:r>
          </w:p>
        </w:tc>
      </w:tr>
    </w:tbl>
    <w:p w:rsidR="002C7618" w:rsidRPr="0016676D" w:rsidRDefault="002C7618" w:rsidP="002C7618">
      <w:pPr>
        <w:ind w:firstLine="6096"/>
        <w:rPr>
          <w:lang w:val="en-US"/>
        </w:rPr>
      </w:pPr>
    </w:p>
    <w:tbl>
      <w:tblPr>
        <w:tblpPr w:leftFromText="180" w:rightFromText="180" w:vertAnchor="text" w:tblpX="142" w:tblpY="1"/>
        <w:tblOverlap w:val="never"/>
        <w:tblW w:w="10632" w:type="dxa"/>
        <w:tblLayout w:type="fixed"/>
        <w:tblLook w:val="04A0" w:firstRow="1" w:lastRow="0" w:firstColumn="1" w:lastColumn="0" w:noHBand="0" w:noVBand="1"/>
      </w:tblPr>
      <w:tblGrid>
        <w:gridCol w:w="2310"/>
        <w:gridCol w:w="2759"/>
        <w:gridCol w:w="2268"/>
        <w:gridCol w:w="3295"/>
      </w:tblGrid>
      <w:tr w:rsidR="002C7618" w:rsidRPr="0016676D" w:rsidTr="00744211">
        <w:tc>
          <w:tcPr>
            <w:tcW w:w="5069" w:type="dxa"/>
            <w:gridSpan w:val="2"/>
            <w:shd w:val="clear" w:color="auto" w:fill="auto"/>
          </w:tcPr>
          <w:p w:rsidR="002C7618" w:rsidRPr="0016676D" w:rsidRDefault="002C7618" w:rsidP="00744211">
            <w:pPr>
              <w:ind w:firstLine="0"/>
              <w:jc w:val="center"/>
              <w:rPr>
                <w:rFonts w:eastAsia="Calibri"/>
                <w:b/>
              </w:rPr>
            </w:pPr>
            <w:r w:rsidRPr="0016676D">
              <w:rPr>
                <w:b/>
                <w:bCs/>
                <w:snapToGrid w:val="0"/>
                <w:lang w:eastAsia="es-ES"/>
              </w:rPr>
              <w:t>от Заказчика</w:t>
            </w:r>
          </w:p>
        </w:tc>
        <w:tc>
          <w:tcPr>
            <w:tcW w:w="5563" w:type="dxa"/>
            <w:gridSpan w:val="2"/>
            <w:shd w:val="clear" w:color="auto" w:fill="auto"/>
          </w:tcPr>
          <w:p w:rsidR="002C7618" w:rsidRPr="0016676D" w:rsidRDefault="002C7618" w:rsidP="00744211">
            <w:pPr>
              <w:ind w:firstLine="0"/>
              <w:jc w:val="center"/>
              <w:rPr>
                <w:rFonts w:eastAsia="Calibri"/>
                <w:b/>
              </w:rPr>
            </w:pPr>
            <w:r w:rsidRPr="0016676D">
              <w:rPr>
                <w:rFonts w:eastAsia="Calibri"/>
                <w:b/>
              </w:rPr>
              <w:t>от Исполнителя</w:t>
            </w:r>
          </w:p>
        </w:tc>
      </w:tr>
      <w:tr w:rsidR="002C7618" w:rsidRPr="0016676D" w:rsidTr="00744211">
        <w:tc>
          <w:tcPr>
            <w:tcW w:w="5069" w:type="dxa"/>
            <w:gridSpan w:val="2"/>
            <w:shd w:val="clear" w:color="auto" w:fill="auto"/>
          </w:tcPr>
          <w:p w:rsidR="002C7618" w:rsidRPr="0016676D" w:rsidRDefault="002C7618" w:rsidP="00744211">
            <w:pPr>
              <w:ind w:firstLine="0"/>
              <w:rPr>
                <w:rFonts w:eastAsia="Calibri"/>
              </w:rPr>
            </w:pPr>
            <w:proofErr w:type="spellStart"/>
            <w:r w:rsidRPr="0016676D">
              <w:rPr>
                <w:rFonts w:eastAsia="Calibri"/>
              </w:rPr>
              <w:t>Врио</w:t>
            </w:r>
            <w:proofErr w:type="spellEnd"/>
            <w:r w:rsidRPr="0016676D">
              <w:rPr>
                <w:rFonts w:eastAsia="Calibri"/>
              </w:rPr>
              <w:t xml:space="preserve"> директора</w:t>
            </w:r>
          </w:p>
        </w:tc>
        <w:tc>
          <w:tcPr>
            <w:tcW w:w="5563" w:type="dxa"/>
            <w:gridSpan w:val="2"/>
            <w:shd w:val="clear" w:color="auto" w:fill="auto"/>
          </w:tcPr>
          <w:p w:rsidR="002C7618" w:rsidRPr="0016676D" w:rsidRDefault="002C7618" w:rsidP="00744211">
            <w:pPr>
              <w:ind w:firstLine="0"/>
              <w:rPr>
                <w:rFonts w:eastAsia="Calibri"/>
              </w:rPr>
            </w:pPr>
          </w:p>
        </w:tc>
      </w:tr>
      <w:tr w:rsidR="002C7618" w:rsidRPr="0016676D" w:rsidTr="00744211">
        <w:tc>
          <w:tcPr>
            <w:tcW w:w="2310" w:type="dxa"/>
            <w:shd w:val="clear" w:color="auto" w:fill="auto"/>
          </w:tcPr>
          <w:p w:rsidR="002C7618" w:rsidRPr="0016676D" w:rsidRDefault="002C7618" w:rsidP="00744211">
            <w:pPr>
              <w:ind w:firstLine="0"/>
            </w:pPr>
          </w:p>
        </w:tc>
        <w:tc>
          <w:tcPr>
            <w:tcW w:w="2759" w:type="dxa"/>
            <w:shd w:val="clear" w:color="auto" w:fill="auto"/>
          </w:tcPr>
          <w:p w:rsidR="002C7618" w:rsidRPr="0016676D" w:rsidRDefault="002C7618" w:rsidP="00744211">
            <w:pPr>
              <w:ind w:firstLine="0"/>
            </w:pPr>
          </w:p>
        </w:tc>
        <w:tc>
          <w:tcPr>
            <w:tcW w:w="2268" w:type="dxa"/>
            <w:shd w:val="clear" w:color="auto" w:fill="auto"/>
          </w:tcPr>
          <w:p w:rsidR="002C7618" w:rsidRPr="0016676D" w:rsidRDefault="002C7618" w:rsidP="00744211">
            <w:pPr>
              <w:ind w:firstLine="0"/>
            </w:pPr>
          </w:p>
        </w:tc>
        <w:tc>
          <w:tcPr>
            <w:tcW w:w="3295" w:type="dxa"/>
            <w:shd w:val="clear" w:color="auto" w:fill="auto"/>
          </w:tcPr>
          <w:p w:rsidR="002C7618" w:rsidRPr="0016676D" w:rsidRDefault="002C7618" w:rsidP="00744211">
            <w:pPr>
              <w:ind w:firstLine="0"/>
            </w:pPr>
          </w:p>
        </w:tc>
      </w:tr>
      <w:tr w:rsidR="002C7618" w:rsidRPr="0016676D" w:rsidTr="00744211">
        <w:tc>
          <w:tcPr>
            <w:tcW w:w="2310" w:type="dxa"/>
            <w:tcBorders>
              <w:bottom w:val="single" w:sz="4" w:space="0" w:color="auto"/>
            </w:tcBorders>
            <w:shd w:val="clear" w:color="auto" w:fill="auto"/>
          </w:tcPr>
          <w:p w:rsidR="002C7618" w:rsidRPr="0016676D" w:rsidRDefault="002C7618" w:rsidP="00744211">
            <w:pPr>
              <w:rPr>
                <w:rFonts w:eastAsia="Calibri"/>
              </w:rPr>
            </w:pPr>
          </w:p>
        </w:tc>
        <w:tc>
          <w:tcPr>
            <w:tcW w:w="2759" w:type="dxa"/>
            <w:shd w:val="clear" w:color="auto" w:fill="auto"/>
          </w:tcPr>
          <w:p w:rsidR="002C7618" w:rsidRPr="0016676D" w:rsidRDefault="002C7618" w:rsidP="00744211">
            <w:pPr>
              <w:ind w:firstLine="0"/>
              <w:rPr>
                <w:rFonts w:eastAsia="Calibri"/>
              </w:rPr>
            </w:pPr>
            <w:r w:rsidRPr="0016676D">
              <w:rPr>
                <w:rFonts w:eastAsia="Calibri"/>
              </w:rPr>
              <w:t>А.Н. Куличенко</w:t>
            </w:r>
          </w:p>
        </w:tc>
        <w:tc>
          <w:tcPr>
            <w:tcW w:w="2268" w:type="dxa"/>
            <w:tcBorders>
              <w:bottom w:val="single" w:sz="4" w:space="0" w:color="auto"/>
            </w:tcBorders>
            <w:shd w:val="clear" w:color="auto" w:fill="auto"/>
          </w:tcPr>
          <w:p w:rsidR="002C7618" w:rsidRPr="0016676D" w:rsidRDefault="002C7618" w:rsidP="00744211">
            <w:pPr>
              <w:rPr>
                <w:rFonts w:eastAsia="Calibri"/>
              </w:rPr>
            </w:pPr>
          </w:p>
        </w:tc>
        <w:tc>
          <w:tcPr>
            <w:tcW w:w="3295" w:type="dxa"/>
            <w:shd w:val="clear" w:color="auto" w:fill="auto"/>
          </w:tcPr>
          <w:p w:rsidR="002C7618" w:rsidRPr="0016676D" w:rsidRDefault="002C7618" w:rsidP="00744211">
            <w:pPr>
              <w:ind w:left="-174" w:firstLine="174"/>
              <w:rPr>
                <w:rFonts w:eastAsia="Calibri"/>
              </w:rPr>
            </w:pPr>
          </w:p>
        </w:tc>
      </w:tr>
      <w:tr w:rsidR="002C7618" w:rsidRPr="0016676D" w:rsidTr="00744211">
        <w:tc>
          <w:tcPr>
            <w:tcW w:w="2310" w:type="dxa"/>
            <w:tcBorders>
              <w:top w:val="single" w:sz="4" w:space="0" w:color="auto"/>
            </w:tcBorders>
            <w:shd w:val="clear" w:color="auto" w:fill="auto"/>
          </w:tcPr>
          <w:p w:rsidR="002C7618" w:rsidRPr="0016676D" w:rsidRDefault="002C7618" w:rsidP="00744211">
            <w:pPr>
              <w:ind w:firstLine="0"/>
              <w:jc w:val="center"/>
              <w:rPr>
                <w:rFonts w:eastAsia="Calibri"/>
                <w:vertAlign w:val="superscript"/>
              </w:rPr>
            </w:pPr>
            <w:r w:rsidRPr="0016676D">
              <w:rPr>
                <w:rFonts w:eastAsia="Calibri"/>
                <w:vertAlign w:val="superscript"/>
              </w:rPr>
              <w:t>подпись</w:t>
            </w:r>
          </w:p>
        </w:tc>
        <w:tc>
          <w:tcPr>
            <w:tcW w:w="2759" w:type="dxa"/>
            <w:shd w:val="clear" w:color="auto" w:fill="auto"/>
          </w:tcPr>
          <w:p w:rsidR="002C7618" w:rsidRPr="0016676D" w:rsidRDefault="002C7618" w:rsidP="00744211">
            <w:pPr>
              <w:rPr>
                <w:rFonts w:eastAsia="Calibri"/>
              </w:rPr>
            </w:pPr>
          </w:p>
        </w:tc>
        <w:tc>
          <w:tcPr>
            <w:tcW w:w="2268" w:type="dxa"/>
            <w:tcBorders>
              <w:top w:val="single" w:sz="4" w:space="0" w:color="auto"/>
            </w:tcBorders>
            <w:shd w:val="clear" w:color="auto" w:fill="auto"/>
          </w:tcPr>
          <w:p w:rsidR="002C7618" w:rsidRPr="0016676D" w:rsidRDefault="002C7618" w:rsidP="00744211">
            <w:pPr>
              <w:ind w:firstLine="0"/>
              <w:jc w:val="center"/>
              <w:rPr>
                <w:rFonts w:eastAsia="Calibri"/>
                <w:vertAlign w:val="superscript"/>
              </w:rPr>
            </w:pPr>
          </w:p>
        </w:tc>
        <w:tc>
          <w:tcPr>
            <w:tcW w:w="3295" w:type="dxa"/>
            <w:shd w:val="clear" w:color="auto" w:fill="auto"/>
          </w:tcPr>
          <w:p w:rsidR="002C7618" w:rsidRPr="0016676D" w:rsidRDefault="002C7618" w:rsidP="00744211">
            <w:pPr>
              <w:rPr>
                <w:rFonts w:eastAsia="Calibri"/>
              </w:rPr>
            </w:pPr>
          </w:p>
        </w:tc>
      </w:tr>
    </w:tbl>
    <w:p w:rsidR="001C4D65" w:rsidRDefault="001C4D65" w:rsidP="001C4D65">
      <w:pPr>
        <w:ind w:firstLine="0"/>
        <w:rPr>
          <w:i/>
          <w:sz w:val="18"/>
          <w:szCs w:val="18"/>
        </w:rPr>
      </w:pPr>
    </w:p>
    <w:p w:rsidR="001C4D65" w:rsidRPr="00473CBB" w:rsidRDefault="001C4D65" w:rsidP="001C4D65">
      <w:pPr>
        <w:ind w:firstLine="0"/>
        <w:rPr>
          <w:i/>
          <w:sz w:val="18"/>
          <w:szCs w:val="18"/>
        </w:rPr>
      </w:pPr>
    </w:p>
    <w:p w:rsidR="002C7618" w:rsidRPr="0016676D" w:rsidRDefault="002C7618" w:rsidP="002C7618">
      <w:r w:rsidRPr="0016676D">
        <w:br w:type="page"/>
      </w:r>
    </w:p>
    <w:tbl>
      <w:tblPr>
        <w:tblW w:w="10382" w:type="dxa"/>
        <w:tblInd w:w="108" w:type="dxa"/>
        <w:tblLook w:val="04A0" w:firstRow="1" w:lastRow="0" w:firstColumn="1" w:lastColumn="0" w:noHBand="0" w:noVBand="1"/>
      </w:tblPr>
      <w:tblGrid>
        <w:gridCol w:w="4536"/>
        <w:gridCol w:w="1880"/>
        <w:gridCol w:w="989"/>
        <w:gridCol w:w="496"/>
        <w:gridCol w:w="2481"/>
      </w:tblGrid>
      <w:tr w:rsidR="002C7618" w:rsidRPr="0016676D" w:rsidTr="00744211">
        <w:tc>
          <w:tcPr>
            <w:tcW w:w="4536" w:type="dxa"/>
            <w:shd w:val="clear" w:color="auto" w:fill="auto"/>
          </w:tcPr>
          <w:p w:rsidR="002C7618" w:rsidRPr="0016676D" w:rsidRDefault="002C7618" w:rsidP="00744211"/>
        </w:tc>
        <w:tc>
          <w:tcPr>
            <w:tcW w:w="5846" w:type="dxa"/>
            <w:gridSpan w:val="4"/>
            <w:shd w:val="clear" w:color="auto" w:fill="auto"/>
          </w:tcPr>
          <w:p w:rsidR="002C7618" w:rsidRPr="0016676D" w:rsidRDefault="002C7618" w:rsidP="00744211">
            <w:pPr>
              <w:jc w:val="right"/>
            </w:pPr>
            <w:r w:rsidRPr="0016676D">
              <w:t>Приложение № 1</w:t>
            </w:r>
          </w:p>
        </w:tc>
      </w:tr>
      <w:tr w:rsidR="002C7618" w:rsidRPr="0016676D" w:rsidTr="00744211">
        <w:tc>
          <w:tcPr>
            <w:tcW w:w="4536" w:type="dxa"/>
            <w:shd w:val="clear" w:color="auto" w:fill="auto"/>
          </w:tcPr>
          <w:p w:rsidR="002C7618" w:rsidRPr="0016676D" w:rsidRDefault="002C7618" w:rsidP="00744211"/>
        </w:tc>
        <w:tc>
          <w:tcPr>
            <w:tcW w:w="2869" w:type="dxa"/>
            <w:gridSpan w:val="2"/>
            <w:shd w:val="clear" w:color="auto" w:fill="auto"/>
          </w:tcPr>
          <w:p w:rsidR="002C7618" w:rsidRPr="0016676D" w:rsidRDefault="002C7618" w:rsidP="00744211">
            <w:pPr>
              <w:jc w:val="right"/>
            </w:pPr>
            <w:r w:rsidRPr="0016676D">
              <w:t>к договору №</w:t>
            </w:r>
          </w:p>
        </w:tc>
        <w:tc>
          <w:tcPr>
            <w:tcW w:w="2977" w:type="dxa"/>
            <w:gridSpan w:val="2"/>
            <w:shd w:val="clear" w:color="auto" w:fill="auto"/>
          </w:tcPr>
          <w:p w:rsidR="002C7618" w:rsidRPr="00544782" w:rsidRDefault="002C7618" w:rsidP="00744211">
            <w:pPr>
              <w:rPr>
                <w:color w:val="FF0000"/>
              </w:rPr>
            </w:pPr>
          </w:p>
        </w:tc>
      </w:tr>
      <w:tr w:rsidR="002C7618" w:rsidRPr="0016676D" w:rsidTr="00744211">
        <w:tc>
          <w:tcPr>
            <w:tcW w:w="4536" w:type="dxa"/>
            <w:shd w:val="clear" w:color="auto" w:fill="auto"/>
          </w:tcPr>
          <w:p w:rsidR="002C7618" w:rsidRPr="0016676D" w:rsidRDefault="002C7618" w:rsidP="00744211"/>
        </w:tc>
        <w:tc>
          <w:tcPr>
            <w:tcW w:w="1880" w:type="dxa"/>
            <w:shd w:val="clear" w:color="auto" w:fill="auto"/>
          </w:tcPr>
          <w:p w:rsidR="002C7618" w:rsidRPr="0016676D" w:rsidRDefault="002C7618" w:rsidP="00744211">
            <w:r w:rsidRPr="0016676D">
              <w:t xml:space="preserve">от </w:t>
            </w:r>
          </w:p>
        </w:tc>
        <w:tc>
          <w:tcPr>
            <w:tcW w:w="1485" w:type="dxa"/>
            <w:gridSpan w:val="2"/>
            <w:shd w:val="clear" w:color="auto" w:fill="auto"/>
          </w:tcPr>
          <w:p w:rsidR="002C7618" w:rsidRPr="0016676D" w:rsidRDefault="002C7618" w:rsidP="00744211"/>
        </w:tc>
        <w:tc>
          <w:tcPr>
            <w:tcW w:w="2481" w:type="dxa"/>
            <w:shd w:val="clear" w:color="auto" w:fill="auto"/>
          </w:tcPr>
          <w:p w:rsidR="002C7618" w:rsidRPr="0016676D" w:rsidRDefault="002C7618" w:rsidP="00744211">
            <w:pPr>
              <w:ind w:left="709" w:firstLine="0"/>
              <w:jc w:val="right"/>
            </w:pPr>
            <w:r w:rsidRPr="0016676D">
              <w:t>2026 г.</w:t>
            </w:r>
          </w:p>
        </w:tc>
      </w:tr>
    </w:tbl>
    <w:p w:rsidR="002C7618" w:rsidRPr="0016676D" w:rsidRDefault="002C7618" w:rsidP="002C7618">
      <w:pPr>
        <w:ind w:firstLine="6804"/>
      </w:pPr>
    </w:p>
    <w:p w:rsidR="002C7618" w:rsidRDefault="002C7618" w:rsidP="002C7618">
      <w:pPr>
        <w:jc w:val="center"/>
        <w:rPr>
          <w:b/>
        </w:rPr>
      </w:pPr>
      <w:r w:rsidRPr="0016676D">
        <w:rPr>
          <w:b/>
        </w:rPr>
        <w:t>СПЕЦИФИКАЦИЯ</w:t>
      </w:r>
    </w:p>
    <w:p w:rsidR="002C7618" w:rsidRPr="0016676D" w:rsidRDefault="002C7618" w:rsidP="002C7618">
      <w:pPr>
        <w:jc w:val="center"/>
        <w:rPr>
          <w:b/>
        </w:rPr>
      </w:pPr>
    </w:p>
    <w:tbl>
      <w:tblPr>
        <w:tblW w:w="10485" w:type="dxa"/>
        <w:tblLook w:val="04A0" w:firstRow="1" w:lastRow="0" w:firstColumn="1" w:lastColumn="0" w:noHBand="0" w:noVBand="1"/>
      </w:tblPr>
      <w:tblGrid>
        <w:gridCol w:w="680"/>
        <w:gridCol w:w="8671"/>
        <w:gridCol w:w="1134"/>
      </w:tblGrid>
      <w:tr w:rsidR="002C7618" w:rsidRPr="0016676D" w:rsidTr="00744211">
        <w:trPr>
          <w:trHeight w:val="462"/>
        </w:trPr>
        <w:tc>
          <w:tcPr>
            <w:tcW w:w="68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2C7618" w:rsidRPr="0016676D" w:rsidRDefault="002C7618" w:rsidP="00744211">
            <w:pPr>
              <w:ind w:firstLine="0"/>
              <w:jc w:val="center"/>
              <w:rPr>
                <w:b/>
                <w:bCs/>
              </w:rPr>
            </w:pPr>
            <w:r w:rsidRPr="0016676D">
              <w:rPr>
                <w:b/>
                <w:bCs/>
              </w:rPr>
              <w:t>№ п/п</w:t>
            </w:r>
          </w:p>
        </w:tc>
        <w:tc>
          <w:tcPr>
            <w:tcW w:w="8671" w:type="dxa"/>
            <w:tcBorders>
              <w:top w:val="single" w:sz="4" w:space="0" w:color="000000"/>
              <w:left w:val="nil"/>
              <w:bottom w:val="single" w:sz="4" w:space="0" w:color="000000"/>
              <w:right w:val="single" w:sz="4" w:space="0" w:color="000000"/>
            </w:tcBorders>
            <w:shd w:val="clear" w:color="auto" w:fill="C6D9F1"/>
            <w:vAlign w:val="center"/>
            <w:hideMark/>
          </w:tcPr>
          <w:p w:rsidR="002C7618" w:rsidRPr="0016676D" w:rsidRDefault="002C7618" w:rsidP="00744211">
            <w:pPr>
              <w:ind w:firstLine="0"/>
              <w:jc w:val="center"/>
              <w:rPr>
                <w:b/>
                <w:bCs/>
              </w:rPr>
            </w:pPr>
            <w:r w:rsidRPr="0016676D">
              <w:rPr>
                <w:b/>
                <w:bCs/>
              </w:rPr>
              <w:t>Наименование работ</w:t>
            </w:r>
          </w:p>
        </w:tc>
        <w:tc>
          <w:tcPr>
            <w:tcW w:w="1134" w:type="dxa"/>
            <w:tcBorders>
              <w:top w:val="single" w:sz="4" w:space="0" w:color="000000"/>
              <w:left w:val="nil"/>
              <w:bottom w:val="single" w:sz="4" w:space="0" w:color="000000"/>
              <w:right w:val="single" w:sz="4" w:space="0" w:color="000000"/>
            </w:tcBorders>
            <w:shd w:val="clear" w:color="auto" w:fill="C6D9F1"/>
            <w:vAlign w:val="center"/>
            <w:hideMark/>
          </w:tcPr>
          <w:p w:rsidR="002C7618" w:rsidRPr="0016676D" w:rsidRDefault="002C7618" w:rsidP="00744211">
            <w:pPr>
              <w:ind w:firstLine="0"/>
              <w:jc w:val="center"/>
              <w:rPr>
                <w:b/>
                <w:bCs/>
              </w:rPr>
            </w:pPr>
            <w:r w:rsidRPr="0016676D">
              <w:rPr>
                <w:b/>
                <w:bCs/>
              </w:rPr>
              <w:t>Кол-во</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center"/>
            <w:hideMark/>
          </w:tcPr>
          <w:p w:rsidR="002C7618" w:rsidRPr="0016676D" w:rsidRDefault="002C7618" w:rsidP="00744211">
            <w:pPr>
              <w:ind w:firstLine="0"/>
              <w:jc w:val="center"/>
              <w:rPr>
                <w:b/>
                <w:bCs/>
              </w:rPr>
            </w:pPr>
            <w:r w:rsidRPr="0016676D">
              <w:rPr>
                <w:b/>
                <w:bCs/>
              </w:rPr>
              <w:t>1</w:t>
            </w:r>
          </w:p>
        </w:tc>
        <w:tc>
          <w:tcPr>
            <w:tcW w:w="8671" w:type="dxa"/>
            <w:tcBorders>
              <w:top w:val="nil"/>
              <w:left w:val="nil"/>
              <w:bottom w:val="single" w:sz="4" w:space="0" w:color="000000"/>
              <w:right w:val="single" w:sz="4" w:space="0" w:color="000000"/>
            </w:tcBorders>
            <w:shd w:val="clear" w:color="auto" w:fill="auto"/>
            <w:hideMark/>
          </w:tcPr>
          <w:p w:rsidR="002C7618" w:rsidRPr="0016676D" w:rsidRDefault="002C7618" w:rsidP="00744211">
            <w:pPr>
              <w:ind w:firstLine="0"/>
              <w:rPr>
                <w:b/>
                <w:bCs/>
              </w:rPr>
            </w:pPr>
            <w:r w:rsidRPr="0016676D">
              <w:rPr>
                <w:b/>
                <w:bCs/>
              </w:rPr>
              <w:t xml:space="preserve">Исследования препарата </w:t>
            </w:r>
            <w:r w:rsidRPr="0016676D">
              <w:rPr>
                <w:b/>
              </w:rPr>
              <w:t xml:space="preserve">Вакцина чумная живая, </w:t>
            </w:r>
            <w:proofErr w:type="spellStart"/>
            <w:r w:rsidRPr="0016676D">
              <w:rPr>
                <w:b/>
              </w:rPr>
              <w:t>лиофилизат</w:t>
            </w:r>
            <w:proofErr w:type="spellEnd"/>
            <w:r w:rsidRPr="0016676D">
              <w:rPr>
                <w:b/>
              </w:rPr>
              <w:t xml:space="preserve"> для приготовления суспензии для инъекций, накожного и </w:t>
            </w:r>
            <w:proofErr w:type="spellStart"/>
            <w:r w:rsidRPr="0016676D">
              <w:rPr>
                <w:b/>
              </w:rPr>
              <w:t>скарификационного</w:t>
            </w:r>
            <w:proofErr w:type="spellEnd"/>
            <w:r w:rsidRPr="0016676D">
              <w:rPr>
                <w:b/>
              </w:rPr>
              <w:t xml:space="preserve"> нанесения и ингаляций, серии 3-26</w:t>
            </w:r>
          </w:p>
        </w:tc>
        <w:tc>
          <w:tcPr>
            <w:tcW w:w="1134" w:type="dxa"/>
            <w:tcBorders>
              <w:top w:val="nil"/>
              <w:left w:val="nil"/>
              <w:bottom w:val="single" w:sz="4" w:space="0" w:color="000000"/>
              <w:right w:val="single" w:sz="4" w:space="0" w:color="000000"/>
            </w:tcBorders>
            <w:shd w:val="clear" w:color="auto" w:fill="auto"/>
            <w:noWrap/>
            <w:vAlign w:val="center"/>
            <w:hideMark/>
          </w:tcPr>
          <w:p w:rsidR="002C7618" w:rsidRPr="0016676D" w:rsidRDefault="002C7618" w:rsidP="00744211">
            <w:pPr>
              <w:ind w:firstLine="0"/>
              <w:jc w:val="center"/>
              <w:rPr>
                <w:b/>
                <w:bCs/>
              </w:rPr>
            </w:pPr>
            <w:r w:rsidRPr="0016676D">
              <w:rPr>
                <w:b/>
                <w:bCs/>
              </w:rPr>
              <w:t xml:space="preserve"> </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Анализ документа производителя</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24</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Описание</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Подлинность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Время растворения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proofErr w:type="spellStart"/>
            <w:r w:rsidRPr="0016676D">
              <w:t>Седиментационная</w:t>
            </w:r>
            <w:proofErr w:type="spellEnd"/>
            <w:r w:rsidRPr="0016676D">
              <w:t xml:space="preserve"> устойчивость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Проходимость через иглу</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рН</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Потеря в массе при высушивании</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Средняя масса и отклонение от средней массы</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Отсутствие посторонних бактерий и грибов</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Специфическая безопасность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Специфическая активность: Концентрация микробных клеток</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Специфическая активность: Количество живых микробных клеток</w:t>
            </w:r>
          </w:p>
        </w:tc>
        <w:tc>
          <w:tcPr>
            <w:tcW w:w="1134" w:type="dxa"/>
            <w:vMerge/>
            <w:tcBorders>
              <w:top w:val="nil"/>
              <w:left w:val="single" w:sz="4" w:space="0" w:color="000000"/>
              <w:bottom w:val="single" w:sz="4" w:space="0" w:color="000000"/>
              <w:right w:val="single" w:sz="4" w:space="0" w:color="000000"/>
            </w:tcBorders>
            <w:vAlign w:val="center"/>
            <w:hideMark/>
          </w:tcPr>
          <w:p w:rsidR="002C7618" w:rsidRPr="0016676D" w:rsidRDefault="002C7618" w:rsidP="00744211">
            <w:pPr>
              <w:ind w:firstLine="0"/>
              <w:jc w:val="left"/>
            </w:pP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Специфическая активность: иммуногенность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proofErr w:type="spellStart"/>
            <w:r w:rsidRPr="0016676D">
              <w:t>Термостабильность</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Упаковка</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C7618" w:rsidRPr="0016676D" w:rsidRDefault="002C7618" w:rsidP="00744211">
            <w:pPr>
              <w:ind w:firstLine="0"/>
              <w:jc w:val="center"/>
            </w:pPr>
            <w:r w:rsidRPr="0016676D">
              <w:t>1</w:t>
            </w: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Маркировка</w:t>
            </w:r>
          </w:p>
        </w:tc>
        <w:tc>
          <w:tcPr>
            <w:tcW w:w="1134" w:type="dxa"/>
            <w:vMerge/>
            <w:tcBorders>
              <w:top w:val="nil"/>
              <w:left w:val="single" w:sz="4" w:space="0" w:color="000000"/>
              <w:bottom w:val="single" w:sz="4" w:space="0" w:color="000000"/>
              <w:right w:val="single" w:sz="4" w:space="0" w:color="000000"/>
            </w:tcBorders>
            <w:vAlign w:val="center"/>
            <w:hideMark/>
          </w:tcPr>
          <w:p w:rsidR="002C7618" w:rsidRPr="0016676D" w:rsidRDefault="002C7618" w:rsidP="00744211">
            <w:pPr>
              <w:ind w:firstLine="0"/>
              <w:jc w:val="left"/>
            </w:pPr>
          </w:p>
        </w:tc>
      </w:tr>
      <w:tr w:rsidR="002C7618" w:rsidRPr="0016676D" w:rsidTr="00744211">
        <w:trPr>
          <w:trHeight w:val="222"/>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 </w:t>
            </w:r>
          </w:p>
        </w:tc>
        <w:tc>
          <w:tcPr>
            <w:tcW w:w="8671" w:type="dxa"/>
            <w:tcBorders>
              <w:top w:val="nil"/>
              <w:left w:val="nil"/>
              <w:bottom w:val="single" w:sz="4" w:space="0" w:color="000000"/>
              <w:right w:val="single" w:sz="4" w:space="0" w:color="000000"/>
            </w:tcBorders>
            <w:shd w:val="clear" w:color="auto" w:fill="auto"/>
            <w:noWrap/>
            <w:vAlign w:val="bottom"/>
            <w:hideMark/>
          </w:tcPr>
          <w:p w:rsidR="002C7618" w:rsidRPr="0016676D" w:rsidRDefault="002C7618" w:rsidP="00744211">
            <w:pPr>
              <w:ind w:firstLine="0"/>
              <w:jc w:val="left"/>
            </w:pPr>
            <w:r w:rsidRPr="0016676D">
              <w:t>Срок годности</w:t>
            </w:r>
          </w:p>
        </w:tc>
        <w:tc>
          <w:tcPr>
            <w:tcW w:w="1134" w:type="dxa"/>
            <w:vMerge/>
            <w:tcBorders>
              <w:top w:val="nil"/>
              <w:left w:val="single" w:sz="4" w:space="0" w:color="000000"/>
              <w:bottom w:val="single" w:sz="4" w:space="0" w:color="000000"/>
              <w:right w:val="single" w:sz="4" w:space="0" w:color="000000"/>
            </w:tcBorders>
            <w:vAlign w:val="center"/>
            <w:hideMark/>
          </w:tcPr>
          <w:p w:rsidR="002C7618" w:rsidRPr="0016676D" w:rsidRDefault="002C7618" w:rsidP="00744211">
            <w:pPr>
              <w:ind w:firstLine="0"/>
              <w:jc w:val="left"/>
            </w:pPr>
          </w:p>
        </w:tc>
      </w:tr>
    </w:tbl>
    <w:p w:rsidR="002C7618" w:rsidRPr="0016676D" w:rsidRDefault="002C7618" w:rsidP="002C7618">
      <w:pPr>
        <w:jc w:val="left"/>
      </w:pPr>
    </w:p>
    <w:tbl>
      <w:tblPr>
        <w:tblpPr w:leftFromText="180" w:rightFromText="180" w:vertAnchor="text" w:tblpY="1"/>
        <w:tblOverlap w:val="never"/>
        <w:tblW w:w="10490" w:type="dxa"/>
        <w:tblLayout w:type="fixed"/>
        <w:tblLook w:val="04A0" w:firstRow="1" w:lastRow="0" w:firstColumn="1" w:lastColumn="0" w:noHBand="0" w:noVBand="1"/>
      </w:tblPr>
      <w:tblGrid>
        <w:gridCol w:w="2452"/>
        <w:gridCol w:w="2759"/>
        <w:gridCol w:w="2268"/>
        <w:gridCol w:w="3011"/>
      </w:tblGrid>
      <w:tr w:rsidR="002C7618" w:rsidRPr="0016676D" w:rsidTr="00744211">
        <w:tc>
          <w:tcPr>
            <w:tcW w:w="5211" w:type="dxa"/>
            <w:gridSpan w:val="2"/>
            <w:shd w:val="clear" w:color="auto" w:fill="auto"/>
          </w:tcPr>
          <w:p w:rsidR="002C7618" w:rsidRPr="0016676D" w:rsidRDefault="002C7618" w:rsidP="00744211">
            <w:pPr>
              <w:ind w:firstLine="0"/>
              <w:jc w:val="center"/>
              <w:rPr>
                <w:rFonts w:eastAsia="Calibri"/>
                <w:b/>
              </w:rPr>
            </w:pPr>
            <w:r w:rsidRPr="0016676D">
              <w:rPr>
                <w:b/>
                <w:bCs/>
                <w:snapToGrid w:val="0"/>
                <w:lang w:eastAsia="es-ES"/>
              </w:rPr>
              <w:t>от Заказчика</w:t>
            </w:r>
          </w:p>
        </w:tc>
        <w:tc>
          <w:tcPr>
            <w:tcW w:w="5279" w:type="dxa"/>
            <w:gridSpan w:val="2"/>
            <w:shd w:val="clear" w:color="auto" w:fill="auto"/>
          </w:tcPr>
          <w:p w:rsidR="002C7618" w:rsidRPr="0016676D" w:rsidRDefault="002C7618" w:rsidP="00744211">
            <w:pPr>
              <w:ind w:firstLine="0"/>
              <w:jc w:val="center"/>
              <w:rPr>
                <w:rFonts w:eastAsia="Calibri"/>
                <w:b/>
              </w:rPr>
            </w:pPr>
            <w:r w:rsidRPr="0016676D">
              <w:rPr>
                <w:rFonts w:eastAsia="Calibri"/>
                <w:b/>
              </w:rPr>
              <w:t>от Исполнителя</w:t>
            </w:r>
          </w:p>
        </w:tc>
      </w:tr>
      <w:tr w:rsidR="002C7618" w:rsidRPr="0016676D" w:rsidTr="00744211">
        <w:tc>
          <w:tcPr>
            <w:tcW w:w="5211" w:type="dxa"/>
            <w:gridSpan w:val="2"/>
            <w:shd w:val="clear" w:color="auto" w:fill="auto"/>
          </w:tcPr>
          <w:p w:rsidR="002C7618" w:rsidRPr="0016676D" w:rsidRDefault="002C7618" w:rsidP="00744211">
            <w:pPr>
              <w:ind w:firstLine="0"/>
              <w:rPr>
                <w:rFonts w:eastAsia="Calibri"/>
              </w:rPr>
            </w:pPr>
            <w:proofErr w:type="spellStart"/>
            <w:r w:rsidRPr="0016676D">
              <w:rPr>
                <w:rFonts w:eastAsia="Calibri"/>
              </w:rPr>
              <w:t>Врио</w:t>
            </w:r>
            <w:proofErr w:type="spellEnd"/>
            <w:r w:rsidRPr="0016676D">
              <w:rPr>
                <w:rFonts w:eastAsia="Calibri"/>
              </w:rPr>
              <w:t xml:space="preserve"> директора</w:t>
            </w:r>
          </w:p>
        </w:tc>
        <w:tc>
          <w:tcPr>
            <w:tcW w:w="5279" w:type="dxa"/>
            <w:gridSpan w:val="2"/>
            <w:shd w:val="clear" w:color="auto" w:fill="auto"/>
          </w:tcPr>
          <w:p w:rsidR="002C7618" w:rsidRPr="0016676D" w:rsidRDefault="002C7618" w:rsidP="00744211">
            <w:pPr>
              <w:ind w:firstLine="0"/>
              <w:rPr>
                <w:rFonts w:eastAsia="Calibri"/>
              </w:rPr>
            </w:pPr>
          </w:p>
        </w:tc>
        <w:bookmarkStart w:id="4" w:name="_GoBack"/>
        <w:bookmarkEnd w:id="4"/>
      </w:tr>
      <w:tr w:rsidR="002C7618" w:rsidRPr="0016676D" w:rsidTr="00744211">
        <w:tc>
          <w:tcPr>
            <w:tcW w:w="2452" w:type="dxa"/>
            <w:shd w:val="clear" w:color="auto" w:fill="auto"/>
          </w:tcPr>
          <w:p w:rsidR="002C7618" w:rsidRPr="0016676D" w:rsidRDefault="002C7618" w:rsidP="00744211">
            <w:pPr>
              <w:ind w:firstLine="0"/>
            </w:pPr>
          </w:p>
        </w:tc>
        <w:tc>
          <w:tcPr>
            <w:tcW w:w="2759" w:type="dxa"/>
            <w:shd w:val="clear" w:color="auto" w:fill="auto"/>
          </w:tcPr>
          <w:p w:rsidR="002C7618" w:rsidRPr="0016676D" w:rsidRDefault="002C7618" w:rsidP="00744211">
            <w:pPr>
              <w:ind w:firstLine="0"/>
            </w:pPr>
          </w:p>
        </w:tc>
        <w:tc>
          <w:tcPr>
            <w:tcW w:w="2268" w:type="dxa"/>
            <w:shd w:val="clear" w:color="auto" w:fill="auto"/>
          </w:tcPr>
          <w:p w:rsidR="002C7618" w:rsidRPr="0016676D" w:rsidRDefault="002C7618" w:rsidP="00744211">
            <w:pPr>
              <w:ind w:firstLine="0"/>
            </w:pPr>
          </w:p>
        </w:tc>
        <w:tc>
          <w:tcPr>
            <w:tcW w:w="3011" w:type="dxa"/>
            <w:shd w:val="clear" w:color="auto" w:fill="auto"/>
          </w:tcPr>
          <w:p w:rsidR="002C7618" w:rsidRPr="0016676D" w:rsidRDefault="002C7618" w:rsidP="00744211">
            <w:pPr>
              <w:ind w:firstLine="0"/>
            </w:pPr>
          </w:p>
        </w:tc>
      </w:tr>
      <w:tr w:rsidR="002C7618" w:rsidRPr="0016676D" w:rsidTr="00744211">
        <w:tc>
          <w:tcPr>
            <w:tcW w:w="2452" w:type="dxa"/>
            <w:tcBorders>
              <w:bottom w:val="single" w:sz="4" w:space="0" w:color="auto"/>
            </w:tcBorders>
            <w:shd w:val="clear" w:color="auto" w:fill="auto"/>
          </w:tcPr>
          <w:p w:rsidR="002C7618" w:rsidRPr="0016676D" w:rsidRDefault="002C7618" w:rsidP="00744211">
            <w:pPr>
              <w:rPr>
                <w:rFonts w:eastAsia="Calibri"/>
              </w:rPr>
            </w:pPr>
          </w:p>
        </w:tc>
        <w:tc>
          <w:tcPr>
            <w:tcW w:w="2759" w:type="dxa"/>
            <w:shd w:val="clear" w:color="auto" w:fill="auto"/>
          </w:tcPr>
          <w:p w:rsidR="002C7618" w:rsidRPr="0016676D" w:rsidRDefault="002C7618" w:rsidP="00744211">
            <w:pPr>
              <w:ind w:firstLine="0"/>
              <w:rPr>
                <w:rFonts w:eastAsia="Calibri"/>
              </w:rPr>
            </w:pPr>
            <w:r w:rsidRPr="0016676D">
              <w:rPr>
                <w:rFonts w:eastAsia="Calibri"/>
              </w:rPr>
              <w:t>А.Н. Куличенко</w:t>
            </w:r>
          </w:p>
        </w:tc>
        <w:tc>
          <w:tcPr>
            <w:tcW w:w="2268" w:type="dxa"/>
            <w:tcBorders>
              <w:bottom w:val="single" w:sz="4" w:space="0" w:color="auto"/>
            </w:tcBorders>
            <w:shd w:val="clear" w:color="auto" w:fill="auto"/>
          </w:tcPr>
          <w:p w:rsidR="002C7618" w:rsidRPr="0016676D" w:rsidRDefault="002C7618" w:rsidP="00744211">
            <w:pPr>
              <w:rPr>
                <w:rFonts w:eastAsia="Calibri"/>
              </w:rPr>
            </w:pPr>
          </w:p>
        </w:tc>
        <w:tc>
          <w:tcPr>
            <w:tcW w:w="3011" w:type="dxa"/>
            <w:shd w:val="clear" w:color="auto" w:fill="auto"/>
          </w:tcPr>
          <w:p w:rsidR="002C7618" w:rsidRPr="0016676D" w:rsidRDefault="002C7618" w:rsidP="00744211">
            <w:pPr>
              <w:ind w:left="-174" w:firstLine="174"/>
              <w:rPr>
                <w:rFonts w:eastAsia="Calibri"/>
              </w:rPr>
            </w:pPr>
          </w:p>
        </w:tc>
      </w:tr>
      <w:tr w:rsidR="002C7618" w:rsidRPr="0016676D" w:rsidTr="00744211">
        <w:tc>
          <w:tcPr>
            <w:tcW w:w="2452" w:type="dxa"/>
            <w:tcBorders>
              <w:top w:val="single" w:sz="4" w:space="0" w:color="auto"/>
            </w:tcBorders>
            <w:shd w:val="clear" w:color="auto" w:fill="auto"/>
          </w:tcPr>
          <w:p w:rsidR="002C7618" w:rsidRPr="0016676D" w:rsidRDefault="002C7618" w:rsidP="00744211">
            <w:pPr>
              <w:ind w:firstLine="0"/>
              <w:jc w:val="center"/>
              <w:rPr>
                <w:rFonts w:eastAsia="Calibri"/>
                <w:vertAlign w:val="superscript"/>
              </w:rPr>
            </w:pPr>
            <w:r w:rsidRPr="0016676D">
              <w:rPr>
                <w:rFonts w:eastAsia="Calibri"/>
                <w:vertAlign w:val="superscript"/>
              </w:rPr>
              <w:t>подпись</w:t>
            </w:r>
          </w:p>
        </w:tc>
        <w:tc>
          <w:tcPr>
            <w:tcW w:w="2759" w:type="dxa"/>
            <w:shd w:val="clear" w:color="auto" w:fill="auto"/>
          </w:tcPr>
          <w:p w:rsidR="002C7618" w:rsidRPr="0016676D" w:rsidRDefault="002C7618" w:rsidP="00744211">
            <w:pPr>
              <w:rPr>
                <w:rFonts w:eastAsia="Calibri"/>
              </w:rPr>
            </w:pPr>
          </w:p>
        </w:tc>
        <w:tc>
          <w:tcPr>
            <w:tcW w:w="2268" w:type="dxa"/>
            <w:tcBorders>
              <w:top w:val="single" w:sz="4" w:space="0" w:color="auto"/>
            </w:tcBorders>
            <w:shd w:val="clear" w:color="auto" w:fill="auto"/>
          </w:tcPr>
          <w:p w:rsidR="002C7618" w:rsidRPr="0016676D" w:rsidRDefault="002C7618" w:rsidP="00744211">
            <w:pPr>
              <w:ind w:firstLine="0"/>
              <w:jc w:val="center"/>
              <w:rPr>
                <w:rFonts w:eastAsia="Calibri"/>
                <w:vertAlign w:val="superscript"/>
              </w:rPr>
            </w:pPr>
            <w:r w:rsidRPr="0016676D">
              <w:rPr>
                <w:rFonts w:eastAsia="Calibri"/>
                <w:vertAlign w:val="superscript"/>
              </w:rPr>
              <w:t>подпись</w:t>
            </w:r>
          </w:p>
        </w:tc>
        <w:tc>
          <w:tcPr>
            <w:tcW w:w="3011" w:type="dxa"/>
            <w:shd w:val="clear" w:color="auto" w:fill="auto"/>
          </w:tcPr>
          <w:p w:rsidR="002C7618" w:rsidRPr="0016676D" w:rsidRDefault="002C7618" w:rsidP="00744211">
            <w:pPr>
              <w:rPr>
                <w:rFonts w:eastAsia="Calibri"/>
              </w:rPr>
            </w:pPr>
          </w:p>
        </w:tc>
      </w:tr>
    </w:tbl>
    <w:p w:rsidR="002C7618" w:rsidRPr="0016676D" w:rsidRDefault="002C7618" w:rsidP="002C7618"/>
    <w:p w:rsidR="00D645C1" w:rsidRDefault="00D645C1"/>
    <w:sectPr w:rsidR="00D645C1" w:rsidSect="00502E5E">
      <w:headerReference w:type="even" r:id="rId8"/>
      <w:headerReference w:type="default" r:id="rId9"/>
      <w:footerReference w:type="even" r:id="rId10"/>
      <w:footerReference w:type="default" r:id="rId11"/>
      <w:headerReference w:type="first" r:id="rId12"/>
      <w:footnotePr>
        <w:numFmt w:val="chicago"/>
        <w:numRestart w:val="eachPage"/>
      </w:footnotePr>
      <w:pgSz w:w="11906" w:h="16838"/>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60" w:rsidRDefault="00972460">
      <w:r>
        <w:separator/>
      </w:r>
    </w:p>
  </w:endnote>
  <w:endnote w:type="continuationSeparator" w:id="0">
    <w:p w:rsidR="00972460" w:rsidRDefault="0097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7E" w:rsidRDefault="002C7618" w:rsidP="00ED7E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517E" w:rsidRDefault="009724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9A7" w:rsidRDefault="00972460" w:rsidP="001F7D53">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60" w:rsidRDefault="00972460">
      <w:r>
        <w:separator/>
      </w:r>
    </w:p>
  </w:footnote>
  <w:footnote w:type="continuationSeparator" w:id="0">
    <w:p w:rsidR="00972460" w:rsidRDefault="00972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7E" w:rsidRDefault="002C7618" w:rsidP="000806B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517E" w:rsidRDefault="009724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73369"/>
      <w:placeholder>
        <w:docPart w:val="97B29397B4CE4FC79443C0A7DD54AA79"/>
      </w:placeholder>
      <w:temporary/>
      <w:showingPlcHdr/>
      <w15:appearance w15:val="hidden"/>
    </w:sdtPr>
    <w:sdtContent>
      <w:p w:rsidR="00502E5E" w:rsidRDefault="00502E5E">
        <w:pPr>
          <w:pStyle w:val="a6"/>
        </w:pPr>
        <w:r>
          <w:t>[Введите текст]</w:t>
        </w:r>
      </w:p>
    </w:sdtContent>
  </w:sdt>
  <w:p w:rsidR="0004517E" w:rsidRDefault="00972460" w:rsidP="00135A65">
    <w:pPr>
      <w:pStyle w:val="a6"/>
      <w:tabs>
        <w:tab w:val="clear" w:pos="4677"/>
        <w:tab w:val="clear" w:pos="9355"/>
      </w:tabs>
      <w:ind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58FE8F2C3EA648ED9960405223A91CAD"/>
      </w:placeholder>
      <w:temporary/>
      <w:showingPlcHdr/>
      <w15:appearance w15:val="hidden"/>
    </w:sdtPr>
    <w:sdtContent>
      <w:p w:rsidR="00502E5E" w:rsidRDefault="00502E5E">
        <w:pPr>
          <w:pStyle w:val="a6"/>
        </w:pPr>
        <w:r>
          <w:t>[Введите текст]</w:t>
        </w:r>
      </w:p>
    </w:sdtContent>
  </w:sdt>
  <w:p w:rsidR="009F702F" w:rsidRPr="00135A65" w:rsidRDefault="00972460" w:rsidP="00135A65">
    <w:pPr>
      <w:pStyle w:val="a6"/>
      <w:tabs>
        <w:tab w:val="clear" w:pos="4677"/>
        <w:tab w:val="clear" w:pos="9355"/>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930D2"/>
    <w:multiLevelType w:val="multilevel"/>
    <w:tmpl w:val="E0129892"/>
    <w:lvl w:ilvl="0">
      <w:start w:val="1"/>
      <w:numFmt w:val="decimal"/>
      <w:pStyle w:val="1"/>
      <w:suff w:val="space"/>
      <w:lvlText w:val="%1."/>
      <w:lvlJc w:val="left"/>
      <w:pPr>
        <w:ind w:left="1276" w:firstLine="0"/>
      </w:pPr>
      <w:rPr>
        <w:rFonts w:hint="default"/>
      </w:rPr>
    </w:lvl>
    <w:lvl w:ilvl="1">
      <w:start w:val="1"/>
      <w:numFmt w:val="decimal"/>
      <w:pStyle w:val="2"/>
      <w:suff w:val="space"/>
      <w:lvlText w:val="%1.%2."/>
      <w:lvlJc w:val="left"/>
      <w:pPr>
        <w:ind w:left="568" w:firstLine="0"/>
      </w:pPr>
      <w:rPr>
        <w:rFonts w:hint="default"/>
        <w:b w:val="0"/>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31"/>
    <w:rsid w:val="001C4D65"/>
    <w:rsid w:val="002C7618"/>
    <w:rsid w:val="003466CB"/>
    <w:rsid w:val="00502E5E"/>
    <w:rsid w:val="00586B4F"/>
    <w:rsid w:val="008E2D31"/>
    <w:rsid w:val="00972460"/>
    <w:rsid w:val="00D645C1"/>
    <w:rsid w:val="00F9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57C7C-24F2-4C3E-83D5-9852FC4C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618"/>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C7618"/>
    <w:pPr>
      <w:numPr>
        <w:numId w:val="1"/>
      </w:numPr>
      <w:spacing w:before="120" w:after="120"/>
      <w:jc w:val="center"/>
      <w:outlineLvl w:val="0"/>
    </w:pPr>
    <w:rPr>
      <w:b/>
      <w:color w:val="000000"/>
      <w:szCs w:val="32"/>
    </w:rPr>
  </w:style>
  <w:style w:type="paragraph" w:styleId="2">
    <w:name w:val="heading 2"/>
    <w:basedOn w:val="a"/>
    <w:next w:val="a"/>
    <w:link w:val="20"/>
    <w:qFormat/>
    <w:rsid w:val="002C7618"/>
    <w:pPr>
      <w:numPr>
        <w:ilvl w:val="1"/>
        <w:numId w:val="1"/>
      </w:numPr>
      <w:shd w:val="clear" w:color="auto" w:fill="FFFFFF"/>
      <w:autoSpaceDE w:val="0"/>
      <w:autoSpaceDN w:val="0"/>
      <w:adjustRightInd w:val="0"/>
      <w:ind w:left="0" w:firstLine="709"/>
      <w:outlineLvl w:val="1"/>
    </w:pPr>
    <w:rPr>
      <w:color w:val="000000"/>
      <w:szCs w:val="20"/>
    </w:rPr>
  </w:style>
  <w:style w:type="paragraph" w:styleId="3">
    <w:name w:val="heading 3"/>
    <w:basedOn w:val="a"/>
    <w:next w:val="a"/>
    <w:link w:val="30"/>
    <w:unhideWhenUsed/>
    <w:qFormat/>
    <w:rsid w:val="002C7618"/>
    <w:pPr>
      <w:numPr>
        <w:ilvl w:val="2"/>
        <w:numId w:val="1"/>
      </w:numPr>
      <w:ind w:firstLine="709"/>
      <w:outlineLvl w:val="2"/>
    </w:pPr>
  </w:style>
  <w:style w:type="paragraph" w:styleId="4">
    <w:name w:val="heading 4"/>
    <w:basedOn w:val="a"/>
    <w:next w:val="a"/>
    <w:link w:val="40"/>
    <w:semiHidden/>
    <w:unhideWhenUsed/>
    <w:qFormat/>
    <w:rsid w:val="002C7618"/>
    <w:pPr>
      <w:keepNext/>
      <w:keepLines/>
      <w:numPr>
        <w:ilvl w:val="3"/>
        <w:numId w:val="1"/>
      </w:numPr>
      <w:spacing w:before="40"/>
      <w:outlineLvl w:val="3"/>
    </w:pPr>
    <w:rPr>
      <w:rFonts w:ascii="Cambria" w:hAnsi="Cambria"/>
      <w:i/>
      <w:iCs/>
      <w:color w:val="365F91"/>
    </w:rPr>
  </w:style>
  <w:style w:type="paragraph" w:styleId="5">
    <w:name w:val="heading 5"/>
    <w:basedOn w:val="a"/>
    <w:next w:val="a"/>
    <w:link w:val="50"/>
    <w:semiHidden/>
    <w:unhideWhenUsed/>
    <w:qFormat/>
    <w:rsid w:val="002C7618"/>
    <w:pPr>
      <w:keepNext/>
      <w:keepLines/>
      <w:numPr>
        <w:ilvl w:val="4"/>
        <w:numId w:val="1"/>
      </w:numPr>
      <w:spacing w:before="40"/>
      <w:outlineLvl w:val="4"/>
    </w:pPr>
    <w:rPr>
      <w:rFonts w:ascii="Cambria" w:hAnsi="Cambria"/>
      <w:color w:val="365F91"/>
    </w:rPr>
  </w:style>
  <w:style w:type="paragraph" w:styleId="6">
    <w:name w:val="heading 6"/>
    <w:basedOn w:val="a"/>
    <w:next w:val="a"/>
    <w:link w:val="60"/>
    <w:semiHidden/>
    <w:unhideWhenUsed/>
    <w:qFormat/>
    <w:rsid w:val="002C7618"/>
    <w:pPr>
      <w:keepNext/>
      <w:keepLines/>
      <w:numPr>
        <w:ilvl w:val="5"/>
        <w:numId w:val="1"/>
      </w:numPr>
      <w:spacing w:before="40"/>
      <w:outlineLvl w:val="5"/>
    </w:pPr>
    <w:rPr>
      <w:rFonts w:ascii="Cambria" w:hAnsi="Cambria"/>
      <w:color w:val="243F60"/>
    </w:rPr>
  </w:style>
  <w:style w:type="paragraph" w:styleId="7">
    <w:name w:val="heading 7"/>
    <w:basedOn w:val="a"/>
    <w:next w:val="a"/>
    <w:link w:val="70"/>
    <w:semiHidden/>
    <w:unhideWhenUsed/>
    <w:qFormat/>
    <w:rsid w:val="002C7618"/>
    <w:pPr>
      <w:keepNext/>
      <w:keepLines/>
      <w:numPr>
        <w:ilvl w:val="6"/>
        <w:numId w:val="1"/>
      </w:numPr>
      <w:spacing w:before="40"/>
      <w:outlineLvl w:val="6"/>
    </w:pPr>
    <w:rPr>
      <w:rFonts w:ascii="Cambria" w:hAnsi="Cambria"/>
      <w:i/>
      <w:iCs/>
      <w:color w:val="243F60"/>
    </w:rPr>
  </w:style>
  <w:style w:type="paragraph" w:styleId="8">
    <w:name w:val="heading 8"/>
    <w:basedOn w:val="a"/>
    <w:next w:val="a"/>
    <w:link w:val="80"/>
    <w:semiHidden/>
    <w:unhideWhenUsed/>
    <w:qFormat/>
    <w:rsid w:val="002C7618"/>
    <w:pPr>
      <w:keepNext/>
      <w:keepLines/>
      <w:numPr>
        <w:ilvl w:val="7"/>
        <w:numId w:val="1"/>
      </w:numPr>
      <w:spacing w:before="40"/>
      <w:outlineLvl w:val="7"/>
    </w:pPr>
    <w:rPr>
      <w:rFonts w:ascii="Cambria" w:hAnsi="Cambria"/>
      <w:color w:val="272727"/>
      <w:sz w:val="21"/>
      <w:szCs w:val="21"/>
    </w:rPr>
  </w:style>
  <w:style w:type="paragraph" w:styleId="9">
    <w:name w:val="heading 9"/>
    <w:basedOn w:val="a"/>
    <w:next w:val="a"/>
    <w:link w:val="90"/>
    <w:semiHidden/>
    <w:unhideWhenUsed/>
    <w:qFormat/>
    <w:rsid w:val="002C7618"/>
    <w:pPr>
      <w:keepNext/>
      <w:keepLines/>
      <w:numPr>
        <w:ilvl w:val="8"/>
        <w:numId w:val="1"/>
      </w:numPr>
      <w:spacing w:before="40"/>
      <w:outlineLvl w:val="8"/>
    </w:pPr>
    <w:rPr>
      <w:rFonts w:ascii="Cambria" w:hAnsi="Cambria"/>
      <w:i/>
      <w:iCs/>
      <w:color w:val="272727"/>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618"/>
    <w:rPr>
      <w:rFonts w:ascii="Times New Roman" w:eastAsia="Times New Roman" w:hAnsi="Times New Roman" w:cs="Times New Roman"/>
      <w:b/>
      <w:color w:val="000000"/>
      <w:sz w:val="24"/>
      <w:szCs w:val="32"/>
      <w:lang w:eastAsia="ru-RU"/>
    </w:rPr>
  </w:style>
  <w:style w:type="character" w:customStyle="1" w:styleId="20">
    <w:name w:val="Заголовок 2 Знак"/>
    <w:basedOn w:val="a0"/>
    <w:link w:val="2"/>
    <w:rsid w:val="002C7618"/>
    <w:rPr>
      <w:rFonts w:ascii="Times New Roman" w:eastAsia="Times New Roman" w:hAnsi="Times New Roman" w:cs="Times New Roman"/>
      <w:color w:val="000000"/>
      <w:sz w:val="24"/>
      <w:szCs w:val="20"/>
      <w:shd w:val="clear" w:color="auto" w:fill="FFFFFF"/>
      <w:lang w:eastAsia="ru-RU"/>
    </w:rPr>
  </w:style>
  <w:style w:type="character" w:customStyle="1" w:styleId="30">
    <w:name w:val="Заголовок 3 Знак"/>
    <w:basedOn w:val="a0"/>
    <w:link w:val="3"/>
    <w:rsid w:val="002C7618"/>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2C7618"/>
    <w:rPr>
      <w:rFonts w:ascii="Cambria" w:eastAsia="Times New Roman" w:hAnsi="Cambria" w:cs="Times New Roman"/>
      <w:i/>
      <w:iCs/>
      <w:color w:val="365F91"/>
      <w:sz w:val="24"/>
      <w:szCs w:val="24"/>
      <w:lang w:eastAsia="ru-RU"/>
    </w:rPr>
  </w:style>
  <w:style w:type="character" w:customStyle="1" w:styleId="50">
    <w:name w:val="Заголовок 5 Знак"/>
    <w:basedOn w:val="a0"/>
    <w:link w:val="5"/>
    <w:semiHidden/>
    <w:rsid w:val="002C7618"/>
    <w:rPr>
      <w:rFonts w:ascii="Cambria" w:eastAsia="Times New Roman" w:hAnsi="Cambria" w:cs="Times New Roman"/>
      <w:color w:val="365F91"/>
      <w:sz w:val="24"/>
      <w:szCs w:val="24"/>
      <w:lang w:eastAsia="ru-RU"/>
    </w:rPr>
  </w:style>
  <w:style w:type="character" w:customStyle="1" w:styleId="60">
    <w:name w:val="Заголовок 6 Знак"/>
    <w:basedOn w:val="a0"/>
    <w:link w:val="6"/>
    <w:semiHidden/>
    <w:rsid w:val="002C7618"/>
    <w:rPr>
      <w:rFonts w:ascii="Cambria" w:eastAsia="Times New Roman" w:hAnsi="Cambria" w:cs="Times New Roman"/>
      <w:color w:val="243F60"/>
      <w:sz w:val="24"/>
      <w:szCs w:val="24"/>
      <w:lang w:eastAsia="ru-RU"/>
    </w:rPr>
  </w:style>
  <w:style w:type="character" w:customStyle="1" w:styleId="70">
    <w:name w:val="Заголовок 7 Знак"/>
    <w:basedOn w:val="a0"/>
    <w:link w:val="7"/>
    <w:semiHidden/>
    <w:rsid w:val="002C7618"/>
    <w:rPr>
      <w:rFonts w:ascii="Cambria" w:eastAsia="Times New Roman" w:hAnsi="Cambria" w:cs="Times New Roman"/>
      <w:i/>
      <w:iCs/>
      <w:color w:val="243F60"/>
      <w:sz w:val="24"/>
      <w:szCs w:val="24"/>
      <w:lang w:eastAsia="ru-RU"/>
    </w:rPr>
  </w:style>
  <w:style w:type="character" w:customStyle="1" w:styleId="80">
    <w:name w:val="Заголовок 8 Знак"/>
    <w:basedOn w:val="a0"/>
    <w:link w:val="8"/>
    <w:semiHidden/>
    <w:rsid w:val="002C7618"/>
    <w:rPr>
      <w:rFonts w:ascii="Cambria" w:eastAsia="Times New Roman" w:hAnsi="Cambria" w:cs="Times New Roman"/>
      <w:color w:val="272727"/>
      <w:sz w:val="21"/>
      <w:szCs w:val="21"/>
      <w:lang w:eastAsia="ru-RU"/>
    </w:rPr>
  </w:style>
  <w:style w:type="character" w:customStyle="1" w:styleId="90">
    <w:name w:val="Заголовок 9 Знак"/>
    <w:basedOn w:val="a0"/>
    <w:link w:val="9"/>
    <w:semiHidden/>
    <w:rsid w:val="002C7618"/>
    <w:rPr>
      <w:rFonts w:ascii="Cambria" w:eastAsia="Times New Roman" w:hAnsi="Cambria" w:cs="Times New Roman"/>
      <w:i/>
      <w:iCs/>
      <w:color w:val="272727"/>
      <w:sz w:val="21"/>
      <w:szCs w:val="21"/>
      <w:lang w:eastAsia="ru-RU"/>
    </w:rPr>
  </w:style>
  <w:style w:type="paragraph" w:styleId="a3">
    <w:name w:val="footer"/>
    <w:basedOn w:val="a"/>
    <w:link w:val="a4"/>
    <w:uiPriority w:val="99"/>
    <w:rsid w:val="002C7618"/>
    <w:pPr>
      <w:tabs>
        <w:tab w:val="center" w:pos="4677"/>
        <w:tab w:val="right" w:pos="9355"/>
      </w:tabs>
    </w:pPr>
  </w:style>
  <w:style w:type="character" w:customStyle="1" w:styleId="a4">
    <w:name w:val="Нижний колонтитул Знак"/>
    <w:basedOn w:val="a0"/>
    <w:link w:val="a3"/>
    <w:uiPriority w:val="99"/>
    <w:rsid w:val="002C7618"/>
    <w:rPr>
      <w:rFonts w:ascii="Times New Roman" w:eastAsia="Times New Roman" w:hAnsi="Times New Roman" w:cs="Times New Roman"/>
      <w:sz w:val="24"/>
      <w:szCs w:val="24"/>
      <w:lang w:eastAsia="ru-RU"/>
    </w:rPr>
  </w:style>
  <w:style w:type="character" w:styleId="a5">
    <w:name w:val="page number"/>
    <w:basedOn w:val="a0"/>
    <w:rsid w:val="002C7618"/>
  </w:style>
  <w:style w:type="paragraph" w:styleId="a6">
    <w:name w:val="header"/>
    <w:basedOn w:val="a"/>
    <w:link w:val="a7"/>
    <w:uiPriority w:val="99"/>
    <w:rsid w:val="002C7618"/>
    <w:pPr>
      <w:tabs>
        <w:tab w:val="center" w:pos="4677"/>
        <w:tab w:val="right" w:pos="9355"/>
      </w:tabs>
    </w:pPr>
  </w:style>
  <w:style w:type="character" w:customStyle="1" w:styleId="a7">
    <w:name w:val="Верхний колонтитул Знак"/>
    <w:basedOn w:val="a0"/>
    <w:link w:val="a6"/>
    <w:uiPriority w:val="99"/>
    <w:rsid w:val="002C7618"/>
    <w:rPr>
      <w:rFonts w:ascii="Times New Roman" w:eastAsia="Times New Roman" w:hAnsi="Times New Roman" w:cs="Times New Roman"/>
      <w:sz w:val="24"/>
      <w:szCs w:val="24"/>
      <w:lang w:eastAsia="ru-RU"/>
    </w:rPr>
  </w:style>
  <w:style w:type="character" w:styleId="a8">
    <w:name w:val="footnote reference"/>
    <w:uiPriority w:val="99"/>
    <w:unhideWhenUsed/>
    <w:rsid w:val="002C7618"/>
    <w:rPr>
      <w:vertAlign w:val="superscript"/>
    </w:rPr>
  </w:style>
  <w:style w:type="paragraph" w:customStyle="1" w:styleId="112">
    <w:name w:val="Стиль Обычный1 + По центру после: 12 пт"/>
    <w:basedOn w:val="a"/>
    <w:rsid w:val="002C7618"/>
    <w:pPr>
      <w:snapToGrid w:val="0"/>
      <w:spacing w:after="240"/>
      <w:ind w:firstLine="0"/>
      <w:jc w:val="center"/>
    </w:pPr>
    <w:rPr>
      <w:b/>
      <w:bCs/>
      <w:szCs w:val="20"/>
    </w:rPr>
  </w:style>
  <w:style w:type="character" w:customStyle="1" w:styleId="a9">
    <w:name w:val="Нет"/>
    <w:rsid w:val="002C7618"/>
    <w:rPr>
      <w:lang w:val="ru-RU"/>
    </w:rPr>
  </w:style>
  <w:style w:type="character" w:styleId="aa">
    <w:name w:val="Hyperlink"/>
    <w:basedOn w:val="a0"/>
    <w:uiPriority w:val="99"/>
    <w:unhideWhenUsed/>
    <w:rsid w:val="001C4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nipchi.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FE8F2C3EA648ED9960405223A91CAD"/>
        <w:category>
          <w:name w:val="Общие"/>
          <w:gallery w:val="placeholder"/>
        </w:category>
        <w:types>
          <w:type w:val="bbPlcHdr"/>
        </w:types>
        <w:behaviors>
          <w:behavior w:val="content"/>
        </w:behaviors>
        <w:guid w:val="{C4ABF423-521A-4099-A596-5C755041CE96}"/>
      </w:docPartPr>
      <w:docPartBody>
        <w:p w:rsidR="00000000" w:rsidRDefault="006203F2" w:rsidP="006203F2">
          <w:pPr>
            <w:pStyle w:val="58FE8F2C3EA648ED9960405223A91CAD"/>
          </w:pPr>
          <w:r>
            <w:t>[Введите текст]</w:t>
          </w:r>
        </w:p>
      </w:docPartBody>
    </w:docPart>
    <w:docPart>
      <w:docPartPr>
        <w:name w:val="97B29397B4CE4FC79443C0A7DD54AA79"/>
        <w:category>
          <w:name w:val="Общие"/>
          <w:gallery w:val="placeholder"/>
        </w:category>
        <w:types>
          <w:type w:val="bbPlcHdr"/>
        </w:types>
        <w:behaviors>
          <w:behavior w:val="content"/>
        </w:behaviors>
        <w:guid w:val="{C7601C77-3B33-4E1A-9D02-304129C9D2DC}"/>
      </w:docPartPr>
      <w:docPartBody>
        <w:p w:rsidR="00000000" w:rsidRDefault="006203F2" w:rsidP="006203F2">
          <w:pPr>
            <w:pStyle w:val="97B29397B4CE4FC79443C0A7DD54AA79"/>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F2"/>
    <w:rsid w:val="003243AD"/>
    <w:rsid w:val="0062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FE8F2C3EA648ED9960405223A91CAD">
    <w:name w:val="58FE8F2C3EA648ED9960405223A91CAD"/>
    <w:rsid w:val="006203F2"/>
  </w:style>
  <w:style w:type="paragraph" w:customStyle="1" w:styleId="97B29397B4CE4FC79443C0A7DD54AA79">
    <w:name w:val="97B29397B4CE4FC79443C0A7DD54AA79"/>
    <w:rsid w:val="00620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3398</Words>
  <Characters>19374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Хорченко</dc:creator>
  <cp:keywords/>
  <dc:description/>
  <cp:lastModifiedBy>Ольга Маглатова</cp:lastModifiedBy>
  <cp:revision>5</cp:revision>
  <dcterms:created xsi:type="dcterms:W3CDTF">2026-06-29T08:10:00Z</dcterms:created>
  <dcterms:modified xsi:type="dcterms:W3CDTF">2026-06-30T12:24:00Z</dcterms:modified>
</cp:coreProperties>
</file>